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63" w:rsidRPr="000D3E64" w:rsidRDefault="00736F63" w:rsidP="00736F63">
      <w:pPr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D3E64">
        <w:rPr>
          <w:rFonts w:ascii="Times New Roman" w:hAnsi="Times New Roman" w:cs="Times New Roman"/>
          <w:sz w:val="24"/>
          <w:szCs w:val="24"/>
        </w:rPr>
        <w:t>. Simple example of ten hypothetical death records with four possible causes of death labelled A, B, C and D. The example shows the calculation of weights using the data driven and arbitrary methods, and the comparison of the methods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497"/>
      </w:tblGrid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I: Ten hypothetical death records </w:t>
            </w:r>
          </w:p>
        </w:tc>
      </w:tr>
      <w:tr w:rsidR="00736F63" w:rsidRPr="000D3E64" w:rsidTr="008D3CBB">
        <w:tc>
          <w:tcPr>
            <w:tcW w:w="10603" w:type="dxa"/>
          </w:tcPr>
          <w:tbl>
            <w:tblPr>
              <w:tblStyle w:val="GridTable1Light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61"/>
              <w:gridCol w:w="1461"/>
              <w:gridCol w:w="1461"/>
            </w:tblGrid>
            <w:tr w:rsidR="00736F63" w:rsidRPr="000D3E64" w:rsidTr="008D3CB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Record ID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UCoD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CCoDs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   C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  C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  D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  D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  C   A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   C</w:t>
                  </w:r>
                </w:p>
              </w:tc>
            </w:tr>
            <w:tr w:rsidR="00736F63" w:rsidRPr="000D3E64" w:rsidTr="008D3CBB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  B   C</w:t>
                  </w:r>
                </w:p>
              </w:tc>
            </w:tr>
          </w:tbl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II: Data driven weights</w:t>
            </w: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Step 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alculate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of CCoDs associated with each UCoD, across all 10 records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divided by the frequency of the UCoD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, but this is zero if the CCoD is the same as the UCoD </w:t>
            </w:r>
          </w:p>
        </w:tc>
      </w:tr>
      <w:tr w:rsidR="00736F63" w:rsidRPr="000D3E64" w:rsidTr="008D3CBB">
        <w:tc>
          <w:tcPr>
            <w:tcW w:w="10603" w:type="dxa"/>
          </w:tcPr>
          <w:tbl>
            <w:tblPr>
              <w:tblStyle w:val="TableGrid"/>
              <w:tblW w:w="9103" w:type="dxa"/>
              <w:tblLook w:val="04A0" w:firstRow="1" w:lastRow="0" w:firstColumn="1" w:lastColumn="0" w:noHBand="0" w:noVBand="1"/>
            </w:tblPr>
            <w:tblGrid>
              <w:gridCol w:w="1310"/>
              <w:gridCol w:w="2117"/>
              <w:gridCol w:w="1424"/>
              <w:gridCol w:w="1559"/>
              <w:gridCol w:w="992"/>
              <w:gridCol w:w="1701"/>
            </w:tblGrid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UCoD</w:t>
                  </w: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Frequency of UCoD</w:t>
                  </w:r>
                </w:p>
              </w:tc>
              <w:tc>
                <w:tcPr>
                  <w:tcW w:w="5676" w:type="dxa"/>
                  <w:gridSpan w:val="4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CCoD</w:t>
                  </w:r>
                </w:p>
              </w:tc>
            </w:tr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559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9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70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</w:tr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2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0/5</w:t>
                  </w:r>
                </w:p>
              </w:tc>
              <w:tc>
                <w:tcPr>
                  <w:tcW w:w="1559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2/5</w:t>
                  </w:r>
                </w:p>
              </w:tc>
              <w:tc>
                <w:tcPr>
                  <w:tcW w:w="99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2/5</w:t>
                  </w:r>
                </w:p>
              </w:tc>
              <w:tc>
                <w:tcPr>
                  <w:tcW w:w="170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/5</w:t>
                  </w:r>
                </w:p>
              </w:tc>
            </w:tr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559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0/2</w:t>
                  </w:r>
                </w:p>
              </w:tc>
              <w:tc>
                <w:tcPr>
                  <w:tcW w:w="99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70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2/2</w:t>
                  </w:r>
                </w:p>
              </w:tc>
            </w:tr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1/1</w:t>
                  </w:r>
                </w:p>
              </w:tc>
              <w:tc>
                <w:tcPr>
                  <w:tcW w:w="1559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0/1</w:t>
                  </w:r>
                </w:p>
              </w:tc>
              <w:tc>
                <w:tcPr>
                  <w:tcW w:w="99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0/1</w:t>
                  </w:r>
                </w:p>
              </w:tc>
              <w:tc>
                <w:tcPr>
                  <w:tcW w:w="170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0/1</w:t>
                  </w:r>
                </w:p>
              </w:tc>
            </w:tr>
            <w:tr w:rsidR="00736F63" w:rsidRPr="000D3E64" w:rsidTr="008D3CBB">
              <w:tc>
                <w:tcPr>
                  <w:tcW w:w="1310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2117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559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2/2</w:t>
                  </w:r>
                </w:p>
              </w:tc>
              <w:tc>
                <w:tcPr>
                  <w:tcW w:w="99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2/2</w:t>
                  </w:r>
                </w:p>
              </w:tc>
              <w:tc>
                <w:tcPr>
                  <w:tcW w:w="170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0/2</w:t>
                  </w:r>
                </w:p>
              </w:tc>
            </w:tr>
          </w:tbl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Step 2: Calculation of data driven weights for each cause. </w:t>
            </w:r>
          </w:p>
          <w:p w:rsidR="00736F63" w:rsidRPr="002D506E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06E">
              <w:rPr>
                <w:rFonts w:ascii="Times New Roman" w:hAnsi="Times New Roman" w:cs="Times New Roman"/>
                <w:sz w:val="24"/>
                <w:szCs w:val="24"/>
              </w:rPr>
              <w:t xml:space="preserve">For each CCoD that is different from the UCoD, weight = (number from Step 1)/(number of CCoDs in record) (that are not the same as the UCoD). </w:t>
            </w:r>
          </w:p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06E">
              <w:rPr>
                <w:rFonts w:ascii="Times New Roman" w:hAnsi="Times New Roman" w:cs="Times New Roman"/>
                <w:sz w:val="24"/>
                <w:szCs w:val="24"/>
              </w:rPr>
              <w:t>For UCoD, weight = 1 – sum of weights for CCoDs.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F63" w:rsidRPr="000D3E64" w:rsidTr="008D3CBB">
        <w:tc>
          <w:tcPr>
            <w:tcW w:w="10603" w:type="dxa"/>
          </w:tcPr>
          <w:tbl>
            <w:tblPr>
              <w:tblStyle w:val="TableGrid"/>
              <w:tblW w:w="11082" w:type="dxa"/>
              <w:tblLook w:val="04A0" w:firstRow="1" w:lastRow="0" w:firstColumn="1" w:lastColumn="0" w:noHBand="0" w:noVBand="1"/>
            </w:tblPr>
            <w:tblGrid>
              <w:gridCol w:w="1356"/>
              <w:gridCol w:w="791"/>
              <w:gridCol w:w="864"/>
              <w:gridCol w:w="864"/>
              <w:gridCol w:w="1807"/>
              <w:gridCol w:w="1831"/>
              <w:gridCol w:w="1274"/>
              <w:gridCol w:w="2295"/>
            </w:tblGrid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Record ID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UCoD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CCoDs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# of CCoDs</w:t>
                  </w:r>
                </w:p>
              </w:tc>
              <w:tc>
                <w:tcPr>
                  <w:tcW w:w="7207" w:type="dxa"/>
                  <w:gridSpan w:val="4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Data driven weights for each cause</w:t>
                  </w:r>
                </w:p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D3E64">
                    <w:rPr>
                      <w:rFonts w:ascii="Times New Roman" w:hAnsi="Times New Roman" w:cs="Times New Roman"/>
                      <w:b/>
                      <w:bCs/>
                    </w:rPr>
                    <w:t>A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D3E64">
                    <w:rPr>
                      <w:rFonts w:ascii="Times New Roman" w:hAnsi="Times New Roman" w:cs="Times New Roman"/>
                      <w:b/>
                      <w:bCs/>
                    </w:rPr>
                    <w:t>B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D3E64">
                    <w:rPr>
                      <w:rFonts w:ascii="Times New Roman" w:hAnsi="Times New Roman" w:cs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D3E64">
                    <w:rPr>
                      <w:rFonts w:ascii="Times New Roman" w:hAnsi="Times New Roman" w:cs="Times New Roman"/>
                      <w:b/>
                      <w:bCs/>
                    </w:rPr>
                    <w:t>D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B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1-(2/5)=3/5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(2/5)/1=2/5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B C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1-(1/5)-(1/5)=3/5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(2/5)/2=1/5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(2/5)/2=1/5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 C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1-(2/5)=3/5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(2/5)/1=2/5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B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 D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(1/2)/2=1/4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1-(1/4)-(1/2)=1/4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0D3E64">
                    <w:rPr>
                      <w:rFonts w:ascii="Times New Roman" w:hAnsi="Times New Roman" w:cs="Times New Roman"/>
                    </w:rPr>
                    <w:t>/2)</w:t>
                  </w:r>
                  <w:r>
                    <w:rPr>
                      <w:rFonts w:ascii="Times New Roman" w:hAnsi="Times New Roman" w:cs="Times New Roman"/>
                    </w:rPr>
                    <w:t>/2</w:t>
                  </w:r>
                  <w:r w:rsidRPr="000D3E64">
                    <w:rPr>
                      <w:rFonts w:ascii="Times New Roman" w:hAnsi="Times New Roman" w:cs="Times New Roman"/>
                    </w:rPr>
                    <w:t>=1/2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lastRenderedPageBreak/>
                    <w:t>7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B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C D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1-(1/4)-(1/2)=1/4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(1/2)/2=1/4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0D3E64">
                    <w:rPr>
                      <w:rFonts w:ascii="Times New Roman" w:hAnsi="Times New Roman" w:cs="Times New Roman"/>
                    </w:rPr>
                    <w:t>/2)</w:t>
                  </w:r>
                  <w:r>
                    <w:rPr>
                      <w:rFonts w:ascii="Times New Roman" w:hAnsi="Times New Roman" w:cs="Times New Roman"/>
                    </w:rPr>
                    <w:t>/2</w:t>
                  </w:r>
                  <w:r w:rsidRPr="000D3E64">
                    <w:rPr>
                      <w:rFonts w:ascii="Times New Roman" w:hAnsi="Times New Roman" w:cs="Times New Roman"/>
                    </w:rPr>
                    <w:t>=1/2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C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 C A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(1/1)/1=1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1-1=0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D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B C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(2/2)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  <w:r w:rsidRPr="000D3E64">
                    <w:rPr>
                      <w:rFonts w:ascii="Times New Roman" w:hAnsi="Times New Roman" w:cs="Times New Roman"/>
                    </w:rPr>
                    <w:t>2=1/2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(2/2)/2=1/2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1-(1/2)-(1/2)=0</w:t>
                  </w:r>
                </w:p>
              </w:tc>
            </w:tr>
            <w:tr w:rsidR="00736F63" w:rsidRPr="000D3E64" w:rsidTr="008D3CBB">
              <w:tc>
                <w:tcPr>
                  <w:tcW w:w="1356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79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D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A B C</w:t>
                  </w:r>
                </w:p>
              </w:tc>
              <w:tc>
                <w:tcPr>
                  <w:tcW w:w="864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807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(1/2)/3=1/6</w:t>
                  </w:r>
                </w:p>
              </w:tc>
              <w:tc>
                <w:tcPr>
                  <w:tcW w:w="1831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(2/2)/3=1/3</w:t>
                  </w:r>
                </w:p>
              </w:tc>
              <w:tc>
                <w:tcPr>
                  <w:tcW w:w="1274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(2/2)/3=1/3</w:t>
                  </w:r>
                </w:p>
              </w:tc>
              <w:tc>
                <w:tcPr>
                  <w:tcW w:w="2295" w:type="dxa"/>
                </w:tcPr>
                <w:p w:rsidR="00736F63" w:rsidRPr="000D3E64" w:rsidRDefault="00736F63" w:rsidP="008D3C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D3E64">
                    <w:rPr>
                      <w:rFonts w:ascii="Times New Roman" w:hAnsi="Times New Roman" w:cs="Times New Roman"/>
                    </w:rPr>
                    <w:t>1-(1/6)-(1/3)-(1/3)=1/6</w:t>
                  </w:r>
                </w:p>
              </w:tc>
            </w:tr>
          </w:tbl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III. Arbitrary weights,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if UCoD has weight </w:t>
            </w: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=1/2 and there is equal allocation across all unique CCoDs</w:t>
            </w:r>
          </w:p>
        </w:tc>
      </w:tr>
      <w:tr w:rsidR="00736F63" w:rsidRPr="000D3E64" w:rsidTr="008D3CBB">
        <w:tc>
          <w:tcPr>
            <w:tcW w:w="10603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5"/>
              <w:gridCol w:w="1352"/>
              <w:gridCol w:w="1367"/>
              <w:gridCol w:w="1296"/>
              <w:gridCol w:w="1297"/>
              <w:gridCol w:w="1297"/>
              <w:gridCol w:w="1297"/>
            </w:tblGrid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Record ID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UCoD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CCoDs</w:t>
                  </w:r>
                </w:p>
              </w:tc>
              <w:tc>
                <w:tcPr>
                  <w:tcW w:w="5847" w:type="dxa"/>
                  <w:gridSpan w:val="4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Arbitrary weights for each cause of death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</w:tr>
            <w:tr w:rsidR="00736F63" w:rsidRPr="000D3E64" w:rsidTr="008D3CBB"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</w:t>
                  </w:r>
                </w:p>
              </w:tc>
              <w:tc>
                <w:tcPr>
                  <w:tcW w:w="1461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1/6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1/6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1/6</w:t>
                  </w:r>
                </w:p>
              </w:tc>
              <w:tc>
                <w:tcPr>
                  <w:tcW w:w="1462" w:type="dxa"/>
                </w:tcPr>
                <w:p w:rsidR="00736F63" w:rsidRPr="000D3E64" w:rsidRDefault="00736F63" w:rsidP="008D3C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1/2</w:t>
                  </w:r>
                </w:p>
              </w:tc>
            </w:tr>
          </w:tbl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c>
          <w:tcPr>
            <w:tcW w:w="10603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IV: Comparison of contributions of causes of death </w:t>
            </w:r>
          </w:p>
        </w:tc>
      </w:tr>
      <w:tr w:rsidR="00736F63" w:rsidRPr="000D3E64" w:rsidTr="008D3CBB">
        <w:tc>
          <w:tcPr>
            <w:tcW w:w="10603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5"/>
              <w:gridCol w:w="1418"/>
              <w:gridCol w:w="1134"/>
              <w:gridCol w:w="1275"/>
              <w:gridCol w:w="1134"/>
            </w:tblGrid>
            <w:tr w:rsidR="00736F63" w:rsidRPr="000D3E64" w:rsidTr="008D3CBB">
              <w:tc>
                <w:tcPr>
                  <w:tcW w:w="35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2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</w:p>
              </w:tc>
            </w:tr>
            <w:tr w:rsidR="00736F63" w:rsidRPr="000D3E64" w:rsidTr="008D3CBB">
              <w:tc>
                <w:tcPr>
                  <w:tcW w:w="35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UCoD only</w:t>
                  </w:r>
                </w:p>
              </w:tc>
              <w:tc>
                <w:tcPr>
                  <w:tcW w:w="1418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50.00%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20.00%</w:t>
                  </w:r>
                </w:p>
              </w:tc>
              <w:tc>
                <w:tcPr>
                  <w:tcW w:w="12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10.00%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20.00%</w:t>
                  </w:r>
                </w:p>
              </w:tc>
            </w:tr>
            <w:tr w:rsidR="00736F63" w:rsidRPr="000D3E64" w:rsidTr="008D3CBB">
              <w:tc>
                <w:tcPr>
                  <w:tcW w:w="35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Data driven weights </w:t>
                  </w:r>
                </w:p>
              </w:tc>
              <w:tc>
                <w:tcPr>
                  <w:tcW w:w="1418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52.17%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19.33%</w:t>
                  </w:r>
                </w:p>
              </w:tc>
              <w:tc>
                <w:tcPr>
                  <w:tcW w:w="12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16.83%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11.67%</w:t>
                  </w:r>
                </w:p>
              </w:tc>
            </w:tr>
            <w:tr w:rsidR="00736F63" w:rsidRPr="000D3E64" w:rsidTr="008D3CBB">
              <w:tc>
                <w:tcPr>
                  <w:tcW w:w="35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Arbitrary weights, with </w:t>
                  </w:r>
                  <w:r w:rsidRPr="000D3E64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p=1/2</w:t>
                  </w: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44.17%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21.67%</w:t>
                  </w:r>
                </w:p>
              </w:tc>
              <w:tc>
                <w:tcPr>
                  <w:tcW w:w="1275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19.17%</w:t>
                  </w:r>
                </w:p>
              </w:tc>
              <w:tc>
                <w:tcPr>
                  <w:tcW w:w="1134" w:type="dxa"/>
                </w:tcPr>
                <w:p w:rsidR="00736F63" w:rsidRPr="000D3E64" w:rsidRDefault="00736F63" w:rsidP="008D3CB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3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15.00%</w:t>
                  </w:r>
                </w:p>
              </w:tc>
            </w:tr>
          </w:tbl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F63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63" w:rsidRDefault="00736F63" w:rsidP="00736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3E64">
        <w:rPr>
          <w:rFonts w:ascii="Times New Roman" w:hAnsi="Times New Roman" w:cs="Times New Roman"/>
          <w:sz w:val="24"/>
          <w:szCs w:val="24"/>
        </w:rPr>
        <w:t xml:space="preserve">. Distribution of deaths in Australia 2006-2018 for all people aged 60 years or more, by sex and age groups and the </w:t>
      </w:r>
      <w:r>
        <w:rPr>
          <w:rFonts w:ascii="Times New Roman" w:hAnsi="Times New Roman" w:cs="Times New Roman"/>
          <w:sz w:val="24"/>
          <w:szCs w:val="24"/>
        </w:rPr>
        <w:t xml:space="preserve">number of deaths and </w:t>
      </w:r>
      <w:r w:rsidRPr="000D3E64">
        <w:rPr>
          <w:rFonts w:ascii="Times New Roman" w:hAnsi="Times New Roman" w:cs="Times New Roman"/>
          <w:sz w:val="24"/>
          <w:szCs w:val="24"/>
        </w:rPr>
        <w:t>mean number of contributing causes per death</w:t>
      </w:r>
      <w:r>
        <w:rPr>
          <w:rFonts w:ascii="Times New Roman" w:hAnsi="Times New Roman" w:cs="Times New Roman"/>
          <w:sz w:val="24"/>
          <w:szCs w:val="24"/>
        </w:rPr>
        <w:t>, in brackets</w:t>
      </w:r>
      <w:r w:rsidRPr="000D3E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1998"/>
        <w:gridCol w:w="1973"/>
        <w:gridCol w:w="1911"/>
        <w:gridCol w:w="2148"/>
      </w:tblGrid>
      <w:tr w:rsidR="00736F63" w:rsidRPr="000D3E64" w:rsidTr="008D3CBB">
        <w:trPr>
          <w:jc w:val="center"/>
        </w:trPr>
        <w:tc>
          <w:tcPr>
            <w:tcW w:w="986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gridSpan w:val="3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Age groups (years)</w:t>
            </w:r>
          </w:p>
        </w:tc>
        <w:tc>
          <w:tcPr>
            <w:tcW w:w="214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36F63" w:rsidRPr="000D3E64" w:rsidTr="008D3CBB">
        <w:trPr>
          <w:jc w:val="center"/>
        </w:trPr>
        <w:tc>
          <w:tcPr>
            <w:tcW w:w="986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60-74</w:t>
            </w:r>
          </w:p>
        </w:tc>
        <w:tc>
          <w:tcPr>
            <w:tcW w:w="1973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1911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≥ 85</w:t>
            </w:r>
          </w:p>
        </w:tc>
        <w:tc>
          <w:tcPr>
            <w:tcW w:w="214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63" w:rsidRPr="000D3E64" w:rsidTr="008D3CBB">
        <w:trPr>
          <w:jc w:val="center"/>
        </w:trPr>
        <w:tc>
          <w:tcPr>
            <w:tcW w:w="986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99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244,366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1.06)</w:t>
            </w:r>
          </w:p>
        </w:tc>
        <w:tc>
          <w:tcPr>
            <w:tcW w:w="1973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293,703 (1.31)</w:t>
            </w:r>
          </w:p>
        </w:tc>
        <w:tc>
          <w:tcPr>
            <w:tcW w:w="1911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284,125 (1.37)</w:t>
            </w:r>
          </w:p>
        </w:tc>
        <w:tc>
          <w:tcPr>
            <w:tcW w:w="214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822,194 (1.26)</w:t>
            </w:r>
          </w:p>
        </w:tc>
      </w:tr>
      <w:tr w:rsidR="00736F63" w:rsidRPr="000D3E64" w:rsidTr="008D3CBB">
        <w:trPr>
          <w:jc w:val="center"/>
        </w:trPr>
        <w:tc>
          <w:tcPr>
            <w:tcW w:w="986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99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152,062 (0.98)</w:t>
            </w:r>
          </w:p>
        </w:tc>
        <w:tc>
          <w:tcPr>
            <w:tcW w:w="1973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239,729 (1.24)</w:t>
            </w:r>
          </w:p>
        </w:tc>
        <w:tc>
          <w:tcPr>
            <w:tcW w:w="1911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449,249 (1.28)</w:t>
            </w:r>
          </w:p>
        </w:tc>
        <w:tc>
          <w:tcPr>
            <w:tcW w:w="214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841,040 (1.21)</w:t>
            </w:r>
          </w:p>
        </w:tc>
      </w:tr>
      <w:tr w:rsidR="00736F63" w:rsidRPr="000D3E64" w:rsidTr="008D3CBB">
        <w:trPr>
          <w:jc w:val="center"/>
        </w:trPr>
        <w:tc>
          <w:tcPr>
            <w:tcW w:w="986" w:type="dxa"/>
          </w:tcPr>
          <w:p w:rsidR="00736F63" w:rsidRPr="000D3E64" w:rsidRDefault="00736F63" w:rsidP="008D3C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9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396,428 (1.03)</w:t>
            </w:r>
          </w:p>
        </w:tc>
        <w:tc>
          <w:tcPr>
            <w:tcW w:w="1973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533,432 (1.28)</w:t>
            </w:r>
          </w:p>
        </w:tc>
        <w:tc>
          <w:tcPr>
            <w:tcW w:w="1911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733,374 (1.31)</w:t>
            </w:r>
          </w:p>
        </w:tc>
        <w:tc>
          <w:tcPr>
            <w:tcW w:w="2148" w:type="dxa"/>
          </w:tcPr>
          <w:p w:rsidR="00736F63" w:rsidRPr="000D3E64" w:rsidRDefault="00736F63" w:rsidP="008D3C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1,663,234 (1.23)</w:t>
            </w:r>
          </w:p>
        </w:tc>
      </w:tr>
    </w:tbl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br w:type="page"/>
      </w:r>
    </w:p>
    <w:p w:rsidR="00736F63" w:rsidRPr="000D3E64" w:rsidRDefault="00736F63" w:rsidP="00736F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lastRenderedPageBreak/>
        <w:t xml:space="preserve">Table 3.  Numbers and percentages of deaths in Australia 2006-2018 for all people aged 60 years or more by cause:  first column is numbers of deaths for each underlying cause; </w:t>
      </w:r>
      <w:r>
        <w:rPr>
          <w:rFonts w:ascii="Times New Roman" w:hAnsi="Times New Roman" w:cs="Times New Roman"/>
          <w:sz w:val="24"/>
          <w:szCs w:val="24"/>
        </w:rPr>
        <w:t xml:space="preserve">the second column is the </w:t>
      </w:r>
      <w:r w:rsidRPr="000D3E64">
        <w:rPr>
          <w:rFonts w:ascii="Times New Roman" w:hAnsi="Times New Roman" w:cs="Times New Roman"/>
          <w:sz w:val="24"/>
          <w:szCs w:val="24"/>
        </w:rPr>
        <w:t>percentages of deaths based on data driven method</w:t>
      </w:r>
      <w:r>
        <w:rPr>
          <w:rFonts w:ascii="Times New Roman" w:hAnsi="Times New Roman" w:cs="Times New Roman"/>
          <w:sz w:val="24"/>
          <w:szCs w:val="24"/>
        </w:rPr>
        <w:t>; the</w:t>
      </w:r>
      <w:r w:rsidRPr="000D3E64">
        <w:rPr>
          <w:rFonts w:ascii="Times New Roman" w:hAnsi="Times New Roman" w:cs="Times New Roman"/>
          <w:sz w:val="24"/>
          <w:szCs w:val="24"/>
        </w:rPr>
        <w:t xml:space="preserve"> next columns are percentages of deaths using arbitrary weights varying from 1</w:t>
      </w:r>
      <w:r>
        <w:rPr>
          <w:rFonts w:ascii="Times New Roman" w:hAnsi="Times New Roman" w:cs="Times New Roman"/>
          <w:sz w:val="24"/>
          <w:szCs w:val="24"/>
        </w:rPr>
        <w:t xml:space="preserve"> (i.e., underlying cause only)</w:t>
      </w:r>
      <w:r w:rsidRPr="000D3E64">
        <w:rPr>
          <w:rFonts w:ascii="Times New Roman" w:hAnsi="Times New Roman" w:cs="Times New Roman"/>
          <w:sz w:val="24"/>
          <w:szCs w:val="24"/>
        </w:rPr>
        <w:t xml:space="preserve"> to zero</w:t>
      </w:r>
      <w:r>
        <w:rPr>
          <w:rFonts w:ascii="Times New Roman" w:hAnsi="Times New Roman" w:cs="Times New Roman"/>
          <w:sz w:val="24"/>
          <w:szCs w:val="24"/>
        </w:rPr>
        <w:t xml:space="preserve"> (i.e., contributing causes only).</w:t>
      </w:r>
      <w:r w:rsidRPr="000D3E6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565"/>
        <w:gridCol w:w="1038"/>
        <w:gridCol w:w="787"/>
        <w:gridCol w:w="984"/>
        <w:gridCol w:w="781"/>
        <w:gridCol w:w="781"/>
        <w:gridCol w:w="781"/>
        <w:gridCol w:w="781"/>
        <w:gridCol w:w="781"/>
        <w:gridCol w:w="1065"/>
      </w:tblGrid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Cause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6F63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</w:t>
            </w:r>
          </w:p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UCoD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</w:t>
            </w:r>
          </w:p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driven </w:t>
            </w:r>
          </w:p>
        </w:tc>
        <w:tc>
          <w:tcPr>
            <w:tcW w:w="0" w:type="auto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Arbitrary weights varying </w:t>
            </w:r>
            <w:r w:rsidRPr="000D3E6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from 1 to 0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1=UCoD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=CCoDs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Infectious, parasitic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Colorectal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Pancreatic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Lung, tracheal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90,891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Melanoma, malignant skin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Prostate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Lymph, blood cancer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malignant neoplasm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142,881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Benign neoplasm, blood, metabolic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endocrine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Dementia, Alzheimer's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135,475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7.34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mental disorder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Parkinson's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neurological condition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Eye, ear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Hypertensive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Ischaemic heart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249,077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9.85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Cardiac arrhythmia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Heart failure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Cerebrovascular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135,272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Other circulatory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Influenza, pneumonia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 lower respiratory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85,154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respiratory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digestive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Skin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Musculoskeletal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Kidney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genitourinary disease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Reproductive, maternal condition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Perinatal condition, </w:t>
            </w: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congenital malformation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1,661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Symptoms, signs, ill-defined condition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F20516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External cause mechanisms, traumatic injuries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3.35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Accidental falls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Intentional self-harm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736F63" w:rsidRPr="000D3E64" w:rsidTr="008D3CBB">
        <w:trPr>
          <w:trHeight w:val="1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1,663,234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F63" w:rsidRPr="000D3E64" w:rsidRDefault="00736F63" w:rsidP="008D3C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</w:tr>
    </w:tbl>
    <w:p w:rsidR="001760E5" w:rsidRDefault="00D054BD"/>
    <w:p w:rsidR="00D054BD" w:rsidRDefault="00D054BD"/>
    <w:p w:rsidR="00D054BD" w:rsidRPr="000D3E64" w:rsidRDefault="00D054BD" w:rsidP="00D054BD">
      <w:pPr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t>Table 4. Leading causes of death in Australia 2006-2018 among men</w:t>
      </w:r>
      <w:r>
        <w:rPr>
          <w:rFonts w:ascii="Times New Roman" w:hAnsi="Times New Roman" w:cs="Times New Roman"/>
          <w:sz w:val="24"/>
          <w:szCs w:val="24"/>
        </w:rPr>
        <w:t xml:space="preserve"> aged 60-74, 75-84 and 85 years or more.</w:t>
      </w:r>
      <w:r w:rsidRPr="000D3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4BD" w:rsidRPr="000D3E64" w:rsidRDefault="00D054BD" w:rsidP="00D05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8"/>
        <w:gridCol w:w="843"/>
        <w:gridCol w:w="563"/>
        <w:gridCol w:w="783"/>
        <w:gridCol w:w="843"/>
        <w:gridCol w:w="563"/>
        <w:gridCol w:w="783"/>
        <w:gridCol w:w="859"/>
        <w:gridCol w:w="574"/>
        <w:gridCol w:w="801"/>
      </w:tblGrid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Cause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Men aged 60-74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Men aged 75-84</w:t>
            </w:r>
          </w:p>
        </w:tc>
        <w:tc>
          <w:tcPr>
            <w:tcW w:w="0" w:type="auto"/>
            <w:gridSpan w:val="3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Men aged 85 and over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Ischaemic heart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malignant neoplasm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Lung, tracheal cancer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Dementia, Alzheimer's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Chronic lower respiratory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Prostate cancer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circulatory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lastRenderedPageBreak/>
              <w:t>Colorectal cancer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Lymph, blood cancer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Kidney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respiratory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Hypertensive disease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Pancreatic cancer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External cause, traumatic injuries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tcBorders>
              <w:right w:val="single" w:sz="4" w:space="0" w:color="auto"/>
            </w:tcBorders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mental disorder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4BD" w:rsidRPr="000D3E64" w:rsidRDefault="00D054BD" w:rsidP="00D05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4BD" w:rsidRPr="000D3E64" w:rsidRDefault="00D054BD" w:rsidP="00D05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t xml:space="preserve">Table 5. Leading causes of death in Australia 2006-2018 among </w:t>
      </w:r>
      <w:r>
        <w:rPr>
          <w:rFonts w:ascii="Times New Roman" w:hAnsi="Times New Roman" w:cs="Times New Roman"/>
          <w:sz w:val="24"/>
          <w:szCs w:val="24"/>
        </w:rPr>
        <w:t>wo</w:t>
      </w:r>
      <w:r w:rsidRPr="000D3E64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 xml:space="preserve"> aged 60-74, 75-84 and 85 years or more, ranked by using the current method (underlying cause of death alone, UCoD), the new data driven method (DD) and the method using arbitrary weight with </w:t>
      </w:r>
      <w:r w:rsidRPr="000D3E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D3E64">
        <w:rPr>
          <w:rFonts w:ascii="Times New Roman" w:hAnsi="Times New Roman" w:cs="Times New Roman"/>
          <w:sz w:val="24"/>
          <w:szCs w:val="24"/>
        </w:rPr>
        <w:t xml:space="preserve"> = 0.5 </w:t>
      </w:r>
    </w:p>
    <w:p w:rsidR="00D054BD" w:rsidRPr="000D3E64" w:rsidRDefault="00D054BD" w:rsidP="00D05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E6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843"/>
        <w:gridCol w:w="563"/>
        <w:gridCol w:w="722"/>
        <w:gridCol w:w="843"/>
        <w:gridCol w:w="563"/>
        <w:gridCol w:w="722"/>
        <w:gridCol w:w="920"/>
        <w:gridCol w:w="614"/>
        <w:gridCol w:w="804"/>
      </w:tblGrid>
      <w:tr w:rsidR="00D054BD" w:rsidRPr="000D3E64" w:rsidTr="008D3CBB">
        <w:tc>
          <w:tcPr>
            <w:tcW w:w="0" w:type="auto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Cause </w:t>
            </w:r>
          </w:p>
        </w:tc>
        <w:tc>
          <w:tcPr>
            <w:tcW w:w="0" w:type="auto"/>
            <w:gridSpan w:val="3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Women aged 60-74</w:t>
            </w:r>
          </w:p>
        </w:tc>
        <w:tc>
          <w:tcPr>
            <w:tcW w:w="0" w:type="auto"/>
            <w:gridSpan w:val="3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Women aged 75-84</w:t>
            </w:r>
          </w:p>
        </w:tc>
        <w:tc>
          <w:tcPr>
            <w:tcW w:w="0" w:type="auto"/>
            <w:gridSpan w:val="3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Women aged 85 and over</w:t>
            </w:r>
          </w:p>
        </w:tc>
      </w:tr>
      <w:tr w:rsidR="00D054BD" w:rsidRPr="000D3E64" w:rsidTr="008D3CBB">
        <w:tc>
          <w:tcPr>
            <w:tcW w:w="0" w:type="auto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UCoD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 xml:space="preserve"> = 0.5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Ischaemic heart disease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Dementia, Alzheimer's disease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malignant neoplasm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Chronic lower respiratory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circulatory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Lung, tracheal cancer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Colorectal cancer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Breast cancer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Other digestive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Kidney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</w:rPr>
              <w:t>Lymph, blood cancer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Influenza, pneumonia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Hypertensive disease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Pancreatic cancer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Cardiac arrhythmia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54BD" w:rsidRPr="000D3E64" w:rsidTr="008D3CBB">
        <w:tc>
          <w:tcPr>
            <w:tcW w:w="0" w:type="auto"/>
            <w:vAlign w:val="bottom"/>
          </w:tcPr>
          <w:p w:rsidR="00D054BD" w:rsidRPr="000D3E64" w:rsidRDefault="00D054BD" w:rsidP="008D3CBB">
            <w:pPr>
              <w:rPr>
                <w:rFonts w:ascii="Times New Roman" w:hAnsi="Times New Roman" w:cs="Times New Roman"/>
              </w:rPr>
            </w:pPr>
            <w:r w:rsidRPr="000D3E64">
              <w:rPr>
                <w:rFonts w:ascii="Times New Roman" w:hAnsi="Times New Roman" w:cs="Times New Roman"/>
              </w:rPr>
              <w:t>Symptoms, signs ill-defined conditions</w:t>
            </w: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54BD" w:rsidRPr="000D3E64" w:rsidRDefault="00D054BD" w:rsidP="008D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E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054BD" w:rsidRPr="000D3E64" w:rsidRDefault="00D054BD" w:rsidP="00D054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3E64">
        <w:rPr>
          <w:rFonts w:ascii="Times New Roman" w:hAnsi="Times New Roman" w:cs="Times New Roman"/>
          <w:sz w:val="24"/>
          <w:szCs w:val="24"/>
        </w:rPr>
        <w:br w:type="page"/>
      </w:r>
    </w:p>
    <w:p w:rsidR="00D054BD" w:rsidRDefault="00D054BD"/>
    <w:sectPr w:rsidR="00D0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Black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D9"/>
    <w:multiLevelType w:val="hybridMultilevel"/>
    <w:tmpl w:val="884E87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7F3"/>
    <w:multiLevelType w:val="hybridMultilevel"/>
    <w:tmpl w:val="EE0AB278"/>
    <w:lvl w:ilvl="0" w:tplc="464C1F7A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CFA"/>
    <w:multiLevelType w:val="multilevel"/>
    <w:tmpl w:val="A06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0218AA"/>
    <w:multiLevelType w:val="multilevel"/>
    <w:tmpl w:val="ECAA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F0717"/>
    <w:multiLevelType w:val="hybridMultilevel"/>
    <w:tmpl w:val="5A2A7B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F04DE"/>
    <w:multiLevelType w:val="hybridMultilevel"/>
    <w:tmpl w:val="C8DAD2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0803"/>
    <w:multiLevelType w:val="hybridMultilevel"/>
    <w:tmpl w:val="5B0EBF44"/>
    <w:lvl w:ilvl="0" w:tplc="27123CAE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05C17"/>
    <w:multiLevelType w:val="hybridMultilevel"/>
    <w:tmpl w:val="E74E4AE8"/>
    <w:lvl w:ilvl="0" w:tplc="0C090017">
      <w:start w:val="1"/>
      <w:numFmt w:val="lowerLetter"/>
      <w:lvlText w:val="%1)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0F2F44"/>
    <w:multiLevelType w:val="hybridMultilevel"/>
    <w:tmpl w:val="FA424758"/>
    <w:lvl w:ilvl="0" w:tplc="27123CAE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F3F93"/>
    <w:multiLevelType w:val="hybridMultilevel"/>
    <w:tmpl w:val="13CE3F6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57F72"/>
    <w:multiLevelType w:val="multilevel"/>
    <w:tmpl w:val="3A82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24109"/>
    <w:multiLevelType w:val="hybridMultilevel"/>
    <w:tmpl w:val="819009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83B35"/>
    <w:multiLevelType w:val="hybridMultilevel"/>
    <w:tmpl w:val="217616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A23B06"/>
    <w:multiLevelType w:val="multilevel"/>
    <w:tmpl w:val="124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F5F5B"/>
    <w:multiLevelType w:val="hybridMultilevel"/>
    <w:tmpl w:val="BBB00718"/>
    <w:lvl w:ilvl="0" w:tplc="38185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22694"/>
    <w:multiLevelType w:val="hybridMultilevel"/>
    <w:tmpl w:val="828A67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353BC"/>
    <w:multiLevelType w:val="hybridMultilevel"/>
    <w:tmpl w:val="590EE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41429"/>
    <w:multiLevelType w:val="hybridMultilevel"/>
    <w:tmpl w:val="E1F075B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A45B6D"/>
    <w:multiLevelType w:val="hybridMultilevel"/>
    <w:tmpl w:val="915AA45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12395"/>
    <w:multiLevelType w:val="hybridMultilevel"/>
    <w:tmpl w:val="E1F075B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9E64F4"/>
    <w:multiLevelType w:val="multilevel"/>
    <w:tmpl w:val="7B3C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5"/>
  </w:num>
  <w:num w:numId="5">
    <w:abstractNumId w:val="2"/>
  </w:num>
  <w:num w:numId="6">
    <w:abstractNumId w:val="15"/>
  </w:num>
  <w:num w:numId="7">
    <w:abstractNumId w:val="7"/>
  </w:num>
  <w:num w:numId="8">
    <w:abstractNumId w:val="1"/>
  </w:num>
  <w:num w:numId="9">
    <w:abstractNumId w:val="16"/>
  </w:num>
  <w:num w:numId="10">
    <w:abstractNumId w:val="18"/>
  </w:num>
  <w:num w:numId="11">
    <w:abstractNumId w:val="9"/>
  </w:num>
  <w:num w:numId="12">
    <w:abstractNumId w:val="10"/>
  </w:num>
  <w:num w:numId="13">
    <w:abstractNumId w:val="13"/>
  </w:num>
  <w:num w:numId="14">
    <w:abstractNumId w:val="3"/>
  </w:num>
  <w:num w:numId="15">
    <w:abstractNumId w:val="20"/>
  </w:num>
  <w:num w:numId="16">
    <w:abstractNumId w:val="12"/>
  </w:num>
  <w:num w:numId="17">
    <w:abstractNumId w:val="6"/>
  </w:num>
  <w:num w:numId="18">
    <w:abstractNumId w:val="8"/>
  </w:num>
  <w:num w:numId="19">
    <w:abstractNumId w:val="11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63"/>
    <w:rsid w:val="00736F63"/>
    <w:rsid w:val="008A3324"/>
    <w:rsid w:val="00996CDB"/>
    <w:rsid w:val="00BA546E"/>
    <w:rsid w:val="00D0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EB9F"/>
  <w15:chartTrackingRefBased/>
  <w15:docId w15:val="{D74425CB-00BB-453F-BB89-56D7EB30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F63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F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F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F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F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F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736F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736F6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F63"/>
    <w:rPr>
      <w:rFonts w:asciiTheme="majorHAnsi" w:eastAsiaTheme="majorEastAsia" w:hAnsiTheme="majorHAnsi" w:cstheme="majorBidi"/>
      <w:i/>
      <w:iCs/>
      <w:color w:val="2E74B5" w:themeColor="accent1" w:themeShade="BF"/>
      <w:lang w:val="en-AU"/>
    </w:rPr>
  </w:style>
  <w:style w:type="paragraph" w:styleId="Bibliography">
    <w:name w:val="Bibliography"/>
    <w:basedOn w:val="Normal"/>
    <w:next w:val="Normal"/>
    <w:uiPriority w:val="37"/>
    <w:unhideWhenUsed/>
    <w:rsid w:val="00736F63"/>
    <w:pPr>
      <w:tabs>
        <w:tab w:val="left" w:pos="384"/>
      </w:tabs>
      <w:spacing w:after="0" w:line="240" w:lineRule="auto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736F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6F63"/>
    <w:pPr>
      <w:ind w:left="720"/>
      <w:contextualSpacing/>
    </w:pPr>
  </w:style>
  <w:style w:type="table" w:styleId="TableGrid">
    <w:name w:val="Table Grid"/>
    <w:basedOn w:val="TableNormal"/>
    <w:uiPriority w:val="39"/>
    <w:rsid w:val="00736F63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736F63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xmsolistparagraph">
    <w:name w:val="x_msolistparagraph"/>
    <w:basedOn w:val="Normal"/>
    <w:rsid w:val="00736F63"/>
    <w:pPr>
      <w:spacing w:after="0" w:line="240" w:lineRule="auto"/>
      <w:ind w:left="720"/>
    </w:pPr>
    <w:rPr>
      <w:rFonts w:ascii="Calibri" w:hAnsi="Calibri" w:cs="Calibri"/>
      <w:lang w:eastAsia="en-AU"/>
    </w:rPr>
  </w:style>
  <w:style w:type="paragraph" w:customStyle="1" w:styleId="xdefault">
    <w:name w:val="x_default"/>
    <w:basedOn w:val="Normal"/>
    <w:rsid w:val="00736F63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36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63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36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63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36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F6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F63"/>
    <w:rPr>
      <w:b/>
      <w:bCs/>
      <w:sz w:val="20"/>
      <w:szCs w:val="20"/>
      <w:lang w:val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6F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6F63"/>
    <w:rPr>
      <w:sz w:val="20"/>
      <w:szCs w:val="20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736F6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36F63"/>
    <w:rPr>
      <w:i/>
      <w:iCs/>
    </w:rPr>
  </w:style>
  <w:style w:type="character" w:customStyle="1" w:styleId="jrnl">
    <w:name w:val="jrnl"/>
    <w:basedOn w:val="DefaultParagraphFont"/>
    <w:rsid w:val="00736F6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36F63"/>
    <w:rPr>
      <w:color w:val="605E5C"/>
      <w:shd w:val="clear" w:color="auto" w:fill="E1DFDD"/>
    </w:rPr>
  </w:style>
  <w:style w:type="paragraph" w:customStyle="1" w:styleId="Default">
    <w:name w:val="Default"/>
    <w:rsid w:val="00736F63"/>
    <w:pPr>
      <w:autoSpaceDE w:val="0"/>
      <w:autoSpaceDN w:val="0"/>
      <w:adjustRightInd w:val="0"/>
      <w:spacing w:after="0" w:line="240" w:lineRule="auto"/>
    </w:pPr>
    <w:rPr>
      <w:rFonts w:ascii="Myriad Pro Light SemiCond" w:hAnsi="Myriad Pro Light SemiCond" w:cs="Myriad Pro Light SemiCond"/>
      <w:color w:val="000000"/>
      <w:sz w:val="24"/>
      <w:szCs w:val="24"/>
      <w:lang w:val="en-AU"/>
    </w:rPr>
  </w:style>
  <w:style w:type="character" w:customStyle="1" w:styleId="A1">
    <w:name w:val="A1"/>
    <w:uiPriority w:val="99"/>
    <w:rsid w:val="00736F63"/>
    <w:rPr>
      <w:rFonts w:ascii="Myriad Pro Black" w:hAnsi="Myriad Pro Black" w:cs="Myriad Pro Black"/>
      <w:b/>
      <w:bCs/>
      <w:color w:val="827C00"/>
    </w:rPr>
  </w:style>
  <w:style w:type="character" w:styleId="PlaceholderText">
    <w:name w:val="Placeholder Text"/>
    <w:basedOn w:val="DefaultParagraphFont"/>
    <w:uiPriority w:val="99"/>
    <w:semiHidden/>
    <w:rsid w:val="00736F63"/>
    <w:rPr>
      <w:color w:val="808080"/>
    </w:rPr>
  </w:style>
  <w:style w:type="paragraph" w:styleId="Revision">
    <w:name w:val="Revision"/>
    <w:hidden/>
    <w:uiPriority w:val="99"/>
    <w:semiHidden/>
    <w:rsid w:val="00736F63"/>
    <w:pPr>
      <w:spacing w:after="0" w:line="240" w:lineRule="auto"/>
    </w:pPr>
    <w:rPr>
      <w:lang w:val="en-AU"/>
    </w:rPr>
  </w:style>
  <w:style w:type="paragraph" w:styleId="NormalWeb">
    <w:name w:val="Normal (Web)"/>
    <w:basedOn w:val="Normal"/>
    <w:uiPriority w:val="99"/>
    <w:semiHidden/>
    <w:unhideWhenUsed/>
    <w:rsid w:val="0073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736F63"/>
    <w:rPr>
      <w:b/>
      <w:bCs/>
    </w:rPr>
  </w:style>
  <w:style w:type="table" w:styleId="GridTable1Light">
    <w:name w:val="Grid Table 1 Light"/>
    <w:basedOn w:val="TableNormal"/>
    <w:uiPriority w:val="46"/>
    <w:rsid w:val="00736F63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f0">
    <w:name w:val="pf0"/>
    <w:basedOn w:val="Normal"/>
    <w:rsid w:val="0073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736F6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36F63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736F63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736F63"/>
    <w:rPr>
      <w:rFonts w:ascii="Segoe UI" w:hAnsi="Segoe UI" w:cs="Segoe UI" w:hint="default"/>
      <w:color w:val="2A2A2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2022-08-06T16:25:00Z</dcterms:created>
  <dcterms:modified xsi:type="dcterms:W3CDTF">2022-08-06T16:27:00Z</dcterms:modified>
</cp:coreProperties>
</file>