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681" w:rsidRPr="00BE516E" w:rsidRDefault="00B0448E" w:rsidP="0099077E">
      <w:pPr>
        <w:spacing w:before="100" w:beforeAutospacing="1" w:after="100" w:afterAutospacing="1" w:line="360" w:lineRule="auto"/>
        <w:jc w:val="center"/>
        <w:rPr>
          <w:rFonts w:ascii="Times New Roman" w:hAnsi="Times New Roman" w:cs="Times New Roman"/>
          <w:b/>
          <w:sz w:val="20"/>
          <w:szCs w:val="20"/>
          <w:u w:val="single"/>
        </w:rPr>
      </w:pPr>
      <w:r w:rsidRPr="00BE516E">
        <w:rPr>
          <w:rFonts w:ascii="Times New Roman" w:hAnsi="Times New Roman" w:cs="Times New Roman"/>
          <w:b/>
          <w:sz w:val="20"/>
          <w:szCs w:val="20"/>
          <w:u w:val="single"/>
        </w:rPr>
        <w:t>Supporting</w:t>
      </w:r>
      <w:r w:rsidR="00B62AE7" w:rsidRPr="00BE516E">
        <w:rPr>
          <w:rFonts w:ascii="Times New Roman" w:hAnsi="Times New Roman" w:cs="Times New Roman"/>
          <w:b/>
          <w:sz w:val="20"/>
          <w:szCs w:val="20"/>
          <w:u w:val="single"/>
        </w:rPr>
        <w:t xml:space="preserve"> Information</w:t>
      </w:r>
    </w:p>
    <w:p w:rsidR="00185C4B" w:rsidRDefault="00174C49" w:rsidP="0086437D">
      <w:pPr>
        <w:spacing w:before="100" w:beforeAutospacing="1" w:after="100" w:afterAutospacing="1" w:line="360" w:lineRule="auto"/>
        <w:jc w:val="both"/>
        <w:rPr>
          <w:rFonts w:ascii="Times New Roman" w:hAnsi="Times New Roman" w:cs="Times New Roman"/>
          <w:b/>
          <w:sz w:val="20"/>
          <w:szCs w:val="20"/>
        </w:rPr>
      </w:pPr>
      <w:r>
        <w:rPr>
          <w:rFonts w:ascii="Times New Roman" w:hAnsi="Times New Roman" w:cs="Times New Roman"/>
          <w:b/>
          <w:sz w:val="20"/>
          <w:szCs w:val="20"/>
        </w:rPr>
        <w:t>Rodent</w:t>
      </w:r>
      <w:r w:rsidR="00185C4B" w:rsidRPr="00185C4B">
        <w:rPr>
          <w:rFonts w:ascii="Times New Roman" w:hAnsi="Times New Roman" w:cs="Times New Roman"/>
          <w:b/>
          <w:sz w:val="20"/>
          <w:szCs w:val="20"/>
        </w:rPr>
        <w:t xml:space="preserve"> model preclinical assessment of </w:t>
      </w:r>
      <w:proofErr w:type="spellStart"/>
      <w:r w:rsidR="00185C4B" w:rsidRPr="00185C4B">
        <w:rPr>
          <w:rFonts w:ascii="Times New Roman" w:hAnsi="Times New Roman" w:cs="Times New Roman"/>
          <w:b/>
          <w:sz w:val="20"/>
          <w:szCs w:val="20"/>
        </w:rPr>
        <w:t>PEGylated</w:t>
      </w:r>
      <w:proofErr w:type="spellEnd"/>
      <w:r w:rsidR="00185C4B" w:rsidRPr="00185C4B">
        <w:rPr>
          <w:rFonts w:ascii="Times New Roman" w:hAnsi="Times New Roman" w:cs="Times New Roman"/>
          <w:b/>
          <w:sz w:val="20"/>
          <w:szCs w:val="20"/>
        </w:rPr>
        <w:t xml:space="preserve"> block copolymer targeting cognition and oxidative stress insults of Alzheimer’s disease</w:t>
      </w:r>
    </w:p>
    <w:p w:rsidR="0086437D" w:rsidRPr="00BE516E" w:rsidRDefault="0086437D" w:rsidP="0086437D">
      <w:pPr>
        <w:spacing w:before="100" w:beforeAutospacing="1" w:after="100" w:afterAutospacing="1" w:line="360" w:lineRule="auto"/>
        <w:jc w:val="both"/>
        <w:rPr>
          <w:rFonts w:ascii="Times New Roman" w:hAnsi="Times New Roman" w:cs="Times New Roman"/>
          <w:sz w:val="20"/>
          <w:szCs w:val="20"/>
          <w:vertAlign w:val="superscript"/>
        </w:rPr>
      </w:pPr>
      <w:proofErr w:type="spellStart"/>
      <w:r w:rsidRPr="00BE516E">
        <w:rPr>
          <w:rFonts w:ascii="Times New Roman" w:hAnsi="Times New Roman" w:cs="Times New Roman"/>
          <w:sz w:val="20"/>
          <w:szCs w:val="20"/>
        </w:rPr>
        <w:t>Sutapa</w:t>
      </w:r>
      <w:proofErr w:type="spellEnd"/>
      <w:r w:rsidR="005A3659" w:rsidRPr="00BE516E">
        <w:rPr>
          <w:rFonts w:ascii="Times New Roman" w:hAnsi="Times New Roman" w:cs="Times New Roman"/>
          <w:sz w:val="20"/>
          <w:szCs w:val="20"/>
        </w:rPr>
        <w:t xml:space="preserve"> </w:t>
      </w:r>
      <w:proofErr w:type="spellStart"/>
      <w:r w:rsidRPr="00BE516E">
        <w:rPr>
          <w:rFonts w:ascii="Times New Roman" w:hAnsi="Times New Roman" w:cs="Times New Roman"/>
          <w:sz w:val="20"/>
          <w:szCs w:val="20"/>
        </w:rPr>
        <w:t>Som</w:t>
      </w:r>
      <w:proofErr w:type="spellEnd"/>
      <w:r w:rsidRPr="00BE516E">
        <w:rPr>
          <w:rFonts w:ascii="Times New Roman" w:hAnsi="Times New Roman" w:cs="Times New Roman"/>
          <w:sz w:val="20"/>
          <w:szCs w:val="20"/>
        </w:rPr>
        <w:t xml:space="preserve"> Chaudhury</w:t>
      </w:r>
      <w:r w:rsidRPr="00BE516E">
        <w:rPr>
          <w:rFonts w:ascii="Times New Roman" w:hAnsi="Times New Roman" w:cs="Times New Roman"/>
          <w:sz w:val="20"/>
          <w:szCs w:val="20"/>
          <w:vertAlign w:val="superscript"/>
        </w:rPr>
        <w:t>1</w:t>
      </w:r>
      <w:r w:rsidRPr="00BE516E">
        <w:rPr>
          <w:rFonts w:ascii="Times New Roman" w:hAnsi="Times New Roman" w:cs="Times New Roman"/>
          <w:sz w:val="20"/>
          <w:szCs w:val="20"/>
        </w:rPr>
        <w:t xml:space="preserve">, </w:t>
      </w:r>
      <w:proofErr w:type="spellStart"/>
      <w:r w:rsidR="008B5D4A" w:rsidRPr="00BE516E">
        <w:rPr>
          <w:rFonts w:ascii="Times New Roman" w:hAnsi="Times New Roman" w:cs="Times New Roman"/>
          <w:sz w:val="20"/>
          <w:szCs w:val="20"/>
        </w:rPr>
        <w:t>Mridula</w:t>
      </w:r>
      <w:proofErr w:type="spellEnd"/>
      <w:r w:rsidR="008B5D4A" w:rsidRPr="00BE516E">
        <w:rPr>
          <w:rFonts w:ascii="Times New Roman" w:hAnsi="Times New Roman" w:cs="Times New Roman"/>
          <w:sz w:val="20"/>
          <w:szCs w:val="20"/>
        </w:rPr>
        <w:t xml:space="preserve"> Nandi</w:t>
      </w:r>
      <w:r w:rsidR="008B5D4A" w:rsidRPr="00BE516E">
        <w:rPr>
          <w:rFonts w:ascii="Times New Roman" w:hAnsi="Times New Roman" w:cs="Times New Roman"/>
          <w:sz w:val="20"/>
          <w:szCs w:val="20"/>
          <w:vertAlign w:val="superscript"/>
        </w:rPr>
        <w:t>2</w:t>
      </w:r>
      <w:r w:rsidR="00AF2E01" w:rsidRPr="00BE516E">
        <w:rPr>
          <w:rFonts w:ascii="Times New Roman" w:hAnsi="Times New Roman" w:cs="Times New Roman"/>
          <w:b/>
          <w:sz w:val="20"/>
          <w:szCs w:val="20"/>
          <w:vertAlign w:val="superscript"/>
          <w:rtl/>
        </w:rPr>
        <w:t>٢</w:t>
      </w:r>
      <w:r w:rsidR="008B5D4A" w:rsidRPr="00BE516E">
        <w:rPr>
          <w:rFonts w:ascii="Times New Roman" w:hAnsi="Times New Roman" w:cs="Times New Roman"/>
          <w:sz w:val="20"/>
          <w:szCs w:val="20"/>
        </w:rPr>
        <w:t xml:space="preserve">, </w:t>
      </w:r>
      <w:r w:rsidRPr="00BE516E">
        <w:rPr>
          <w:rFonts w:ascii="Times New Roman" w:hAnsi="Times New Roman" w:cs="Times New Roman"/>
          <w:sz w:val="20"/>
          <w:szCs w:val="20"/>
        </w:rPr>
        <w:t>Krishna Kumar</w:t>
      </w:r>
      <w:r w:rsidRPr="00BE516E">
        <w:rPr>
          <w:rFonts w:ascii="Times New Roman" w:hAnsi="Times New Roman" w:cs="Times New Roman"/>
          <w:sz w:val="20"/>
          <w:szCs w:val="20"/>
          <w:vertAlign w:val="superscript"/>
        </w:rPr>
        <w:t>3</w:t>
      </w:r>
      <w:r w:rsidRPr="00BE516E">
        <w:rPr>
          <w:rFonts w:ascii="Times New Roman" w:hAnsi="Times New Roman" w:cs="Times New Roman"/>
          <w:sz w:val="20"/>
          <w:szCs w:val="20"/>
        </w:rPr>
        <w:t xml:space="preserve">, </w:t>
      </w:r>
      <w:proofErr w:type="spellStart"/>
      <w:r w:rsidRPr="00BE516E">
        <w:rPr>
          <w:rFonts w:ascii="Times New Roman" w:hAnsi="Times New Roman" w:cs="Times New Roman"/>
          <w:sz w:val="20"/>
          <w:szCs w:val="20"/>
        </w:rPr>
        <w:t>Bhuban</w:t>
      </w:r>
      <w:proofErr w:type="spellEnd"/>
      <w:r w:rsidRPr="00BE516E">
        <w:rPr>
          <w:rFonts w:ascii="Times New Roman" w:hAnsi="Times New Roman" w:cs="Times New Roman"/>
          <w:sz w:val="20"/>
          <w:szCs w:val="20"/>
        </w:rPr>
        <w:t xml:space="preserve"> Ruidas</w:t>
      </w:r>
      <w:r w:rsidRPr="00BE516E">
        <w:rPr>
          <w:rFonts w:ascii="Times New Roman" w:hAnsi="Times New Roman" w:cs="Times New Roman"/>
          <w:sz w:val="20"/>
          <w:szCs w:val="20"/>
          <w:vertAlign w:val="superscript"/>
        </w:rPr>
        <w:t>1</w:t>
      </w:r>
      <w:r w:rsidRPr="00BE516E">
        <w:rPr>
          <w:rFonts w:ascii="Times New Roman" w:hAnsi="Times New Roman" w:cs="Times New Roman"/>
          <w:sz w:val="20"/>
          <w:szCs w:val="20"/>
        </w:rPr>
        <w:t xml:space="preserve">, </w:t>
      </w:r>
      <w:r w:rsidR="008B5D4A" w:rsidRPr="00BE516E">
        <w:rPr>
          <w:rFonts w:ascii="Times New Roman" w:hAnsi="Times New Roman" w:cs="Times New Roman"/>
          <w:sz w:val="20"/>
          <w:szCs w:val="20"/>
        </w:rPr>
        <w:t>Tapas Kumar Sur</w:t>
      </w:r>
      <w:r w:rsidR="008B5D4A" w:rsidRPr="00BE516E">
        <w:rPr>
          <w:rFonts w:ascii="Times New Roman" w:hAnsi="Times New Roman" w:cs="Times New Roman"/>
          <w:sz w:val="20"/>
          <w:szCs w:val="20"/>
          <w:vertAlign w:val="superscript"/>
        </w:rPr>
        <w:t>4</w:t>
      </w:r>
      <w:r w:rsidR="008B5D4A" w:rsidRPr="00BE516E">
        <w:rPr>
          <w:rFonts w:ascii="Times New Roman" w:hAnsi="Times New Roman" w:cs="Times New Roman"/>
          <w:sz w:val="20"/>
          <w:szCs w:val="20"/>
        </w:rPr>
        <w:t xml:space="preserve">, </w:t>
      </w:r>
      <w:proofErr w:type="spellStart"/>
      <w:r w:rsidRPr="00BE516E">
        <w:rPr>
          <w:rFonts w:ascii="Times New Roman" w:hAnsi="Times New Roman" w:cs="Times New Roman"/>
          <w:sz w:val="20"/>
          <w:szCs w:val="20"/>
        </w:rPr>
        <w:t>Parash</w:t>
      </w:r>
      <w:proofErr w:type="spellEnd"/>
      <w:r w:rsidRPr="00BE516E">
        <w:rPr>
          <w:rFonts w:ascii="Times New Roman" w:hAnsi="Times New Roman" w:cs="Times New Roman"/>
          <w:sz w:val="20"/>
          <w:szCs w:val="20"/>
        </w:rPr>
        <w:t xml:space="preserve"> Prasad</w:t>
      </w:r>
      <w:r w:rsidRPr="00BE516E">
        <w:rPr>
          <w:rFonts w:ascii="Times New Roman" w:hAnsi="Times New Roman" w:cs="Times New Roman"/>
          <w:sz w:val="20"/>
          <w:szCs w:val="20"/>
          <w:vertAlign w:val="superscript"/>
        </w:rPr>
        <w:t>5</w:t>
      </w:r>
      <w:r w:rsidRPr="00BE516E">
        <w:rPr>
          <w:rFonts w:ascii="Times New Roman" w:hAnsi="Times New Roman" w:cs="Times New Roman"/>
          <w:sz w:val="20"/>
          <w:szCs w:val="20"/>
        </w:rPr>
        <w:t xml:space="preserve">, </w:t>
      </w:r>
      <w:proofErr w:type="spellStart"/>
      <w:r w:rsidRPr="00BE516E">
        <w:rPr>
          <w:rFonts w:ascii="Times New Roman" w:hAnsi="Times New Roman" w:cs="Times New Roman"/>
          <w:sz w:val="20"/>
          <w:szCs w:val="20"/>
        </w:rPr>
        <w:t>Saikat</w:t>
      </w:r>
      <w:proofErr w:type="spellEnd"/>
      <w:r w:rsidRPr="00BE516E">
        <w:rPr>
          <w:rFonts w:ascii="Times New Roman" w:hAnsi="Times New Roman" w:cs="Times New Roman"/>
          <w:sz w:val="20"/>
          <w:szCs w:val="20"/>
        </w:rPr>
        <w:t xml:space="preserve"> Chakrabarti</w:t>
      </w:r>
      <w:r w:rsidRPr="00BE516E">
        <w:rPr>
          <w:rFonts w:ascii="Times New Roman" w:hAnsi="Times New Roman" w:cs="Times New Roman"/>
          <w:sz w:val="20"/>
          <w:szCs w:val="20"/>
          <w:vertAlign w:val="superscript"/>
        </w:rPr>
        <w:t>3</w:t>
      </w:r>
      <w:r w:rsidRPr="00BE516E">
        <w:rPr>
          <w:rFonts w:ascii="Times New Roman" w:hAnsi="Times New Roman" w:cs="Times New Roman"/>
          <w:sz w:val="20"/>
          <w:szCs w:val="20"/>
        </w:rPr>
        <w:t xml:space="preserve">, </w:t>
      </w:r>
      <w:proofErr w:type="spellStart"/>
      <w:r w:rsidRPr="00BE516E">
        <w:rPr>
          <w:rFonts w:ascii="Times New Roman" w:hAnsi="Times New Roman" w:cs="Times New Roman"/>
          <w:sz w:val="20"/>
          <w:szCs w:val="20"/>
        </w:rPr>
        <w:t>Priyadarsi</w:t>
      </w:r>
      <w:proofErr w:type="spellEnd"/>
      <w:r w:rsidRPr="00BE516E">
        <w:rPr>
          <w:rFonts w:ascii="Times New Roman" w:hAnsi="Times New Roman" w:cs="Times New Roman"/>
          <w:sz w:val="20"/>
          <w:szCs w:val="20"/>
        </w:rPr>
        <w:t xml:space="preserve"> De</w:t>
      </w:r>
      <w:r w:rsidR="008B5D4A" w:rsidRPr="00BE516E">
        <w:rPr>
          <w:rFonts w:ascii="Times New Roman" w:hAnsi="Times New Roman" w:cs="Times New Roman"/>
          <w:sz w:val="20"/>
          <w:szCs w:val="20"/>
          <w:vertAlign w:val="superscript"/>
        </w:rPr>
        <w:t>2</w:t>
      </w:r>
      <w:r w:rsidRPr="00BE516E">
        <w:rPr>
          <w:rFonts w:ascii="Times New Roman" w:hAnsi="Times New Roman" w:cs="Times New Roman"/>
          <w:sz w:val="20"/>
          <w:szCs w:val="20"/>
        </w:rPr>
        <w:t>, Jaya Sil</w:t>
      </w:r>
      <w:r w:rsidRPr="00BE516E">
        <w:rPr>
          <w:rFonts w:ascii="Times New Roman" w:hAnsi="Times New Roman" w:cs="Times New Roman"/>
          <w:sz w:val="20"/>
          <w:szCs w:val="20"/>
          <w:vertAlign w:val="superscript"/>
        </w:rPr>
        <w:t>1</w:t>
      </w:r>
      <w:r w:rsidR="008B5D4A" w:rsidRPr="00BE516E">
        <w:rPr>
          <w:rFonts w:ascii="Times New Roman" w:hAnsi="Times New Roman" w:cs="Times New Roman"/>
          <w:sz w:val="20"/>
          <w:szCs w:val="20"/>
        </w:rPr>
        <w:t xml:space="preserve">, </w:t>
      </w:r>
      <w:proofErr w:type="spellStart"/>
      <w:r w:rsidRPr="00BE516E">
        <w:rPr>
          <w:rFonts w:ascii="Times New Roman" w:hAnsi="Times New Roman" w:cs="Times New Roman"/>
          <w:sz w:val="20"/>
          <w:szCs w:val="20"/>
        </w:rPr>
        <w:t>Chitrangada</w:t>
      </w:r>
      <w:proofErr w:type="spellEnd"/>
      <w:r w:rsidRPr="00BE516E">
        <w:rPr>
          <w:rFonts w:ascii="Times New Roman" w:hAnsi="Times New Roman" w:cs="Times New Roman"/>
          <w:sz w:val="20"/>
          <w:szCs w:val="20"/>
        </w:rPr>
        <w:t xml:space="preserve"> Das Mukhopadhyay</w:t>
      </w:r>
      <w:r w:rsidRPr="00BE516E">
        <w:rPr>
          <w:rFonts w:ascii="Times New Roman" w:hAnsi="Times New Roman" w:cs="Times New Roman"/>
          <w:sz w:val="20"/>
          <w:szCs w:val="20"/>
          <w:vertAlign w:val="superscript"/>
        </w:rPr>
        <w:t>1*</w:t>
      </w:r>
    </w:p>
    <w:p w:rsidR="005A3659" w:rsidRPr="00BE516E" w:rsidRDefault="005A3659" w:rsidP="005A3659">
      <w:pPr>
        <w:spacing w:after="0" w:line="360" w:lineRule="auto"/>
        <w:jc w:val="both"/>
        <w:rPr>
          <w:rFonts w:ascii="Times New Roman" w:hAnsi="Times New Roman" w:cs="Times New Roman"/>
          <w:sz w:val="20"/>
          <w:szCs w:val="20"/>
        </w:rPr>
      </w:pPr>
      <w:r w:rsidRPr="00BE516E">
        <w:rPr>
          <w:rFonts w:ascii="Times New Roman" w:hAnsi="Times New Roman" w:cs="Times New Roman"/>
          <w:sz w:val="20"/>
          <w:szCs w:val="20"/>
          <w:vertAlign w:val="superscript"/>
        </w:rPr>
        <w:t>1</w:t>
      </w:r>
      <w:r w:rsidRPr="00BE516E">
        <w:rPr>
          <w:rFonts w:ascii="Times New Roman" w:hAnsi="Times New Roman" w:cs="Times New Roman"/>
          <w:sz w:val="20"/>
          <w:szCs w:val="20"/>
        </w:rPr>
        <w:t xml:space="preserve">Centre for Healthcare Science and Technology, Indian Institute of Engineering Science and Technology, </w:t>
      </w:r>
      <w:proofErr w:type="spellStart"/>
      <w:r w:rsidRPr="00BE516E">
        <w:rPr>
          <w:rFonts w:ascii="Times New Roman" w:hAnsi="Times New Roman" w:cs="Times New Roman"/>
          <w:sz w:val="20"/>
          <w:szCs w:val="20"/>
        </w:rPr>
        <w:t>Shibpur</w:t>
      </w:r>
      <w:proofErr w:type="spellEnd"/>
      <w:r w:rsidRPr="00BE516E">
        <w:rPr>
          <w:rFonts w:ascii="Times New Roman" w:hAnsi="Times New Roman" w:cs="Times New Roman"/>
          <w:sz w:val="20"/>
          <w:szCs w:val="20"/>
        </w:rPr>
        <w:t>, Howrah-711103, West Bengal, India</w:t>
      </w:r>
    </w:p>
    <w:p w:rsidR="008B5D4A" w:rsidRPr="00BE516E" w:rsidRDefault="008B5D4A" w:rsidP="008B5D4A">
      <w:pPr>
        <w:spacing w:after="0" w:line="360" w:lineRule="auto"/>
        <w:jc w:val="both"/>
        <w:rPr>
          <w:rFonts w:ascii="Times New Roman" w:hAnsi="Times New Roman" w:cs="Times New Roman"/>
          <w:sz w:val="20"/>
          <w:szCs w:val="20"/>
        </w:rPr>
      </w:pPr>
      <w:r w:rsidRPr="00BE516E">
        <w:rPr>
          <w:rFonts w:ascii="Times New Roman" w:hAnsi="Times New Roman" w:cs="Times New Roman"/>
          <w:sz w:val="20"/>
          <w:szCs w:val="20"/>
          <w:vertAlign w:val="superscript"/>
        </w:rPr>
        <w:t>2</w:t>
      </w:r>
      <w:r w:rsidRPr="00BE516E">
        <w:rPr>
          <w:rFonts w:ascii="Times New Roman" w:hAnsi="Times New Roman" w:cs="Times New Roman"/>
          <w:sz w:val="20"/>
          <w:szCs w:val="20"/>
        </w:rPr>
        <w:t xml:space="preserve">Department of Chemical Sciences, Indian Institute of Science Education and Research Kolkata, </w:t>
      </w:r>
      <w:proofErr w:type="spellStart"/>
      <w:r w:rsidRPr="00BE516E">
        <w:rPr>
          <w:rFonts w:ascii="Times New Roman" w:hAnsi="Times New Roman" w:cs="Times New Roman"/>
          <w:sz w:val="20"/>
          <w:szCs w:val="20"/>
        </w:rPr>
        <w:t>Mohanpur</w:t>
      </w:r>
      <w:proofErr w:type="spellEnd"/>
      <w:r w:rsidRPr="00BE516E">
        <w:rPr>
          <w:rFonts w:ascii="Times New Roman" w:hAnsi="Times New Roman" w:cs="Times New Roman"/>
          <w:sz w:val="20"/>
          <w:szCs w:val="20"/>
        </w:rPr>
        <w:t>, West Bengal- 741246, India</w:t>
      </w:r>
    </w:p>
    <w:p w:rsidR="008B5D4A" w:rsidRPr="00BE516E" w:rsidRDefault="008B5D4A" w:rsidP="005A3659">
      <w:pPr>
        <w:spacing w:after="0" w:line="360" w:lineRule="auto"/>
        <w:jc w:val="both"/>
        <w:rPr>
          <w:rFonts w:ascii="Times New Roman" w:hAnsi="Times New Roman" w:cs="Times New Roman"/>
          <w:sz w:val="20"/>
          <w:szCs w:val="20"/>
        </w:rPr>
      </w:pPr>
      <w:r w:rsidRPr="00BE516E">
        <w:rPr>
          <w:rFonts w:ascii="Times New Roman" w:hAnsi="Times New Roman" w:cs="Times New Roman"/>
          <w:sz w:val="20"/>
          <w:szCs w:val="20"/>
          <w:vertAlign w:val="superscript"/>
        </w:rPr>
        <w:t>3</w:t>
      </w:r>
      <w:r w:rsidRPr="00BE516E">
        <w:rPr>
          <w:rFonts w:ascii="Times New Roman" w:hAnsi="Times New Roman" w:cs="Times New Roman"/>
          <w:sz w:val="20"/>
          <w:szCs w:val="20"/>
        </w:rPr>
        <w:t xml:space="preserve">Structural Biology and Bioinformatics division, CSIR-Indian Institute of Chemical Biology, IICB TRUE building, CN 6, Sector V Salt Lake, Kolkata-700091, </w:t>
      </w:r>
      <w:proofErr w:type="gramStart"/>
      <w:r w:rsidRPr="00BE516E">
        <w:rPr>
          <w:rFonts w:ascii="Times New Roman" w:hAnsi="Times New Roman" w:cs="Times New Roman"/>
          <w:sz w:val="20"/>
          <w:szCs w:val="20"/>
        </w:rPr>
        <w:t>West</w:t>
      </w:r>
      <w:proofErr w:type="gramEnd"/>
      <w:r w:rsidRPr="00BE516E">
        <w:rPr>
          <w:rFonts w:ascii="Times New Roman" w:hAnsi="Times New Roman" w:cs="Times New Roman"/>
          <w:sz w:val="20"/>
          <w:szCs w:val="20"/>
        </w:rPr>
        <w:t xml:space="preserve"> Bengal, India</w:t>
      </w:r>
    </w:p>
    <w:p w:rsidR="005A3659" w:rsidRPr="00BE516E" w:rsidRDefault="008B5D4A" w:rsidP="005A3659">
      <w:pPr>
        <w:spacing w:after="0" w:line="360" w:lineRule="auto"/>
        <w:jc w:val="both"/>
        <w:rPr>
          <w:rFonts w:ascii="Times New Roman" w:hAnsi="Times New Roman" w:cs="Times New Roman"/>
          <w:sz w:val="20"/>
          <w:szCs w:val="20"/>
        </w:rPr>
      </w:pPr>
      <w:r w:rsidRPr="00BE516E">
        <w:rPr>
          <w:rFonts w:ascii="Times New Roman" w:hAnsi="Times New Roman" w:cs="Times New Roman"/>
          <w:sz w:val="20"/>
          <w:szCs w:val="20"/>
          <w:vertAlign w:val="superscript"/>
        </w:rPr>
        <w:t>4</w:t>
      </w:r>
      <w:r w:rsidR="005A3659" w:rsidRPr="00BE516E">
        <w:rPr>
          <w:rFonts w:ascii="Times New Roman" w:hAnsi="Times New Roman" w:cs="Times New Roman"/>
          <w:sz w:val="20"/>
          <w:szCs w:val="20"/>
        </w:rPr>
        <w:t xml:space="preserve">Department of Pharmacology, R.G </w:t>
      </w:r>
      <w:proofErr w:type="spellStart"/>
      <w:r w:rsidR="005A3659" w:rsidRPr="00BE516E">
        <w:rPr>
          <w:rFonts w:ascii="Times New Roman" w:hAnsi="Times New Roman" w:cs="Times New Roman"/>
          <w:sz w:val="20"/>
          <w:szCs w:val="20"/>
        </w:rPr>
        <w:t>Kar</w:t>
      </w:r>
      <w:proofErr w:type="spellEnd"/>
      <w:r w:rsidR="005A3659" w:rsidRPr="00BE516E">
        <w:rPr>
          <w:rFonts w:ascii="Times New Roman" w:hAnsi="Times New Roman" w:cs="Times New Roman"/>
          <w:sz w:val="20"/>
          <w:szCs w:val="20"/>
        </w:rPr>
        <w:t xml:space="preserve"> Medical College and Hospital, Kolkata-700004, West Bengal, India</w:t>
      </w:r>
    </w:p>
    <w:p w:rsidR="005A3659" w:rsidRPr="00BE516E" w:rsidRDefault="005A3659" w:rsidP="005A3659">
      <w:pPr>
        <w:spacing w:after="0" w:line="360" w:lineRule="auto"/>
        <w:jc w:val="both"/>
        <w:rPr>
          <w:rFonts w:ascii="Times New Roman" w:hAnsi="Times New Roman" w:cs="Times New Roman"/>
          <w:sz w:val="20"/>
          <w:szCs w:val="20"/>
        </w:rPr>
      </w:pPr>
      <w:r w:rsidRPr="00BE516E">
        <w:rPr>
          <w:rFonts w:ascii="Times New Roman" w:hAnsi="Times New Roman" w:cs="Times New Roman"/>
          <w:sz w:val="20"/>
          <w:szCs w:val="20"/>
          <w:vertAlign w:val="superscript"/>
        </w:rPr>
        <w:t>5</w:t>
      </w:r>
      <w:r w:rsidR="00C65345" w:rsidRPr="00BE516E">
        <w:rPr>
          <w:rFonts w:ascii="Times New Roman" w:hAnsi="Times New Roman" w:cs="Times New Roman"/>
          <w:sz w:val="20"/>
          <w:szCs w:val="20"/>
        </w:rPr>
        <w:t>CSIR-Indian Institute of C</w:t>
      </w:r>
      <w:r w:rsidRPr="00BE516E">
        <w:rPr>
          <w:rFonts w:ascii="Times New Roman" w:hAnsi="Times New Roman" w:cs="Times New Roman"/>
          <w:sz w:val="20"/>
          <w:szCs w:val="20"/>
        </w:rPr>
        <w:t xml:space="preserve">hemical Biology, 4, Raja </w:t>
      </w:r>
      <w:proofErr w:type="spellStart"/>
      <w:r w:rsidRPr="00BE516E">
        <w:rPr>
          <w:rFonts w:ascii="Times New Roman" w:hAnsi="Times New Roman" w:cs="Times New Roman"/>
          <w:sz w:val="20"/>
          <w:szCs w:val="20"/>
        </w:rPr>
        <w:t>Subodh</w:t>
      </w:r>
      <w:proofErr w:type="spellEnd"/>
      <w:r w:rsidRPr="00BE516E">
        <w:rPr>
          <w:rFonts w:ascii="Times New Roman" w:hAnsi="Times New Roman" w:cs="Times New Roman"/>
          <w:sz w:val="20"/>
          <w:szCs w:val="20"/>
        </w:rPr>
        <w:t xml:space="preserve"> Chandra </w:t>
      </w:r>
      <w:proofErr w:type="spellStart"/>
      <w:r w:rsidRPr="00BE516E">
        <w:rPr>
          <w:rFonts w:ascii="Times New Roman" w:hAnsi="Times New Roman" w:cs="Times New Roman"/>
          <w:sz w:val="20"/>
          <w:szCs w:val="20"/>
        </w:rPr>
        <w:t>Mallick</w:t>
      </w:r>
      <w:proofErr w:type="spellEnd"/>
      <w:r w:rsidRPr="00BE516E">
        <w:rPr>
          <w:rFonts w:ascii="Times New Roman" w:hAnsi="Times New Roman" w:cs="Times New Roman"/>
          <w:sz w:val="20"/>
          <w:szCs w:val="20"/>
        </w:rPr>
        <w:t xml:space="preserve"> Road, </w:t>
      </w:r>
      <w:proofErr w:type="spellStart"/>
      <w:r w:rsidRPr="00BE516E">
        <w:rPr>
          <w:rFonts w:ascii="Times New Roman" w:hAnsi="Times New Roman" w:cs="Times New Roman"/>
          <w:sz w:val="20"/>
          <w:szCs w:val="20"/>
        </w:rPr>
        <w:t>Jadavpur</w:t>
      </w:r>
      <w:proofErr w:type="spellEnd"/>
      <w:r w:rsidRPr="00BE516E">
        <w:rPr>
          <w:rFonts w:ascii="Times New Roman" w:hAnsi="Times New Roman" w:cs="Times New Roman"/>
          <w:sz w:val="20"/>
          <w:szCs w:val="20"/>
        </w:rPr>
        <w:t>, Kolkata-700032, West Bengal, India</w:t>
      </w:r>
    </w:p>
    <w:p w:rsidR="00E5316B" w:rsidRPr="00BE516E" w:rsidRDefault="00AF2E01" w:rsidP="00E5316B">
      <w:pPr>
        <w:spacing w:after="0" w:line="360" w:lineRule="auto"/>
        <w:jc w:val="both"/>
        <w:rPr>
          <w:rFonts w:ascii="Times New Roman" w:hAnsi="Times New Roman" w:cs="Times New Roman"/>
          <w:sz w:val="20"/>
          <w:szCs w:val="20"/>
        </w:rPr>
      </w:pPr>
      <w:r w:rsidRPr="00BE516E">
        <w:rPr>
          <w:rFonts w:ascii="Times New Roman" w:hAnsi="Times New Roman" w:cs="Times New Roman"/>
          <w:b/>
          <w:sz w:val="20"/>
          <w:szCs w:val="20"/>
          <w:vertAlign w:val="superscript"/>
          <w:rtl/>
        </w:rPr>
        <w:t>٢</w:t>
      </w:r>
      <w:r w:rsidRPr="00BE516E">
        <w:rPr>
          <w:rFonts w:ascii="Times New Roman" w:hAnsi="Times New Roman" w:cs="Times New Roman"/>
          <w:sz w:val="20"/>
          <w:szCs w:val="20"/>
        </w:rPr>
        <w:t xml:space="preserve">Present address: Department of Chemical and </w:t>
      </w:r>
      <w:proofErr w:type="spellStart"/>
      <w:r w:rsidRPr="00BE516E">
        <w:rPr>
          <w:rFonts w:ascii="Times New Roman" w:hAnsi="Times New Roman" w:cs="Times New Roman"/>
          <w:sz w:val="20"/>
          <w:szCs w:val="20"/>
        </w:rPr>
        <w:t>Biomolecular</w:t>
      </w:r>
      <w:proofErr w:type="spellEnd"/>
      <w:r w:rsidRPr="00BE516E">
        <w:rPr>
          <w:rFonts w:ascii="Times New Roman" w:hAnsi="Times New Roman" w:cs="Times New Roman"/>
          <w:sz w:val="20"/>
          <w:szCs w:val="20"/>
        </w:rPr>
        <w:t xml:space="preserve"> Engineering, University of Delaware, Newark, Delaware 19716, United States.  </w:t>
      </w:r>
    </w:p>
    <w:p w:rsidR="00E5316B" w:rsidRPr="00BE516E" w:rsidRDefault="00E5316B" w:rsidP="00E5316B">
      <w:pPr>
        <w:spacing w:after="0" w:line="360" w:lineRule="auto"/>
        <w:jc w:val="both"/>
        <w:rPr>
          <w:rFonts w:ascii="Times New Roman" w:hAnsi="Times New Roman" w:cs="Times New Roman"/>
          <w:sz w:val="20"/>
          <w:szCs w:val="20"/>
        </w:rPr>
      </w:pPr>
    </w:p>
    <w:p w:rsidR="00E5316B" w:rsidRPr="00BE516E" w:rsidRDefault="00E5316B" w:rsidP="00E5316B">
      <w:pPr>
        <w:spacing w:after="0" w:line="360" w:lineRule="auto"/>
        <w:jc w:val="both"/>
        <w:rPr>
          <w:rFonts w:ascii="Times New Roman" w:hAnsi="Times New Roman" w:cs="Times New Roman"/>
          <w:sz w:val="20"/>
          <w:szCs w:val="20"/>
        </w:rPr>
      </w:pPr>
    </w:p>
    <w:p w:rsidR="00097C68" w:rsidRPr="00BE516E" w:rsidRDefault="00097C68" w:rsidP="0099077E">
      <w:pPr>
        <w:pStyle w:val="NoSpacing"/>
        <w:spacing w:before="100" w:beforeAutospacing="1" w:after="100" w:afterAutospacing="1" w:line="360" w:lineRule="auto"/>
        <w:jc w:val="both"/>
        <w:rPr>
          <w:rFonts w:ascii="Times New Roman" w:hAnsi="Times New Roman" w:cs="Times New Roman"/>
          <w:b/>
          <w:iCs/>
          <w:sz w:val="20"/>
          <w:szCs w:val="20"/>
        </w:rPr>
      </w:pPr>
    </w:p>
    <w:p w:rsidR="00097C68" w:rsidRPr="00BE516E" w:rsidRDefault="00097C68" w:rsidP="0099077E">
      <w:pPr>
        <w:pStyle w:val="NoSpacing"/>
        <w:spacing w:before="100" w:beforeAutospacing="1" w:after="100" w:afterAutospacing="1" w:line="360" w:lineRule="auto"/>
        <w:jc w:val="both"/>
        <w:rPr>
          <w:rFonts w:ascii="Times New Roman" w:hAnsi="Times New Roman" w:cs="Times New Roman"/>
          <w:b/>
          <w:iCs/>
          <w:sz w:val="20"/>
          <w:szCs w:val="20"/>
        </w:rPr>
      </w:pPr>
    </w:p>
    <w:p w:rsidR="00097C68" w:rsidRPr="00BE516E" w:rsidRDefault="00097C68" w:rsidP="0099077E">
      <w:pPr>
        <w:pStyle w:val="NoSpacing"/>
        <w:spacing w:before="100" w:beforeAutospacing="1" w:after="100" w:afterAutospacing="1" w:line="360" w:lineRule="auto"/>
        <w:jc w:val="both"/>
        <w:rPr>
          <w:rFonts w:ascii="Times New Roman" w:hAnsi="Times New Roman" w:cs="Times New Roman"/>
          <w:b/>
          <w:iCs/>
          <w:sz w:val="20"/>
          <w:szCs w:val="20"/>
        </w:rPr>
      </w:pPr>
    </w:p>
    <w:p w:rsidR="00097C68" w:rsidRPr="00BE516E" w:rsidRDefault="00097C68" w:rsidP="0099077E">
      <w:pPr>
        <w:pStyle w:val="NoSpacing"/>
        <w:spacing w:before="100" w:beforeAutospacing="1" w:after="100" w:afterAutospacing="1" w:line="360" w:lineRule="auto"/>
        <w:jc w:val="both"/>
        <w:rPr>
          <w:rFonts w:ascii="Times New Roman" w:hAnsi="Times New Roman" w:cs="Times New Roman"/>
          <w:b/>
          <w:iCs/>
          <w:sz w:val="20"/>
          <w:szCs w:val="20"/>
        </w:rPr>
      </w:pPr>
    </w:p>
    <w:p w:rsidR="00097C68" w:rsidRPr="00BE516E" w:rsidRDefault="00097C68" w:rsidP="0099077E">
      <w:pPr>
        <w:pStyle w:val="NoSpacing"/>
        <w:spacing w:before="100" w:beforeAutospacing="1" w:after="100" w:afterAutospacing="1" w:line="360" w:lineRule="auto"/>
        <w:jc w:val="both"/>
        <w:rPr>
          <w:rFonts w:ascii="Times New Roman" w:hAnsi="Times New Roman" w:cs="Times New Roman"/>
          <w:b/>
          <w:iCs/>
          <w:sz w:val="20"/>
          <w:szCs w:val="20"/>
        </w:rPr>
      </w:pPr>
    </w:p>
    <w:p w:rsidR="00BE516E" w:rsidRDefault="00BE516E" w:rsidP="0099077E">
      <w:pPr>
        <w:pStyle w:val="NoSpacing"/>
        <w:spacing w:before="100" w:beforeAutospacing="1" w:after="100" w:afterAutospacing="1" w:line="360" w:lineRule="auto"/>
        <w:jc w:val="both"/>
        <w:rPr>
          <w:rFonts w:ascii="Times New Roman" w:hAnsi="Times New Roman" w:cs="Times New Roman"/>
          <w:b/>
          <w:iCs/>
          <w:sz w:val="20"/>
          <w:szCs w:val="20"/>
        </w:rPr>
      </w:pPr>
    </w:p>
    <w:p w:rsidR="00BE516E" w:rsidRDefault="00BE516E" w:rsidP="0099077E">
      <w:pPr>
        <w:pStyle w:val="NoSpacing"/>
        <w:spacing w:before="100" w:beforeAutospacing="1" w:after="100" w:afterAutospacing="1" w:line="360" w:lineRule="auto"/>
        <w:jc w:val="both"/>
        <w:rPr>
          <w:rFonts w:ascii="Times New Roman" w:hAnsi="Times New Roman" w:cs="Times New Roman"/>
          <w:b/>
          <w:iCs/>
          <w:sz w:val="20"/>
          <w:szCs w:val="20"/>
        </w:rPr>
      </w:pPr>
    </w:p>
    <w:p w:rsidR="00BE516E" w:rsidRDefault="00BE516E" w:rsidP="0099077E">
      <w:pPr>
        <w:pStyle w:val="NoSpacing"/>
        <w:spacing w:before="100" w:beforeAutospacing="1" w:after="100" w:afterAutospacing="1" w:line="360" w:lineRule="auto"/>
        <w:jc w:val="both"/>
        <w:rPr>
          <w:rFonts w:ascii="Times New Roman" w:hAnsi="Times New Roman" w:cs="Times New Roman"/>
          <w:b/>
          <w:iCs/>
          <w:sz w:val="20"/>
          <w:szCs w:val="20"/>
        </w:rPr>
      </w:pPr>
    </w:p>
    <w:p w:rsidR="00BE516E" w:rsidRDefault="00BE516E" w:rsidP="0099077E">
      <w:pPr>
        <w:pStyle w:val="NoSpacing"/>
        <w:spacing w:before="100" w:beforeAutospacing="1" w:after="100" w:afterAutospacing="1" w:line="360" w:lineRule="auto"/>
        <w:jc w:val="both"/>
        <w:rPr>
          <w:rFonts w:ascii="Times New Roman" w:hAnsi="Times New Roman" w:cs="Times New Roman"/>
          <w:b/>
          <w:iCs/>
          <w:sz w:val="20"/>
          <w:szCs w:val="20"/>
        </w:rPr>
      </w:pPr>
    </w:p>
    <w:p w:rsidR="002B1A46" w:rsidRPr="00BE516E" w:rsidRDefault="00E10DEE" w:rsidP="0099077E">
      <w:pPr>
        <w:pStyle w:val="NoSpacing"/>
        <w:spacing w:before="100" w:beforeAutospacing="1" w:after="100" w:afterAutospacing="1" w:line="360" w:lineRule="auto"/>
        <w:jc w:val="both"/>
        <w:rPr>
          <w:rFonts w:ascii="Times New Roman" w:hAnsi="Times New Roman" w:cs="Times New Roman"/>
          <w:b/>
          <w:iCs/>
          <w:sz w:val="20"/>
          <w:szCs w:val="20"/>
        </w:rPr>
      </w:pPr>
      <w:r w:rsidRPr="00BE516E">
        <w:rPr>
          <w:rFonts w:ascii="Times New Roman" w:hAnsi="Times New Roman" w:cs="Times New Roman"/>
          <w:b/>
          <w:iCs/>
          <w:sz w:val="20"/>
          <w:szCs w:val="20"/>
        </w:rPr>
        <w:lastRenderedPageBreak/>
        <w:t>Results</w:t>
      </w:r>
    </w:p>
    <w:p w:rsidR="002816FB" w:rsidRDefault="00F51502" w:rsidP="0099077E">
      <w:pPr>
        <w:pStyle w:val="NoSpacing"/>
        <w:spacing w:before="100" w:beforeAutospacing="1" w:after="100" w:afterAutospacing="1" w:line="360" w:lineRule="auto"/>
        <w:jc w:val="both"/>
        <w:rPr>
          <w:rFonts w:ascii="Times New Roman" w:hAnsi="Times New Roman" w:cs="Times New Roman"/>
          <w:b/>
          <w:iCs/>
          <w:sz w:val="20"/>
          <w:szCs w:val="20"/>
        </w:rPr>
      </w:pPr>
      <w:r w:rsidRPr="00BE516E">
        <w:rPr>
          <w:rFonts w:ascii="Times New Roman" w:hAnsi="Times New Roman" w:cs="Times New Roman"/>
          <w:b/>
          <w:iCs/>
          <w:sz w:val="20"/>
          <w:szCs w:val="20"/>
        </w:rPr>
        <w:t>Synthesis and c</w:t>
      </w:r>
      <w:r w:rsidR="001712A4" w:rsidRPr="00BE516E">
        <w:rPr>
          <w:rFonts w:ascii="Times New Roman" w:hAnsi="Times New Roman" w:cs="Times New Roman"/>
          <w:b/>
          <w:iCs/>
          <w:sz w:val="20"/>
          <w:szCs w:val="20"/>
        </w:rPr>
        <w:t xml:space="preserve">haracterization of Fluorescein </w:t>
      </w:r>
      <w:proofErr w:type="spellStart"/>
      <w:r w:rsidR="001712A4" w:rsidRPr="00BE516E">
        <w:rPr>
          <w:rFonts w:ascii="Times New Roman" w:hAnsi="Times New Roman" w:cs="Times New Roman"/>
          <w:b/>
          <w:iCs/>
          <w:sz w:val="20"/>
          <w:szCs w:val="20"/>
        </w:rPr>
        <w:t>Isothiocyanate</w:t>
      </w:r>
      <w:proofErr w:type="spellEnd"/>
      <w:r w:rsidR="001712A4" w:rsidRPr="00BE516E">
        <w:rPr>
          <w:rFonts w:ascii="Times New Roman" w:hAnsi="Times New Roman" w:cs="Times New Roman"/>
          <w:b/>
          <w:iCs/>
          <w:sz w:val="20"/>
          <w:szCs w:val="20"/>
        </w:rPr>
        <w:t xml:space="preserve"> (FITC) functionalized block copolymer PEG-</w:t>
      </w:r>
      <w:r w:rsidR="001712A4" w:rsidRPr="00BE516E">
        <w:rPr>
          <w:rFonts w:ascii="Times New Roman" w:hAnsi="Times New Roman" w:cs="Times New Roman"/>
          <w:b/>
          <w:i/>
          <w:iCs/>
          <w:sz w:val="20"/>
          <w:szCs w:val="20"/>
        </w:rPr>
        <w:t>b</w:t>
      </w:r>
      <w:r w:rsidR="001712A4" w:rsidRPr="00BE516E">
        <w:rPr>
          <w:rFonts w:ascii="Times New Roman" w:hAnsi="Times New Roman" w:cs="Times New Roman"/>
          <w:b/>
          <w:iCs/>
          <w:sz w:val="20"/>
          <w:szCs w:val="20"/>
        </w:rPr>
        <w:t>-</w:t>
      </w:r>
      <w:proofErr w:type="gramStart"/>
      <w:r w:rsidR="001712A4" w:rsidRPr="00BE516E">
        <w:rPr>
          <w:rFonts w:ascii="Times New Roman" w:hAnsi="Times New Roman" w:cs="Times New Roman"/>
          <w:b/>
          <w:iCs/>
          <w:sz w:val="20"/>
          <w:szCs w:val="20"/>
        </w:rPr>
        <w:t>P(</w:t>
      </w:r>
      <w:proofErr w:type="gramEnd"/>
      <w:r w:rsidR="001712A4" w:rsidRPr="00BE516E">
        <w:rPr>
          <w:rFonts w:ascii="Times New Roman" w:hAnsi="Times New Roman" w:cs="Times New Roman"/>
          <w:b/>
          <w:iCs/>
          <w:sz w:val="20"/>
          <w:szCs w:val="20"/>
        </w:rPr>
        <w:t>LVF-HEMA)</w:t>
      </w:r>
    </w:p>
    <w:p w:rsidR="001712A4" w:rsidRPr="002816FB" w:rsidRDefault="003E279D" w:rsidP="0099077E">
      <w:pPr>
        <w:pStyle w:val="NoSpacing"/>
        <w:spacing w:before="100" w:beforeAutospacing="1" w:after="100" w:afterAutospacing="1" w:line="360" w:lineRule="auto"/>
        <w:jc w:val="both"/>
        <w:rPr>
          <w:rFonts w:ascii="Times New Roman" w:hAnsi="Times New Roman" w:cs="Times New Roman"/>
          <w:b/>
          <w:iCs/>
          <w:sz w:val="20"/>
          <w:szCs w:val="20"/>
        </w:rPr>
      </w:pPr>
      <w:r w:rsidRPr="00BE516E">
        <w:rPr>
          <w:rFonts w:ascii="Times New Roman" w:hAnsi="Times New Roman"/>
          <w:color w:val="000000" w:themeColor="text1"/>
          <w:sz w:val="20"/>
          <w:szCs w:val="20"/>
        </w:rPr>
        <w:t xml:space="preserve">Initially, the approx. molecular weight of the </w:t>
      </w:r>
      <w:proofErr w:type="spellStart"/>
      <w:r w:rsidRPr="00BE516E">
        <w:rPr>
          <w:rFonts w:ascii="Times New Roman" w:hAnsi="Times New Roman"/>
          <w:color w:val="000000" w:themeColor="text1"/>
          <w:sz w:val="20"/>
          <w:szCs w:val="20"/>
        </w:rPr>
        <w:t>boc</w:t>
      </w:r>
      <w:proofErr w:type="spellEnd"/>
      <w:r w:rsidRPr="00BE516E">
        <w:rPr>
          <w:rFonts w:ascii="Times New Roman" w:hAnsi="Times New Roman"/>
          <w:color w:val="000000" w:themeColor="text1"/>
          <w:sz w:val="20"/>
          <w:szCs w:val="20"/>
        </w:rPr>
        <w:t xml:space="preserve">-protected polymer </w:t>
      </w:r>
      <w:r w:rsidRPr="00BE516E">
        <w:rPr>
          <w:rFonts w:ascii="Times New Roman" w:hAnsi="Times New Roman" w:cs="Times New Roman"/>
          <w:sz w:val="20"/>
          <w:szCs w:val="20"/>
        </w:rPr>
        <w:t>PEG-</w:t>
      </w:r>
      <w:r w:rsidRPr="00BE516E">
        <w:rPr>
          <w:rFonts w:ascii="Times New Roman" w:hAnsi="Times New Roman" w:cs="Times New Roman"/>
          <w:i/>
          <w:sz w:val="20"/>
          <w:szCs w:val="20"/>
        </w:rPr>
        <w:t>b</w:t>
      </w:r>
      <w:r w:rsidRPr="00BE516E">
        <w:rPr>
          <w:rFonts w:ascii="Times New Roman" w:hAnsi="Times New Roman" w:cs="Times New Roman"/>
          <w:sz w:val="20"/>
          <w:szCs w:val="20"/>
        </w:rPr>
        <w:t>-</w:t>
      </w:r>
      <w:proofErr w:type="gramStart"/>
      <w:r w:rsidRPr="00BE516E">
        <w:rPr>
          <w:rFonts w:ascii="Times New Roman" w:hAnsi="Times New Roman" w:cs="Times New Roman"/>
          <w:sz w:val="20"/>
          <w:szCs w:val="20"/>
        </w:rPr>
        <w:t>P(</w:t>
      </w:r>
      <w:proofErr w:type="spellStart"/>
      <w:proofErr w:type="gramEnd"/>
      <w:r w:rsidRPr="00BE516E">
        <w:rPr>
          <w:rFonts w:ascii="Times New Roman" w:hAnsi="Times New Roman" w:cs="Times New Roman"/>
          <w:sz w:val="20"/>
          <w:szCs w:val="20"/>
        </w:rPr>
        <w:t>Boc</w:t>
      </w:r>
      <w:proofErr w:type="spellEnd"/>
      <w:r w:rsidRPr="00BE516E">
        <w:rPr>
          <w:rFonts w:ascii="Times New Roman" w:hAnsi="Times New Roman" w:cs="Times New Roman"/>
          <w:sz w:val="20"/>
          <w:szCs w:val="20"/>
        </w:rPr>
        <w:t>-LVF-EMA)</w:t>
      </w:r>
      <w:r w:rsidRPr="00BE516E">
        <w:rPr>
          <w:rFonts w:ascii="Times New Roman" w:hAnsi="Times New Roman" w:cs="Times New Roman"/>
          <w:color w:val="7030A0"/>
          <w:sz w:val="20"/>
          <w:szCs w:val="20"/>
        </w:rPr>
        <w:t xml:space="preserve"> </w:t>
      </w:r>
      <w:r w:rsidRPr="00BE516E">
        <w:rPr>
          <w:rFonts w:ascii="Times New Roman" w:hAnsi="Times New Roman" w:cs="Times New Roman"/>
          <w:sz w:val="20"/>
          <w:szCs w:val="20"/>
        </w:rPr>
        <w:t xml:space="preserve">i.e., the </w:t>
      </w:r>
      <w:r w:rsidRPr="00BE516E">
        <w:rPr>
          <w:rFonts w:ascii="Times New Roman" w:hAnsi="Times New Roman"/>
          <w:sz w:val="20"/>
          <w:szCs w:val="20"/>
        </w:rPr>
        <w:t>un-tagged</w:t>
      </w:r>
      <w:r w:rsidRPr="00BE516E">
        <w:rPr>
          <w:rFonts w:ascii="Times New Roman" w:hAnsi="Times New Roman"/>
          <w:color w:val="000000" w:themeColor="text1"/>
          <w:sz w:val="20"/>
          <w:szCs w:val="20"/>
        </w:rPr>
        <w:t xml:space="preserve"> I</w:t>
      </w:r>
      <w:r w:rsidR="00185C4B">
        <w:rPr>
          <w:rFonts w:ascii="Times New Roman" w:hAnsi="Times New Roman"/>
          <w:color w:val="000000" w:themeColor="text1"/>
          <w:sz w:val="20"/>
          <w:szCs w:val="20"/>
        </w:rPr>
        <w:t>NH</w:t>
      </w:r>
      <w:r w:rsidRPr="00BE516E">
        <w:rPr>
          <w:rFonts w:ascii="Times New Roman" w:hAnsi="Times New Roman"/>
          <w:color w:val="000000" w:themeColor="text1"/>
          <w:sz w:val="20"/>
          <w:szCs w:val="20"/>
        </w:rPr>
        <w:t xml:space="preserve"> was calculated as 19400 D thr</w:t>
      </w:r>
      <w:r w:rsidR="001968D6" w:rsidRPr="00BE516E">
        <w:rPr>
          <w:rFonts w:ascii="Times New Roman" w:hAnsi="Times New Roman"/>
          <w:color w:val="000000" w:themeColor="text1"/>
          <w:sz w:val="20"/>
          <w:szCs w:val="20"/>
        </w:rPr>
        <w:t>ough GPC (</w:t>
      </w:r>
      <w:r w:rsidR="001E4313">
        <w:rPr>
          <w:rFonts w:ascii="Times New Roman" w:hAnsi="Times New Roman"/>
          <w:color w:val="000000" w:themeColor="text1"/>
          <w:sz w:val="20"/>
          <w:szCs w:val="20"/>
        </w:rPr>
        <w:t>Fig.</w:t>
      </w:r>
      <w:r w:rsidR="001968D6" w:rsidRPr="00BE516E">
        <w:rPr>
          <w:rFonts w:ascii="Times New Roman" w:hAnsi="Times New Roman"/>
          <w:color w:val="000000" w:themeColor="text1"/>
          <w:sz w:val="20"/>
          <w:szCs w:val="20"/>
        </w:rPr>
        <w:t xml:space="preserve"> S1 and Table S1</w:t>
      </w:r>
      <w:r w:rsidRPr="00BE516E">
        <w:rPr>
          <w:rFonts w:ascii="Times New Roman" w:hAnsi="Times New Roman"/>
          <w:color w:val="000000" w:themeColor="text1"/>
          <w:sz w:val="20"/>
          <w:szCs w:val="20"/>
        </w:rPr>
        <w:t xml:space="preserve">). Later, </w:t>
      </w:r>
      <w:r w:rsidR="005A2302" w:rsidRPr="00BE516E">
        <w:rPr>
          <w:rFonts w:ascii="Times New Roman" w:hAnsi="Times New Roman" w:cs="Times New Roman"/>
          <w:sz w:val="20"/>
          <w:szCs w:val="20"/>
        </w:rPr>
        <w:t>fl</w:t>
      </w:r>
      <w:r w:rsidR="005A2302">
        <w:rPr>
          <w:rFonts w:ascii="Times New Roman" w:hAnsi="Times New Roman" w:cs="Times New Roman"/>
          <w:sz w:val="20"/>
          <w:szCs w:val="20"/>
        </w:rPr>
        <w:t xml:space="preserve">uorescein </w:t>
      </w:r>
      <w:proofErr w:type="spellStart"/>
      <w:r w:rsidR="005A2302">
        <w:rPr>
          <w:rFonts w:ascii="Times New Roman" w:hAnsi="Times New Roman" w:cs="Times New Roman"/>
          <w:sz w:val="20"/>
          <w:szCs w:val="20"/>
        </w:rPr>
        <w:t>isothiocyanate</w:t>
      </w:r>
      <w:proofErr w:type="spellEnd"/>
      <w:r w:rsidR="005A2302">
        <w:rPr>
          <w:rFonts w:ascii="Times New Roman" w:hAnsi="Times New Roman" w:cs="Times New Roman"/>
          <w:sz w:val="20"/>
          <w:szCs w:val="20"/>
        </w:rPr>
        <w:t xml:space="preserve"> (FITC)</w:t>
      </w:r>
      <w:r w:rsidR="0033466B" w:rsidRPr="00BE516E">
        <w:rPr>
          <w:rFonts w:ascii="Times New Roman" w:hAnsi="Times New Roman" w:cs="Times New Roman"/>
          <w:sz w:val="20"/>
          <w:szCs w:val="20"/>
        </w:rPr>
        <w:t xml:space="preserve">-tagging of the block copolymer was checked via </w:t>
      </w:r>
      <w:r w:rsidR="0033466B" w:rsidRPr="00BE516E">
        <w:rPr>
          <w:rFonts w:ascii="Times New Roman" w:hAnsi="Times New Roman" w:cs="Times New Roman"/>
          <w:sz w:val="20"/>
          <w:szCs w:val="20"/>
          <w:vertAlign w:val="superscript"/>
        </w:rPr>
        <w:t>1</w:t>
      </w:r>
      <w:r w:rsidR="0033466B" w:rsidRPr="00BE516E">
        <w:rPr>
          <w:rFonts w:ascii="Times New Roman" w:hAnsi="Times New Roman" w:cs="Times New Roman"/>
          <w:sz w:val="20"/>
          <w:szCs w:val="20"/>
        </w:rPr>
        <w:t>H NMR spectra (</w:t>
      </w:r>
      <w:r w:rsidRPr="00BE516E">
        <w:rPr>
          <w:rFonts w:ascii="Times New Roman" w:hAnsi="Times New Roman" w:cs="Times New Roman"/>
          <w:sz w:val="20"/>
          <w:szCs w:val="20"/>
        </w:rPr>
        <w:t>Scheme 1, inset</w:t>
      </w:r>
      <w:r w:rsidR="0033466B" w:rsidRPr="00BE516E">
        <w:rPr>
          <w:rFonts w:ascii="Times New Roman" w:hAnsi="Times New Roman" w:cs="Times New Roman"/>
          <w:sz w:val="20"/>
          <w:szCs w:val="20"/>
        </w:rPr>
        <w:t xml:space="preserve">). </w:t>
      </w:r>
      <w:r w:rsidRPr="00BE516E">
        <w:rPr>
          <w:rFonts w:ascii="Times New Roman" w:hAnsi="Times New Roman" w:cs="Times New Roman"/>
          <w:sz w:val="20"/>
          <w:szCs w:val="20"/>
        </w:rPr>
        <w:t>Also</w:t>
      </w:r>
      <w:r w:rsidR="0033466B" w:rsidRPr="00BE516E">
        <w:rPr>
          <w:rFonts w:ascii="Times New Roman" w:hAnsi="Times New Roman" w:cs="Times New Roman"/>
          <w:sz w:val="20"/>
          <w:szCs w:val="20"/>
        </w:rPr>
        <w:t xml:space="preserve">, </w:t>
      </w:r>
      <w:r w:rsidR="002C44B5" w:rsidRPr="00BE516E">
        <w:rPr>
          <w:rFonts w:ascii="Times New Roman" w:hAnsi="Times New Roman" w:cs="Times New Roman"/>
          <w:sz w:val="20"/>
          <w:szCs w:val="20"/>
        </w:rPr>
        <w:t>UV-V</w:t>
      </w:r>
      <w:r w:rsidR="001712A4" w:rsidRPr="00BE516E">
        <w:rPr>
          <w:rFonts w:ascii="Times New Roman" w:hAnsi="Times New Roman" w:cs="Times New Roman"/>
          <w:sz w:val="20"/>
          <w:szCs w:val="20"/>
        </w:rPr>
        <w:t>is and fluorescence spectra of both un-tagged and tagged PEG-</w:t>
      </w:r>
      <w:r w:rsidR="001712A4" w:rsidRPr="00BE516E">
        <w:rPr>
          <w:rFonts w:ascii="Times New Roman" w:hAnsi="Times New Roman" w:cs="Times New Roman"/>
          <w:i/>
          <w:sz w:val="20"/>
          <w:szCs w:val="20"/>
        </w:rPr>
        <w:t>b</w:t>
      </w:r>
      <w:r w:rsidR="001712A4" w:rsidRPr="00BE516E">
        <w:rPr>
          <w:rFonts w:ascii="Times New Roman" w:hAnsi="Times New Roman" w:cs="Times New Roman"/>
          <w:sz w:val="20"/>
          <w:szCs w:val="20"/>
        </w:rPr>
        <w:t>-</w:t>
      </w:r>
      <w:proofErr w:type="gramStart"/>
      <w:r w:rsidR="001712A4" w:rsidRPr="00BE516E">
        <w:rPr>
          <w:rFonts w:ascii="Times New Roman" w:hAnsi="Times New Roman" w:cs="Times New Roman"/>
          <w:sz w:val="20"/>
          <w:szCs w:val="20"/>
        </w:rPr>
        <w:t>P(</w:t>
      </w:r>
      <w:proofErr w:type="gramEnd"/>
      <w:r w:rsidR="001712A4" w:rsidRPr="00BE516E">
        <w:rPr>
          <w:rFonts w:ascii="Times New Roman" w:hAnsi="Times New Roman" w:cs="Times New Roman"/>
          <w:sz w:val="20"/>
          <w:szCs w:val="20"/>
        </w:rPr>
        <w:t>LVF-HEMA) was recorded. UV-</w:t>
      </w:r>
      <w:proofErr w:type="spellStart"/>
      <w:r w:rsidR="001712A4" w:rsidRPr="00BE516E">
        <w:rPr>
          <w:rFonts w:ascii="Times New Roman" w:hAnsi="Times New Roman" w:cs="Times New Roman"/>
          <w:sz w:val="20"/>
          <w:szCs w:val="20"/>
        </w:rPr>
        <w:t>vis</w:t>
      </w:r>
      <w:proofErr w:type="spellEnd"/>
      <w:r w:rsidR="001712A4" w:rsidRPr="00BE516E">
        <w:rPr>
          <w:rFonts w:ascii="Times New Roman" w:hAnsi="Times New Roman" w:cs="Times New Roman"/>
          <w:sz w:val="20"/>
          <w:szCs w:val="20"/>
        </w:rPr>
        <w:t xml:space="preserve"> measurements of un-tagged PEG-</w:t>
      </w:r>
      <w:r w:rsidR="001712A4" w:rsidRPr="00BE516E">
        <w:rPr>
          <w:rFonts w:ascii="Times New Roman" w:hAnsi="Times New Roman" w:cs="Times New Roman"/>
          <w:i/>
          <w:sz w:val="20"/>
          <w:szCs w:val="20"/>
        </w:rPr>
        <w:t>b</w:t>
      </w:r>
      <w:r w:rsidR="001712A4" w:rsidRPr="00BE516E">
        <w:rPr>
          <w:rFonts w:ascii="Times New Roman" w:hAnsi="Times New Roman" w:cs="Times New Roman"/>
          <w:sz w:val="20"/>
          <w:szCs w:val="20"/>
        </w:rPr>
        <w:t>-</w:t>
      </w:r>
      <w:proofErr w:type="gramStart"/>
      <w:r w:rsidR="001712A4" w:rsidRPr="00BE516E">
        <w:rPr>
          <w:rFonts w:ascii="Times New Roman" w:hAnsi="Times New Roman" w:cs="Times New Roman"/>
          <w:sz w:val="20"/>
          <w:szCs w:val="20"/>
        </w:rPr>
        <w:t>P(</w:t>
      </w:r>
      <w:proofErr w:type="gramEnd"/>
      <w:r w:rsidR="001712A4" w:rsidRPr="00BE516E">
        <w:rPr>
          <w:rFonts w:ascii="Times New Roman" w:hAnsi="Times New Roman" w:cs="Times New Roman"/>
          <w:sz w:val="20"/>
          <w:szCs w:val="20"/>
        </w:rPr>
        <w:t>LVF-HEMA) in H</w:t>
      </w:r>
      <w:r w:rsidR="001712A4" w:rsidRPr="00BE516E">
        <w:rPr>
          <w:rFonts w:ascii="Times New Roman" w:hAnsi="Times New Roman" w:cs="Times New Roman"/>
          <w:sz w:val="20"/>
          <w:szCs w:val="20"/>
          <w:vertAlign w:val="subscript"/>
        </w:rPr>
        <w:t>2</w:t>
      </w:r>
      <w:r w:rsidR="001712A4" w:rsidRPr="00BE516E">
        <w:rPr>
          <w:rFonts w:ascii="Times New Roman" w:hAnsi="Times New Roman" w:cs="Times New Roman"/>
          <w:sz w:val="20"/>
          <w:szCs w:val="20"/>
        </w:rPr>
        <w:t>O showed peaks at 258 and 264 nm corresponding to n-π* of carbonyl and π−π* transition of phenyl (</w:t>
      </w:r>
      <w:r w:rsidR="001E4313">
        <w:rPr>
          <w:rFonts w:ascii="Times New Roman" w:hAnsi="Times New Roman" w:cs="Times New Roman"/>
          <w:sz w:val="20"/>
          <w:szCs w:val="20"/>
        </w:rPr>
        <w:t>Fig.</w:t>
      </w:r>
      <w:r w:rsidR="001712A4" w:rsidRPr="00BE516E">
        <w:rPr>
          <w:rFonts w:ascii="Times New Roman" w:hAnsi="Times New Roman" w:cs="Times New Roman"/>
          <w:sz w:val="20"/>
          <w:szCs w:val="20"/>
        </w:rPr>
        <w:t xml:space="preserve"> </w:t>
      </w:r>
      <w:r w:rsidR="00154AB6" w:rsidRPr="00BE516E">
        <w:rPr>
          <w:rFonts w:ascii="Times New Roman" w:hAnsi="Times New Roman" w:cs="Times New Roman"/>
          <w:sz w:val="20"/>
          <w:szCs w:val="20"/>
        </w:rPr>
        <w:t>S</w:t>
      </w:r>
      <w:r w:rsidR="0033466B" w:rsidRPr="00BE516E">
        <w:rPr>
          <w:rFonts w:ascii="Times New Roman" w:hAnsi="Times New Roman" w:cs="Times New Roman"/>
          <w:sz w:val="20"/>
          <w:szCs w:val="20"/>
        </w:rPr>
        <w:t>2</w:t>
      </w:r>
      <w:r w:rsidR="002112E5" w:rsidRPr="00BE516E">
        <w:rPr>
          <w:rFonts w:ascii="Times New Roman" w:hAnsi="Times New Roman" w:cs="Times New Roman"/>
          <w:sz w:val="20"/>
          <w:szCs w:val="20"/>
        </w:rPr>
        <w:t>a</w:t>
      </w:r>
      <w:r w:rsidR="001712A4" w:rsidRPr="00BE516E">
        <w:rPr>
          <w:rFonts w:ascii="Times New Roman" w:hAnsi="Times New Roman" w:cs="Times New Roman"/>
          <w:sz w:val="20"/>
          <w:szCs w:val="20"/>
        </w:rPr>
        <w:t>) respectively.</w:t>
      </w:r>
      <w:r w:rsidR="00C65345" w:rsidRPr="00BE516E">
        <w:rPr>
          <w:rFonts w:ascii="Times New Roman" w:hAnsi="Times New Roman" w:cs="Times New Roman"/>
          <w:sz w:val="20"/>
          <w:szCs w:val="20"/>
        </w:rPr>
        <w:t xml:space="preserve"> </w:t>
      </w:r>
      <w:r w:rsidR="001712A4" w:rsidRPr="00BE516E">
        <w:rPr>
          <w:rFonts w:ascii="Times New Roman" w:hAnsi="Times New Roman" w:cs="Times New Roman"/>
          <w:sz w:val="20"/>
          <w:szCs w:val="20"/>
        </w:rPr>
        <w:t xml:space="preserve">Another peak at 309 nm corresponds to the </w:t>
      </w:r>
      <w:proofErr w:type="spellStart"/>
      <w:r w:rsidR="001712A4" w:rsidRPr="00BE516E">
        <w:rPr>
          <w:rFonts w:ascii="Times New Roman" w:hAnsi="Times New Roman" w:cs="Times New Roman"/>
          <w:sz w:val="20"/>
          <w:szCs w:val="20"/>
        </w:rPr>
        <w:t>trithiocarbonatefunctionality</w:t>
      </w:r>
      <w:proofErr w:type="spellEnd"/>
      <w:r w:rsidR="001712A4" w:rsidRPr="00BE516E">
        <w:rPr>
          <w:rFonts w:ascii="Times New Roman" w:hAnsi="Times New Roman" w:cs="Times New Roman"/>
          <w:sz w:val="20"/>
          <w:szCs w:val="20"/>
        </w:rPr>
        <w:t xml:space="preserve"> (coming from the </w:t>
      </w:r>
      <w:r w:rsidR="007608A6">
        <w:rPr>
          <w:rFonts w:ascii="Times New Roman" w:hAnsi="Times New Roman" w:cs="Times New Roman"/>
          <w:sz w:val="20"/>
          <w:szCs w:val="20"/>
        </w:rPr>
        <w:t>chain transfer agent (</w:t>
      </w:r>
      <w:r w:rsidR="001712A4" w:rsidRPr="00BE516E">
        <w:rPr>
          <w:rFonts w:ascii="Times New Roman" w:hAnsi="Times New Roman" w:cs="Times New Roman"/>
          <w:sz w:val="20"/>
          <w:szCs w:val="20"/>
        </w:rPr>
        <w:t>CTA</w:t>
      </w:r>
      <w:r w:rsidR="007608A6">
        <w:rPr>
          <w:rFonts w:ascii="Times New Roman" w:hAnsi="Times New Roman" w:cs="Times New Roman"/>
          <w:sz w:val="20"/>
          <w:szCs w:val="20"/>
        </w:rPr>
        <w:t>)</w:t>
      </w:r>
      <w:r w:rsidR="001712A4" w:rsidRPr="00BE516E">
        <w:rPr>
          <w:rFonts w:ascii="Times New Roman" w:hAnsi="Times New Roman" w:cs="Times New Roman"/>
          <w:sz w:val="20"/>
          <w:szCs w:val="20"/>
        </w:rPr>
        <w:t xml:space="preserve"> fragment) at the polymer chain end</w:t>
      </w:r>
      <w:r w:rsidR="008E39BB" w:rsidRPr="00BE516E">
        <w:rPr>
          <w:rFonts w:ascii="Times New Roman" w:hAnsi="Times New Roman" w:cs="Times New Roman"/>
          <w:sz w:val="20"/>
          <w:szCs w:val="20"/>
        </w:rPr>
        <w:t xml:space="preserve"> </w:t>
      </w:r>
      <w:r w:rsidR="008E39BB"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{"citationItems":[{"id":"ITEM-1","itemData":{"author":[{"dropping-particle":"","family":"Kumar","given":"Sonu","non-dropping-particle":"","parse-names":false,"suffix":""},{"dropping-particle":"","family":"Roy","given":"Saswati Ghosh","non-dropping-particle":"","parse-names":false,"suffix":""},{"dropping-particle":"","family":"De","given":"Priyadarsi","non-dropping-particle":"","parse-names":false,"suffix":""}],"container-title":"Polymer Chemistry","id":"ITEM-1","issue":"5","issued":{"date-parts":[["2012"]]},"page":"1239-1248","publisher":"Royal Society of Chemistry","title":"Cationic methacrylate polymers containing chiral amino acid moieties: controlled synthesis via RAFT polymerization","type":"article-journal","volume":"3"},"uris":["http://www.mendeley.com/documents/?uuid=a89774f9-7f51-4dd1-9b32-6ed5cc82bf7b"]}],"mendeley":{"formattedCitation":"[1]","plainTextFormattedCitation":"[1]","previouslyFormattedCitation":"[1]"},"properties":{"noteIndex":0},"schema":"https://github.com/citation-style-language/schema/raw/master/csl-citation.json"}</w:instrText>
      </w:r>
      <w:r w:rsidR="008E39BB"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[1]</w:t>
      </w:r>
      <w:r w:rsidR="008E39BB" w:rsidRPr="00BE516E">
        <w:rPr>
          <w:rFonts w:ascii="Times New Roman" w:hAnsi="Times New Roman" w:cs="Times New Roman"/>
          <w:sz w:val="20"/>
          <w:szCs w:val="20"/>
        </w:rPr>
        <w:fldChar w:fldCharType="end"/>
      </w:r>
      <w:r w:rsidR="001712A4" w:rsidRPr="00BE516E">
        <w:rPr>
          <w:rFonts w:ascii="Times New Roman" w:hAnsi="Times New Roman" w:cs="Times New Roman"/>
          <w:sz w:val="20"/>
          <w:szCs w:val="20"/>
        </w:rPr>
        <w:t xml:space="preserve">. On tagging with FITC, peaks characteristic of FITC at 454 and 484 nm were observed along with that of the polymer. Fluorescence measurement of the block copolymer FITC tagged </w:t>
      </w:r>
      <w:r w:rsidR="001712A4" w:rsidRPr="00BE516E">
        <w:rPr>
          <w:rFonts w:ascii="Times New Roman" w:hAnsi="Times New Roman"/>
          <w:sz w:val="20"/>
          <w:szCs w:val="20"/>
        </w:rPr>
        <w:t>PEG-</w:t>
      </w:r>
      <w:r w:rsidR="001712A4" w:rsidRPr="00BE516E">
        <w:rPr>
          <w:rFonts w:ascii="Times New Roman" w:hAnsi="Times New Roman"/>
          <w:i/>
          <w:sz w:val="20"/>
          <w:szCs w:val="20"/>
        </w:rPr>
        <w:t>b</w:t>
      </w:r>
      <w:r w:rsidR="001712A4" w:rsidRPr="00BE516E">
        <w:rPr>
          <w:rFonts w:ascii="Times New Roman" w:hAnsi="Times New Roman"/>
          <w:sz w:val="20"/>
          <w:szCs w:val="20"/>
        </w:rPr>
        <w:t>-</w:t>
      </w:r>
      <w:proofErr w:type="gramStart"/>
      <w:r w:rsidR="001712A4" w:rsidRPr="00BE516E">
        <w:rPr>
          <w:rFonts w:ascii="Times New Roman" w:hAnsi="Times New Roman"/>
          <w:sz w:val="20"/>
          <w:szCs w:val="20"/>
        </w:rPr>
        <w:t>P(</w:t>
      </w:r>
      <w:proofErr w:type="gramEnd"/>
      <w:r w:rsidR="001712A4" w:rsidRPr="00BE516E">
        <w:rPr>
          <w:rFonts w:ascii="Times New Roman" w:hAnsi="Times New Roman"/>
          <w:sz w:val="20"/>
          <w:szCs w:val="20"/>
        </w:rPr>
        <w:t>LVF-HEMA) gave a strong emission band at 522 nm from the dye unit. The corresponding untagged PEG-</w:t>
      </w:r>
      <w:r w:rsidR="001712A4" w:rsidRPr="00BE516E">
        <w:rPr>
          <w:rFonts w:ascii="Times New Roman" w:hAnsi="Times New Roman"/>
          <w:i/>
          <w:sz w:val="20"/>
          <w:szCs w:val="20"/>
        </w:rPr>
        <w:t>b</w:t>
      </w:r>
      <w:r w:rsidR="001712A4" w:rsidRPr="00BE516E">
        <w:rPr>
          <w:rFonts w:ascii="Times New Roman" w:hAnsi="Times New Roman"/>
          <w:sz w:val="20"/>
          <w:szCs w:val="20"/>
        </w:rPr>
        <w:t>-</w:t>
      </w:r>
      <w:proofErr w:type="gramStart"/>
      <w:r w:rsidR="001712A4" w:rsidRPr="00BE516E">
        <w:rPr>
          <w:rFonts w:ascii="Times New Roman" w:hAnsi="Times New Roman"/>
          <w:sz w:val="20"/>
          <w:szCs w:val="20"/>
        </w:rPr>
        <w:t>P(</w:t>
      </w:r>
      <w:proofErr w:type="gramEnd"/>
      <w:r w:rsidR="001712A4" w:rsidRPr="00BE516E">
        <w:rPr>
          <w:rFonts w:ascii="Times New Roman" w:hAnsi="Times New Roman"/>
          <w:sz w:val="20"/>
          <w:szCs w:val="20"/>
        </w:rPr>
        <w:t>LVF-HEMA) does not give any emission band which confirms successful synthesis of FITC modified PEG-</w:t>
      </w:r>
      <w:r w:rsidR="001712A4" w:rsidRPr="00BE516E">
        <w:rPr>
          <w:rFonts w:ascii="Times New Roman" w:hAnsi="Times New Roman"/>
          <w:i/>
          <w:sz w:val="20"/>
          <w:szCs w:val="20"/>
        </w:rPr>
        <w:t>b</w:t>
      </w:r>
      <w:r w:rsidR="001712A4" w:rsidRPr="00BE516E">
        <w:rPr>
          <w:rFonts w:ascii="Times New Roman" w:hAnsi="Times New Roman"/>
          <w:sz w:val="20"/>
          <w:szCs w:val="20"/>
        </w:rPr>
        <w:t>-P(LVF-HEMA)</w:t>
      </w:r>
      <w:r w:rsidR="002564AF" w:rsidRPr="00BE516E">
        <w:rPr>
          <w:rFonts w:ascii="Times New Roman" w:hAnsi="Times New Roman"/>
          <w:sz w:val="20"/>
          <w:szCs w:val="20"/>
        </w:rPr>
        <w:t xml:space="preserve"> </w:t>
      </w:r>
      <w:r w:rsidR="002C44B5" w:rsidRPr="00BE516E">
        <w:rPr>
          <w:rFonts w:ascii="Times New Roman" w:hAnsi="Times New Roman" w:cs="Times New Roman"/>
          <w:sz w:val="20"/>
          <w:szCs w:val="20"/>
        </w:rPr>
        <w:t>(</w:t>
      </w:r>
      <w:r w:rsidR="001E4313">
        <w:rPr>
          <w:rFonts w:ascii="Times New Roman" w:hAnsi="Times New Roman" w:cs="Times New Roman"/>
          <w:sz w:val="20"/>
          <w:szCs w:val="20"/>
        </w:rPr>
        <w:t>Fig.</w:t>
      </w:r>
      <w:r w:rsidR="002C44B5" w:rsidRPr="00BE516E">
        <w:rPr>
          <w:rFonts w:ascii="Times New Roman" w:hAnsi="Times New Roman" w:cs="Times New Roman"/>
          <w:sz w:val="20"/>
          <w:szCs w:val="20"/>
        </w:rPr>
        <w:t xml:space="preserve"> S</w:t>
      </w:r>
      <w:r w:rsidR="0033466B" w:rsidRPr="00BE516E">
        <w:rPr>
          <w:rFonts w:ascii="Times New Roman" w:hAnsi="Times New Roman" w:cs="Times New Roman"/>
          <w:sz w:val="20"/>
          <w:szCs w:val="20"/>
        </w:rPr>
        <w:t>2</w:t>
      </w:r>
      <w:r w:rsidR="002112E5" w:rsidRPr="00BE516E">
        <w:rPr>
          <w:rFonts w:ascii="Times New Roman" w:hAnsi="Times New Roman" w:cs="Times New Roman"/>
          <w:sz w:val="20"/>
          <w:szCs w:val="20"/>
        </w:rPr>
        <w:t>b</w:t>
      </w:r>
      <w:r w:rsidR="002C44B5" w:rsidRPr="00BE516E">
        <w:rPr>
          <w:rFonts w:ascii="Times New Roman" w:hAnsi="Times New Roman" w:cs="Times New Roman"/>
          <w:sz w:val="20"/>
          <w:szCs w:val="20"/>
        </w:rPr>
        <w:t>)</w:t>
      </w:r>
      <w:r w:rsidR="001712A4" w:rsidRPr="00BE516E">
        <w:rPr>
          <w:rFonts w:ascii="Times New Roman" w:hAnsi="Times New Roman"/>
          <w:sz w:val="20"/>
          <w:szCs w:val="20"/>
        </w:rPr>
        <w:t>.</w:t>
      </w:r>
      <w:r w:rsidR="002564AF" w:rsidRPr="00BE516E">
        <w:rPr>
          <w:rFonts w:ascii="Times New Roman" w:hAnsi="Times New Roman"/>
          <w:sz w:val="20"/>
          <w:szCs w:val="20"/>
        </w:rPr>
        <w:t xml:space="preserve"> </w:t>
      </w:r>
      <w:r w:rsidR="0033466B" w:rsidRPr="00BE516E">
        <w:rPr>
          <w:rFonts w:ascii="Times New Roman" w:hAnsi="Times New Roman" w:cs="Times New Roman"/>
          <w:sz w:val="20"/>
          <w:szCs w:val="20"/>
          <w:lang w:val="en-IN"/>
        </w:rPr>
        <w:t>For block copolymer PEG-</w:t>
      </w:r>
      <w:r w:rsidR="0033466B" w:rsidRPr="00BE516E">
        <w:rPr>
          <w:rFonts w:ascii="Times New Roman" w:hAnsi="Times New Roman" w:cs="Times New Roman"/>
          <w:i/>
          <w:sz w:val="20"/>
          <w:szCs w:val="20"/>
          <w:lang w:val="en-IN"/>
        </w:rPr>
        <w:t>b</w:t>
      </w:r>
      <w:r w:rsidR="0033466B" w:rsidRPr="00BE516E">
        <w:rPr>
          <w:rFonts w:ascii="Times New Roman" w:hAnsi="Times New Roman" w:cs="Times New Roman"/>
          <w:sz w:val="20"/>
          <w:szCs w:val="20"/>
          <w:lang w:val="en-IN"/>
        </w:rPr>
        <w:t>-</w:t>
      </w:r>
      <w:proofErr w:type="gramStart"/>
      <w:r w:rsidR="0033466B" w:rsidRPr="00BE516E">
        <w:rPr>
          <w:rFonts w:ascii="Times New Roman" w:hAnsi="Times New Roman" w:cs="Times New Roman"/>
          <w:sz w:val="20"/>
          <w:szCs w:val="20"/>
          <w:lang w:val="en-IN"/>
        </w:rPr>
        <w:t>P(</w:t>
      </w:r>
      <w:proofErr w:type="gramEnd"/>
      <w:r w:rsidR="0033466B" w:rsidRPr="00BE516E">
        <w:rPr>
          <w:rFonts w:ascii="Times New Roman" w:hAnsi="Times New Roman" w:cs="Times New Roman"/>
          <w:sz w:val="20"/>
          <w:szCs w:val="20"/>
          <w:lang w:val="en-IN"/>
        </w:rPr>
        <w:t>LVF-HEMA), the transition pH was determined a</w:t>
      </w:r>
      <w:r w:rsidR="008D2C4F" w:rsidRPr="00BE516E">
        <w:rPr>
          <w:rFonts w:ascii="Times New Roman" w:hAnsi="Times New Roman" w:cs="Times New Roman"/>
          <w:sz w:val="20"/>
          <w:szCs w:val="20"/>
          <w:lang w:val="en-IN"/>
        </w:rPr>
        <w:t>round</w:t>
      </w:r>
      <w:r w:rsidR="0033466B" w:rsidRPr="00BE516E">
        <w:rPr>
          <w:rFonts w:ascii="Times New Roman" w:hAnsi="Times New Roman" w:cs="Times New Roman"/>
          <w:sz w:val="20"/>
          <w:szCs w:val="20"/>
          <w:lang w:val="en-IN"/>
        </w:rPr>
        <w:t xml:space="preserve"> the physiological pH viz</w:t>
      </w:r>
      <w:r w:rsidR="001D293B" w:rsidRPr="00BE516E">
        <w:rPr>
          <w:rFonts w:ascii="Times New Roman" w:hAnsi="Times New Roman" w:cs="Times New Roman"/>
          <w:sz w:val="20"/>
          <w:szCs w:val="20"/>
          <w:lang w:val="en-IN"/>
        </w:rPr>
        <w:t>.</w:t>
      </w:r>
      <w:r w:rsidR="0033466B" w:rsidRPr="00BE516E">
        <w:rPr>
          <w:rFonts w:ascii="Times New Roman" w:hAnsi="Times New Roman" w:cs="Times New Roman"/>
          <w:sz w:val="20"/>
          <w:szCs w:val="20"/>
          <w:lang w:val="en-IN"/>
        </w:rPr>
        <w:t xml:space="preserve"> pH 7.4</w:t>
      </w:r>
      <w:r w:rsidR="001D293B" w:rsidRPr="00BE516E">
        <w:rPr>
          <w:rFonts w:ascii="Times New Roman" w:hAnsi="Times New Roman" w:cs="Times New Roman"/>
          <w:sz w:val="20"/>
          <w:szCs w:val="20"/>
          <w:lang w:val="en-IN"/>
        </w:rPr>
        <w:t xml:space="preserve"> (</w:t>
      </w:r>
      <w:r w:rsidR="001E4313">
        <w:rPr>
          <w:rFonts w:ascii="Times New Roman" w:hAnsi="Times New Roman" w:cs="Times New Roman"/>
          <w:sz w:val="20"/>
          <w:szCs w:val="20"/>
          <w:lang w:val="en-IN"/>
        </w:rPr>
        <w:t>Fig.</w:t>
      </w:r>
      <w:r w:rsidR="001D293B" w:rsidRPr="00BE516E">
        <w:rPr>
          <w:rFonts w:ascii="Times New Roman" w:hAnsi="Times New Roman" w:cs="Times New Roman"/>
          <w:sz w:val="20"/>
          <w:szCs w:val="20"/>
          <w:lang w:val="en-IN"/>
        </w:rPr>
        <w:t xml:space="preserve"> S3)</w:t>
      </w:r>
      <w:r w:rsidR="0033466B" w:rsidRPr="00BE516E">
        <w:rPr>
          <w:rFonts w:ascii="Times New Roman" w:hAnsi="Times New Roman" w:cs="Times New Roman"/>
          <w:sz w:val="20"/>
          <w:szCs w:val="20"/>
          <w:lang w:val="en-IN"/>
        </w:rPr>
        <w:t>. This signified the stabili</w:t>
      </w:r>
      <w:r w:rsidR="008F3EC0" w:rsidRPr="00BE516E">
        <w:rPr>
          <w:rFonts w:ascii="Times New Roman" w:hAnsi="Times New Roman" w:cs="Times New Roman"/>
          <w:sz w:val="20"/>
          <w:szCs w:val="20"/>
          <w:lang w:val="en-IN"/>
        </w:rPr>
        <w:t>ty and solubility of the tagged-block copolymer</w:t>
      </w:r>
      <w:r w:rsidR="002564AF" w:rsidRPr="00BE516E">
        <w:rPr>
          <w:rFonts w:ascii="Times New Roman" w:hAnsi="Times New Roman" w:cs="Times New Roman"/>
          <w:sz w:val="20"/>
          <w:szCs w:val="20"/>
          <w:lang w:val="en-IN"/>
        </w:rPr>
        <w:t xml:space="preserve"> </w:t>
      </w:r>
      <w:r w:rsidR="001D293B" w:rsidRPr="00BE516E">
        <w:rPr>
          <w:rFonts w:ascii="Times New Roman" w:hAnsi="Times New Roman" w:cs="Times New Roman"/>
          <w:sz w:val="20"/>
          <w:szCs w:val="20"/>
          <w:lang w:val="en-IN"/>
        </w:rPr>
        <w:t xml:space="preserve">would not hamper </w:t>
      </w:r>
      <w:r w:rsidR="008D2C4F" w:rsidRPr="00BE516E">
        <w:rPr>
          <w:rFonts w:ascii="Times New Roman" w:hAnsi="Times New Roman" w:cs="Times New Roman"/>
          <w:sz w:val="20"/>
          <w:szCs w:val="20"/>
          <w:lang w:val="en-IN"/>
        </w:rPr>
        <w:t>up</w:t>
      </w:r>
      <w:r w:rsidR="002564AF" w:rsidRPr="00BE516E">
        <w:rPr>
          <w:rFonts w:ascii="Times New Roman" w:hAnsi="Times New Roman" w:cs="Times New Roman"/>
          <w:sz w:val="20"/>
          <w:szCs w:val="20"/>
          <w:lang w:val="en-IN"/>
        </w:rPr>
        <w:t xml:space="preserve"> </w:t>
      </w:r>
      <w:r w:rsidR="008D2C4F" w:rsidRPr="00BE516E">
        <w:rPr>
          <w:rFonts w:ascii="Times New Roman" w:hAnsi="Times New Roman" w:cs="Times New Roman"/>
          <w:sz w:val="20"/>
          <w:szCs w:val="20"/>
          <w:lang w:val="en-IN"/>
        </w:rPr>
        <w:t>to</w:t>
      </w:r>
      <w:r w:rsidR="001D293B" w:rsidRPr="00BE516E">
        <w:rPr>
          <w:rFonts w:ascii="Times New Roman" w:hAnsi="Times New Roman" w:cs="Times New Roman"/>
          <w:sz w:val="20"/>
          <w:szCs w:val="20"/>
          <w:lang w:val="en-IN"/>
        </w:rPr>
        <w:t xml:space="preserve"> the physiological pH</w:t>
      </w:r>
      <w:r w:rsidR="008D2C4F" w:rsidRPr="00BE516E">
        <w:rPr>
          <w:rFonts w:ascii="Times New Roman" w:hAnsi="Times New Roman" w:cs="Times New Roman"/>
          <w:sz w:val="20"/>
          <w:szCs w:val="20"/>
          <w:lang w:val="en-IN"/>
        </w:rPr>
        <w:t xml:space="preserve"> value</w:t>
      </w:r>
      <w:r w:rsidR="001D293B" w:rsidRPr="00BE516E">
        <w:rPr>
          <w:rFonts w:ascii="Times New Roman" w:hAnsi="Times New Roman" w:cs="Times New Roman"/>
          <w:sz w:val="20"/>
          <w:szCs w:val="20"/>
          <w:lang w:val="en-IN"/>
        </w:rPr>
        <w:t xml:space="preserve">. </w:t>
      </w:r>
    </w:p>
    <w:p w:rsidR="002816FB" w:rsidRDefault="002816FB" w:rsidP="0099077E">
      <w:pPr>
        <w:pStyle w:val="NoSpacing"/>
        <w:spacing w:before="100" w:beforeAutospacing="1" w:after="100" w:afterAutospacing="1" w:line="360" w:lineRule="auto"/>
        <w:jc w:val="both"/>
        <w:rPr>
          <w:rFonts w:ascii="Times New Roman" w:hAnsi="Times New Roman" w:cs="Times New Roman"/>
          <w:sz w:val="20"/>
          <w:szCs w:val="20"/>
          <w:lang w:val="en-IN"/>
        </w:rPr>
      </w:pPr>
      <w:r w:rsidRPr="00BE516E">
        <w:rPr>
          <w:rFonts w:ascii="Times New Roman" w:hAnsi="Times New Roman" w:cs="Times New Roman"/>
          <w:noProof/>
          <w:sz w:val="20"/>
          <w:szCs w:val="20"/>
        </w:rPr>
        <w:drawing>
          <wp:inline distT="0" distB="0" distL="0" distR="0" wp14:anchorId="39DA1A05" wp14:editId="7F24FCF7">
            <wp:extent cx="5797550" cy="31394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97550" cy="3139440"/>
                    </a:xfrm>
                    <a:prstGeom prst="rect">
                      <a:avLst/>
                    </a:prstGeom>
                    <a:noFill/>
                  </pic:spPr>
                </pic:pic>
              </a:graphicData>
            </a:graphic>
          </wp:inline>
        </w:drawing>
      </w:r>
    </w:p>
    <w:p w:rsidR="002816FB" w:rsidRPr="002816FB" w:rsidRDefault="002816FB" w:rsidP="0099077E">
      <w:pPr>
        <w:pStyle w:val="NoSpacing"/>
        <w:spacing w:before="100" w:beforeAutospacing="1" w:after="100" w:afterAutospacing="1" w:line="360" w:lineRule="auto"/>
        <w:jc w:val="both"/>
        <w:rPr>
          <w:rFonts w:ascii="Times New Roman" w:hAnsi="Times New Roman" w:cs="Times New Roman"/>
          <w:b/>
          <w:iCs/>
          <w:sz w:val="20"/>
          <w:szCs w:val="20"/>
        </w:rPr>
      </w:pPr>
      <w:r w:rsidRPr="00BE516E">
        <w:rPr>
          <w:rFonts w:ascii="Times New Roman" w:hAnsi="Times New Roman" w:cs="Times New Roman"/>
          <w:b/>
          <w:sz w:val="20"/>
          <w:szCs w:val="20"/>
        </w:rPr>
        <w:t>Scheme S1:</w:t>
      </w:r>
      <w:r w:rsidRPr="00BE516E">
        <w:rPr>
          <w:rFonts w:ascii="Times New Roman" w:hAnsi="Times New Roman" w:cs="Times New Roman"/>
          <w:sz w:val="20"/>
          <w:szCs w:val="20"/>
        </w:rPr>
        <w:t xml:space="preserve"> Synthesis of FITC functionalized block copolymer (I).</w:t>
      </w:r>
      <w:r w:rsidRPr="00BE516E">
        <w:rPr>
          <w:rFonts w:ascii="Times New Roman" w:hAnsi="Times New Roman" w:cs="Times New Roman"/>
          <w:sz w:val="20"/>
          <w:szCs w:val="20"/>
          <w:vertAlign w:val="superscript"/>
          <w:lang w:val="en-IN"/>
        </w:rPr>
        <w:t>1</w:t>
      </w:r>
      <w:r w:rsidRPr="00BE516E">
        <w:rPr>
          <w:rFonts w:ascii="Times New Roman" w:hAnsi="Times New Roman" w:cs="Times New Roman"/>
          <w:sz w:val="20"/>
          <w:szCs w:val="20"/>
          <w:lang w:val="en-IN"/>
        </w:rPr>
        <w:t>H NMR spectra of (A) PEG-</w:t>
      </w:r>
      <w:r w:rsidRPr="00BE516E">
        <w:rPr>
          <w:rFonts w:ascii="Times New Roman" w:hAnsi="Times New Roman" w:cs="Times New Roman"/>
          <w:i/>
          <w:sz w:val="20"/>
          <w:szCs w:val="20"/>
          <w:lang w:val="en-IN"/>
        </w:rPr>
        <w:t>b</w:t>
      </w:r>
      <w:r w:rsidRPr="00BE516E">
        <w:rPr>
          <w:rFonts w:ascii="Times New Roman" w:hAnsi="Times New Roman" w:cs="Times New Roman"/>
          <w:sz w:val="20"/>
          <w:szCs w:val="20"/>
          <w:lang w:val="en-IN"/>
        </w:rPr>
        <w:t>-</w:t>
      </w:r>
      <w:proofErr w:type="gramStart"/>
      <w:r w:rsidRPr="00BE516E">
        <w:rPr>
          <w:rFonts w:ascii="Times New Roman" w:hAnsi="Times New Roman" w:cs="Times New Roman"/>
          <w:sz w:val="20"/>
          <w:szCs w:val="20"/>
          <w:lang w:val="en-IN"/>
        </w:rPr>
        <w:t>P(</w:t>
      </w:r>
      <w:proofErr w:type="gramEnd"/>
      <w:r w:rsidRPr="00BE516E">
        <w:rPr>
          <w:rFonts w:ascii="Times New Roman" w:hAnsi="Times New Roman" w:cs="Times New Roman"/>
          <w:sz w:val="20"/>
          <w:szCs w:val="20"/>
          <w:lang w:val="en-IN"/>
        </w:rPr>
        <w:t>LVF-HEMA), (B) FITC-tagged PEG-</w:t>
      </w:r>
      <w:r w:rsidRPr="00BE516E">
        <w:rPr>
          <w:rFonts w:ascii="Times New Roman" w:hAnsi="Times New Roman" w:cs="Times New Roman"/>
          <w:i/>
          <w:sz w:val="20"/>
          <w:szCs w:val="20"/>
          <w:lang w:val="en-IN"/>
        </w:rPr>
        <w:t>b</w:t>
      </w:r>
      <w:r w:rsidRPr="00BE516E">
        <w:rPr>
          <w:rFonts w:ascii="Times New Roman" w:hAnsi="Times New Roman" w:cs="Times New Roman"/>
          <w:sz w:val="20"/>
          <w:szCs w:val="20"/>
          <w:lang w:val="en-IN"/>
        </w:rPr>
        <w:t xml:space="preserve">-P(LVF-HEMA) and (C) FITC have shown in the inset. </w:t>
      </w:r>
    </w:p>
    <w:p w:rsidR="005A3659" w:rsidRPr="00BE516E" w:rsidRDefault="005A3659" w:rsidP="005A3659">
      <w:pPr>
        <w:pStyle w:val="NoSpacing"/>
        <w:spacing w:before="100" w:beforeAutospacing="1" w:after="100" w:afterAutospacing="1" w:line="360" w:lineRule="auto"/>
        <w:jc w:val="center"/>
        <w:rPr>
          <w:sz w:val="20"/>
          <w:szCs w:val="20"/>
        </w:rPr>
      </w:pPr>
      <w:r w:rsidRPr="00BE516E">
        <w:rPr>
          <w:sz w:val="20"/>
          <w:szCs w:val="20"/>
        </w:rPr>
        <w:object w:dxaOrig="6542" w:dyaOrig="45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130.5pt" o:ole="">
            <v:imagedata r:id="rId7" o:title="" croptop="4904f" cropbottom="23275f" cropleft="4998f" cropright="27358f"/>
          </v:shape>
          <o:OLEObject Type="Embed" ProgID="Origin50.Graph" ShapeID="_x0000_i1025" DrawAspect="Content" ObjectID="_1720538554" r:id="rId8"/>
        </w:object>
      </w:r>
    </w:p>
    <w:p w:rsidR="00E729F6" w:rsidRPr="00BE516E" w:rsidRDefault="001E4313" w:rsidP="00E729F6">
      <w:pPr>
        <w:pStyle w:val="NoSpacing"/>
        <w:spacing w:before="100" w:beforeAutospacing="1" w:after="100" w:afterAutospacing="1" w:line="360" w:lineRule="auto"/>
        <w:jc w:val="both"/>
        <w:rPr>
          <w:rFonts w:ascii="Times New Roman" w:hAnsi="Times New Roman" w:cs="Times New Roman"/>
          <w:sz w:val="20"/>
          <w:szCs w:val="20"/>
        </w:rPr>
      </w:pPr>
      <w:r>
        <w:rPr>
          <w:rFonts w:ascii="Times New Roman" w:hAnsi="Times New Roman" w:cs="Times New Roman"/>
          <w:b/>
          <w:sz w:val="20"/>
          <w:szCs w:val="20"/>
        </w:rPr>
        <w:t>Fig.</w:t>
      </w:r>
      <w:r w:rsidR="00E729F6" w:rsidRPr="00BE516E">
        <w:rPr>
          <w:rFonts w:ascii="Times New Roman" w:hAnsi="Times New Roman" w:cs="Times New Roman"/>
          <w:b/>
          <w:sz w:val="20"/>
          <w:szCs w:val="20"/>
        </w:rPr>
        <w:t>S1.</w:t>
      </w:r>
      <w:r w:rsidR="002564AF" w:rsidRPr="00BE516E">
        <w:rPr>
          <w:rFonts w:ascii="Times New Roman" w:hAnsi="Times New Roman" w:cs="Times New Roman"/>
          <w:b/>
          <w:sz w:val="20"/>
          <w:szCs w:val="20"/>
        </w:rPr>
        <w:t xml:space="preserve"> </w:t>
      </w:r>
      <w:r w:rsidR="00E729F6" w:rsidRPr="00BE516E">
        <w:rPr>
          <w:rFonts w:ascii="Times New Roman" w:hAnsi="Times New Roman" w:cs="Times New Roman"/>
          <w:sz w:val="20"/>
          <w:szCs w:val="20"/>
        </w:rPr>
        <w:t xml:space="preserve">Detection of molecular weight of </w:t>
      </w:r>
      <w:proofErr w:type="spellStart"/>
      <w:r w:rsidR="00E729F6" w:rsidRPr="00BE516E">
        <w:rPr>
          <w:rFonts w:ascii="Times New Roman" w:hAnsi="Times New Roman" w:cs="Times New Roman"/>
          <w:sz w:val="20"/>
          <w:szCs w:val="20"/>
        </w:rPr>
        <w:t>boc</w:t>
      </w:r>
      <w:proofErr w:type="spellEnd"/>
      <w:r w:rsidR="00E729F6" w:rsidRPr="00BE516E">
        <w:rPr>
          <w:rFonts w:ascii="Times New Roman" w:hAnsi="Times New Roman" w:cs="Times New Roman"/>
          <w:sz w:val="20"/>
          <w:szCs w:val="20"/>
        </w:rPr>
        <w:t>-protected polymer PEG-</w:t>
      </w:r>
      <w:r w:rsidR="00E729F6" w:rsidRPr="00BE516E">
        <w:rPr>
          <w:rFonts w:ascii="Times New Roman" w:hAnsi="Times New Roman" w:cs="Times New Roman"/>
          <w:i/>
          <w:sz w:val="20"/>
          <w:szCs w:val="20"/>
        </w:rPr>
        <w:t>b</w:t>
      </w:r>
      <w:r w:rsidR="00E729F6" w:rsidRPr="00BE516E">
        <w:rPr>
          <w:rFonts w:ascii="Times New Roman" w:hAnsi="Times New Roman" w:cs="Times New Roman"/>
          <w:sz w:val="20"/>
          <w:szCs w:val="20"/>
        </w:rPr>
        <w:t>-</w:t>
      </w:r>
      <w:proofErr w:type="gramStart"/>
      <w:r w:rsidR="00E729F6" w:rsidRPr="00BE516E">
        <w:rPr>
          <w:rFonts w:ascii="Times New Roman" w:hAnsi="Times New Roman" w:cs="Times New Roman"/>
          <w:sz w:val="20"/>
          <w:szCs w:val="20"/>
        </w:rPr>
        <w:t>P(</w:t>
      </w:r>
      <w:proofErr w:type="spellStart"/>
      <w:proofErr w:type="gramEnd"/>
      <w:r w:rsidR="00E729F6" w:rsidRPr="00BE516E">
        <w:rPr>
          <w:rFonts w:ascii="Times New Roman" w:hAnsi="Times New Roman" w:cs="Times New Roman"/>
          <w:sz w:val="20"/>
          <w:szCs w:val="20"/>
        </w:rPr>
        <w:t>Boc</w:t>
      </w:r>
      <w:proofErr w:type="spellEnd"/>
      <w:r w:rsidR="00E729F6" w:rsidRPr="00BE516E">
        <w:rPr>
          <w:rFonts w:ascii="Times New Roman" w:hAnsi="Times New Roman" w:cs="Times New Roman"/>
          <w:sz w:val="20"/>
          <w:szCs w:val="20"/>
        </w:rPr>
        <w:t>-LVF-EMA) through GPC.</w:t>
      </w:r>
    </w:p>
    <w:tbl>
      <w:tblPr>
        <w:tblStyle w:val="LightShading"/>
        <w:tblW w:w="7492" w:type="dxa"/>
        <w:jc w:val="center"/>
        <w:tblLayout w:type="fixed"/>
        <w:tblLook w:val="0620" w:firstRow="1" w:lastRow="0" w:firstColumn="0" w:lastColumn="0" w:noHBand="1" w:noVBand="1"/>
      </w:tblPr>
      <w:tblGrid>
        <w:gridCol w:w="3778"/>
        <w:gridCol w:w="924"/>
        <w:gridCol w:w="1089"/>
        <w:gridCol w:w="709"/>
        <w:gridCol w:w="992"/>
      </w:tblGrid>
      <w:tr w:rsidR="00E729F6" w:rsidRPr="00BE516E" w:rsidTr="00086C0A">
        <w:trPr>
          <w:cnfStyle w:val="100000000000" w:firstRow="1" w:lastRow="0" w:firstColumn="0" w:lastColumn="0" w:oddVBand="0" w:evenVBand="0" w:oddHBand="0" w:evenHBand="0" w:firstRowFirstColumn="0" w:firstRowLastColumn="0" w:lastRowFirstColumn="0" w:lastRowLastColumn="0"/>
          <w:trHeight w:val="542"/>
          <w:jc w:val="center"/>
        </w:trPr>
        <w:tc>
          <w:tcPr>
            <w:tcW w:w="3778" w:type="dxa"/>
          </w:tcPr>
          <w:p w:rsidR="00E729F6" w:rsidRPr="00BE516E" w:rsidRDefault="00E729F6" w:rsidP="00614597">
            <w:pPr>
              <w:spacing w:before="100" w:beforeAutospacing="1" w:after="100" w:afterAutospacing="1" w:line="360" w:lineRule="auto"/>
              <w:jc w:val="center"/>
              <w:rPr>
                <w:rFonts w:ascii="Times New Roman" w:hAnsi="Times New Roman"/>
                <w:sz w:val="20"/>
                <w:szCs w:val="20"/>
              </w:rPr>
            </w:pPr>
            <w:r w:rsidRPr="00BE516E">
              <w:rPr>
                <w:rFonts w:ascii="Times New Roman" w:hAnsi="Times New Roman"/>
                <w:sz w:val="20"/>
                <w:szCs w:val="20"/>
              </w:rPr>
              <w:t>Polymer</w:t>
            </w:r>
          </w:p>
        </w:tc>
        <w:tc>
          <w:tcPr>
            <w:tcW w:w="924" w:type="dxa"/>
          </w:tcPr>
          <w:p w:rsidR="00E729F6" w:rsidRPr="00BE516E" w:rsidRDefault="00E729F6" w:rsidP="00614597">
            <w:pPr>
              <w:spacing w:before="100" w:beforeAutospacing="1" w:after="100" w:afterAutospacing="1" w:line="360" w:lineRule="auto"/>
              <w:jc w:val="center"/>
              <w:rPr>
                <w:rFonts w:ascii="Times New Roman" w:hAnsi="Times New Roman"/>
                <w:sz w:val="20"/>
                <w:szCs w:val="20"/>
              </w:rPr>
            </w:pPr>
            <w:r w:rsidRPr="00BE516E">
              <w:rPr>
                <w:rFonts w:ascii="Times New Roman" w:hAnsi="Times New Roman"/>
                <w:sz w:val="20"/>
                <w:szCs w:val="20"/>
              </w:rPr>
              <w:t>Conv.</w:t>
            </w:r>
          </w:p>
          <w:p w:rsidR="00E729F6" w:rsidRPr="00BE516E" w:rsidRDefault="00E729F6" w:rsidP="00614597">
            <w:pPr>
              <w:spacing w:before="100" w:beforeAutospacing="1" w:after="100" w:afterAutospacing="1" w:line="360" w:lineRule="auto"/>
              <w:jc w:val="center"/>
              <w:rPr>
                <w:rFonts w:ascii="Times New Roman" w:hAnsi="Times New Roman"/>
                <w:sz w:val="20"/>
                <w:szCs w:val="20"/>
              </w:rPr>
            </w:pPr>
            <w:r w:rsidRPr="00BE516E">
              <w:rPr>
                <w:rFonts w:ascii="Times New Roman" w:hAnsi="Times New Roman"/>
                <w:sz w:val="20"/>
                <w:szCs w:val="20"/>
              </w:rPr>
              <w:t>(%)</w:t>
            </w:r>
          </w:p>
        </w:tc>
        <w:tc>
          <w:tcPr>
            <w:tcW w:w="1089" w:type="dxa"/>
          </w:tcPr>
          <w:p w:rsidR="00E729F6" w:rsidRPr="00BE516E" w:rsidRDefault="00E729F6" w:rsidP="00614597">
            <w:pPr>
              <w:spacing w:before="100" w:beforeAutospacing="1" w:after="100" w:afterAutospacing="1" w:line="360" w:lineRule="auto"/>
              <w:jc w:val="center"/>
              <w:rPr>
                <w:rFonts w:ascii="Times New Roman" w:hAnsi="Times New Roman"/>
                <w:sz w:val="20"/>
                <w:szCs w:val="20"/>
                <w:vertAlign w:val="subscript"/>
              </w:rPr>
            </w:pPr>
            <w:proofErr w:type="spellStart"/>
            <w:r w:rsidRPr="00BE516E">
              <w:rPr>
                <w:rFonts w:ascii="Times New Roman" w:hAnsi="Times New Roman"/>
                <w:i/>
                <w:sz w:val="20"/>
                <w:szCs w:val="20"/>
              </w:rPr>
              <w:t>M</w:t>
            </w:r>
            <w:r w:rsidRPr="00BE516E">
              <w:rPr>
                <w:rFonts w:ascii="Times New Roman" w:hAnsi="Times New Roman"/>
                <w:sz w:val="20"/>
                <w:szCs w:val="20"/>
                <w:vertAlign w:val="subscript"/>
              </w:rPr>
              <w:t>n,GPC</w:t>
            </w:r>
            <w:r w:rsidRPr="00BE516E">
              <w:rPr>
                <w:rFonts w:ascii="Times New Roman" w:hAnsi="Times New Roman"/>
                <w:sz w:val="20"/>
                <w:szCs w:val="20"/>
                <w:vertAlign w:val="superscript"/>
              </w:rPr>
              <w:t>d</w:t>
            </w:r>
            <w:proofErr w:type="spellEnd"/>
          </w:p>
          <w:p w:rsidR="00E729F6" w:rsidRPr="00BE516E" w:rsidRDefault="00E729F6" w:rsidP="00614597">
            <w:pPr>
              <w:spacing w:before="100" w:beforeAutospacing="1" w:after="100" w:afterAutospacing="1" w:line="360" w:lineRule="auto"/>
              <w:jc w:val="center"/>
              <w:rPr>
                <w:rFonts w:ascii="Times New Roman" w:hAnsi="Times New Roman"/>
                <w:sz w:val="20"/>
                <w:szCs w:val="20"/>
              </w:rPr>
            </w:pPr>
            <w:r w:rsidRPr="00BE516E">
              <w:rPr>
                <w:rFonts w:ascii="Times New Roman" w:hAnsi="Times New Roman"/>
                <w:sz w:val="20"/>
                <w:szCs w:val="20"/>
              </w:rPr>
              <w:t>(g/</w:t>
            </w:r>
            <w:proofErr w:type="spellStart"/>
            <w:r w:rsidRPr="00BE516E">
              <w:rPr>
                <w:rFonts w:ascii="Times New Roman" w:hAnsi="Times New Roman"/>
                <w:sz w:val="20"/>
                <w:szCs w:val="20"/>
              </w:rPr>
              <w:t>mol</w:t>
            </w:r>
            <w:proofErr w:type="spellEnd"/>
            <w:r w:rsidRPr="00BE516E">
              <w:rPr>
                <w:rFonts w:ascii="Times New Roman" w:hAnsi="Times New Roman"/>
                <w:sz w:val="20"/>
                <w:szCs w:val="20"/>
              </w:rPr>
              <w:t>)</w:t>
            </w:r>
          </w:p>
        </w:tc>
        <w:tc>
          <w:tcPr>
            <w:tcW w:w="709" w:type="dxa"/>
          </w:tcPr>
          <w:p w:rsidR="00E729F6" w:rsidRPr="00BE516E" w:rsidRDefault="00E729F6" w:rsidP="00614597">
            <w:pPr>
              <w:spacing w:before="100" w:beforeAutospacing="1" w:after="100" w:afterAutospacing="1" w:line="360" w:lineRule="auto"/>
              <w:jc w:val="center"/>
              <w:rPr>
                <w:rFonts w:ascii="Times New Roman" w:hAnsi="Times New Roman"/>
                <w:sz w:val="20"/>
                <w:szCs w:val="20"/>
              </w:rPr>
            </w:pPr>
            <w:proofErr w:type="spellStart"/>
            <w:r w:rsidRPr="00BE516E">
              <w:rPr>
                <w:rFonts w:ascii="Times New Roman" w:hAnsi="Times New Roman"/>
                <w:i/>
                <w:sz w:val="20"/>
                <w:szCs w:val="20"/>
              </w:rPr>
              <w:t>Ð</w:t>
            </w:r>
            <w:r w:rsidRPr="00BE516E">
              <w:rPr>
                <w:rFonts w:ascii="Times New Roman" w:hAnsi="Times New Roman"/>
                <w:sz w:val="20"/>
                <w:szCs w:val="20"/>
                <w:vertAlign w:val="superscript"/>
              </w:rPr>
              <w:t>d</w:t>
            </w:r>
            <w:proofErr w:type="spellEnd"/>
          </w:p>
        </w:tc>
        <w:tc>
          <w:tcPr>
            <w:tcW w:w="992" w:type="dxa"/>
          </w:tcPr>
          <w:p w:rsidR="00E729F6" w:rsidRPr="00BE516E" w:rsidRDefault="00E729F6" w:rsidP="00614597">
            <w:pPr>
              <w:spacing w:before="100" w:beforeAutospacing="1" w:after="100" w:afterAutospacing="1" w:line="360" w:lineRule="auto"/>
              <w:jc w:val="center"/>
              <w:rPr>
                <w:rFonts w:ascii="Times New Roman" w:hAnsi="Times New Roman"/>
                <w:sz w:val="20"/>
                <w:szCs w:val="20"/>
                <w:vertAlign w:val="subscript"/>
              </w:rPr>
            </w:pPr>
            <w:proofErr w:type="spellStart"/>
            <w:r w:rsidRPr="00BE516E">
              <w:rPr>
                <w:rFonts w:ascii="Times New Roman" w:hAnsi="Times New Roman"/>
                <w:i/>
                <w:sz w:val="20"/>
                <w:szCs w:val="20"/>
              </w:rPr>
              <w:t>M</w:t>
            </w:r>
            <w:r w:rsidRPr="00BE516E">
              <w:rPr>
                <w:rFonts w:ascii="Times New Roman" w:hAnsi="Times New Roman"/>
                <w:sz w:val="20"/>
                <w:szCs w:val="20"/>
                <w:vertAlign w:val="subscript"/>
              </w:rPr>
              <w:t>n,theo</w:t>
            </w:r>
            <w:r w:rsidRPr="00BE516E">
              <w:rPr>
                <w:rFonts w:ascii="Times New Roman" w:hAnsi="Times New Roman"/>
                <w:sz w:val="20"/>
                <w:szCs w:val="20"/>
                <w:vertAlign w:val="superscript"/>
              </w:rPr>
              <w:t>e</w:t>
            </w:r>
            <w:proofErr w:type="spellEnd"/>
          </w:p>
          <w:p w:rsidR="00E729F6" w:rsidRPr="00BE516E" w:rsidRDefault="00E729F6" w:rsidP="00614597">
            <w:pPr>
              <w:spacing w:before="100" w:beforeAutospacing="1" w:after="100" w:afterAutospacing="1" w:line="360" w:lineRule="auto"/>
              <w:jc w:val="center"/>
              <w:rPr>
                <w:rFonts w:ascii="Times New Roman" w:hAnsi="Times New Roman"/>
                <w:sz w:val="20"/>
                <w:szCs w:val="20"/>
              </w:rPr>
            </w:pPr>
            <w:r w:rsidRPr="00BE516E">
              <w:rPr>
                <w:rFonts w:ascii="Times New Roman" w:hAnsi="Times New Roman"/>
                <w:sz w:val="20"/>
                <w:szCs w:val="20"/>
              </w:rPr>
              <w:t>(g/</w:t>
            </w:r>
            <w:proofErr w:type="spellStart"/>
            <w:r w:rsidRPr="00BE516E">
              <w:rPr>
                <w:rFonts w:ascii="Times New Roman" w:hAnsi="Times New Roman"/>
                <w:sz w:val="20"/>
                <w:szCs w:val="20"/>
              </w:rPr>
              <w:t>mol</w:t>
            </w:r>
            <w:proofErr w:type="spellEnd"/>
            <w:r w:rsidRPr="00BE516E">
              <w:rPr>
                <w:rFonts w:ascii="Times New Roman" w:hAnsi="Times New Roman"/>
                <w:sz w:val="20"/>
                <w:szCs w:val="20"/>
              </w:rPr>
              <w:t>)</w:t>
            </w:r>
          </w:p>
        </w:tc>
      </w:tr>
      <w:tr w:rsidR="00E729F6" w:rsidRPr="00BE516E" w:rsidTr="00086C0A">
        <w:trPr>
          <w:trHeight w:val="271"/>
          <w:jc w:val="center"/>
        </w:trPr>
        <w:tc>
          <w:tcPr>
            <w:tcW w:w="3778" w:type="dxa"/>
          </w:tcPr>
          <w:p w:rsidR="00E729F6" w:rsidRPr="00BE516E" w:rsidRDefault="00E729F6" w:rsidP="00614597">
            <w:pPr>
              <w:spacing w:before="100" w:beforeAutospacing="1" w:after="100" w:afterAutospacing="1" w:line="360" w:lineRule="auto"/>
              <w:jc w:val="center"/>
              <w:rPr>
                <w:rFonts w:ascii="Times New Roman" w:hAnsi="Times New Roman"/>
                <w:sz w:val="20"/>
                <w:szCs w:val="20"/>
              </w:rPr>
            </w:pPr>
            <w:r w:rsidRPr="00BE516E">
              <w:rPr>
                <w:rFonts w:ascii="Times New Roman" w:hAnsi="Times New Roman"/>
                <w:sz w:val="20"/>
                <w:szCs w:val="20"/>
              </w:rPr>
              <w:t>PEG-</w:t>
            </w:r>
            <w:r w:rsidRPr="00BE516E">
              <w:rPr>
                <w:rFonts w:ascii="Times New Roman" w:hAnsi="Times New Roman"/>
                <w:i/>
                <w:sz w:val="20"/>
                <w:szCs w:val="20"/>
              </w:rPr>
              <w:t>b</w:t>
            </w:r>
            <w:r w:rsidRPr="00BE516E">
              <w:rPr>
                <w:rFonts w:ascii="Times New Roman" w:hAnsi="Times New Roman"/>
                <w:sz w:val="20"/>
                <w:szCs w:val="20"/>
              </w:rPr>
              <w:t>-P(</w:t>
            </w:r>
            <w:proofErr w:type="spellStart"/>
            <w:r w:rsidRPr="00BE516E">
              <w:rPr>
                <w:rFonts w:ascii="Times New Roman" w:hAnsi="Times New Roman"/>
                <w:sz w:val="20"/>
                <w:szCs w:val="20"/>
              </w:rPr>
              <w:t>Boc</w:t>
            </w:r>
            <w:proofErr w:type="spellEnd"/>
            <w:r w:rsidRPr="00BE516E">
              <w:rPr>
                <w:rFonts w:ascii="Times New Roman" w:hAnsi="Times New Roman"/>
                <w:sz w:val="20"/>
                <w:szCs w:val="20"/>
              </w:rPr>
              <w:t>-LVF-EMA)</w:t>
            </w:r>
          </w:p>
        </w:tc>
        <w:tc>
          <w:tcPr>
            <w:tcW w:w="924" w:type="dxa"/>
          </w:tcPr>
          <w:p w:rsidR="00E729F6" w:rsidRPr="00BE516E" w:rsidRDefault="00E729F6" w:rsidP="00614597">
            <w:pPr>
              <w:spacing w:before="100" w:beforeAutospacing="1" w:after="100" w:afterAutospacing="1" w:line="360" w:lineRule="auto"/>
              <w:jc w:val="center"/>
              <w:rPr>
                <w:rFonts w:ascii="Times New Roman" w:hAnsi="Times New Roman"/>
                <w:sz w:val="20"/>
                <w:szCs w:val="20"/>
              </w:rPr>
            </w:pPr>
            <w:r w:rsidRPr="00BE516E">
              <w:rPr>
                <w:rFonts w:ascii="Times New Roman" w:hAnsi="Times New Roman"/>
                <w:sz w:val="20"/>
                <w:szCs w:val="20"/>
              </w:rPr>
              <w:t>75</w:t>
            </w:r>
          </w:p>
        </w:tc>
        <w:tc>
          <w:tcPr>
            <w:tcW w:w="1089" w:type="dxa"/>
          </w:tcPr>
          <w:p w:rsidR="00E729F6" w:rsidRPr="00BE516E" w:rsidRDefault="00E729F6" w:rsidP="00614597">
            <w:pPr>
              <w:spacing w:before="100" w:beforeAutospacing="1" w:after="100" w:afterAutospacing="1" w:line="360" w:lineRule="auto"/>
              <w:jc w:val="center"/>
              <w:rPr>
                <w:rFonts w:ascii="Times New Roman" w:hAnsi="Times New Roman"/>
                <w:sz w:val="20"/>
                <w:szCs w:val="20"/>
              </w:rPr>
            </w:pPr>
            <w:r w:rsidRPr="00BE516E">
              <w:rPr>
                <w:rFonts w:ascii="Times New Roman" w:hAnsi="Times New Roman"/>
                <w:sz w:val="20"/>
                <w:szCs w:val="20"/>
              </w:rPr>
              <w:t>19400</w:t>
            </w:r>
          </w:p>
        </w:tc>
        <w:tc>
          <w:tcPr>
            <w:tcW w:w="709" w:type="dxa"/>
          </w:tcPr>
          <w:p w:rsidR="00E729F6" w:rsidRPr="00BE516E" w:rsidRDefault="00E729F6" w:rsidP="00614597">
            <w:pPr>
              <w:spacing w:before="100" w:beforeAutospacing="1" w:after="100" w:afterAutospacing="1" w:line="360" w:lineRule="auto"/>
              <w:jc w:val="center"/>
              <w:rPr>
                <w:rFonts w:ascii="Times New Roman" w:hAnsi="Times New Roman"/>
                <w:sz w:val="20"/>
                <w:szCs w:val="20"/>
              </w:rPr>
            </w:pPr>
            <w:r w:rsidRPr="00BE516E">
              <w:rPr>
                <w:rFonts w:ascii="Times New Roman" w:hAnsi="Times New Roman"/>
                <w:sz w:val="20"/>
                <w:szCs w:val="20"/>
              </w:rPr>
              <w:t>1.06</w:t>
            </w:r>
          </w:p>
        </w:tc>
        <w:tc>
          <w:tcPr>
            <w:tcW w:w="992" w:type="dxa"/>
          </w:tcPr>
          <w:p w:rsidR="00E729F6" w:rsidRPr="00BE516E" w:rsidRDefault="00E729F6" w:rsidP="00614597">
            <w:pPr>
              <w:spacing w:before="100" w:beforeAutospacing="1" w:after="100" w:afterAutospacing="1" w:line="360" w:lineRule="auto"/>
              <w:jc w:val="center"/>
              <w:rPr>
                <w:rFonts w:ascii="Times New Roman" w:hAnsi="Times New Roman"/>
                <w:sz w:val="20"/>
                <w:szCs w:val="20"/>
              </w:rPr>
            </w:pPr>
            <w:r w:rsidRPr="00BE516E">
              <w:rPr>
                <w:rFonts w:ascii="Times New Roman" w:hAnsi="Times New Roman"/>
                <w:sz w:val="20"/>
                <w:szCs w:val="20"/>
              </w:rPr>
              <w:t>14200</w:t>
            </w:r>
          </w:p>
        </w:tc>
      </w:tr>
    </w:tbl>
    <w:p w:rsidR="001712A4" w:rsidRPr="00BE516E" w:rsidRDefault="001968D6" w:rsidP="00E729F6">
      <w:pPr>
        <w:tabs>
          <w:tab w:val="left" w:pos="5895"/>
        </w:tabs>
        <w:autoSpaceDE w:val="0"/>
        <w:autoSpaceDN w:val="0"/>
        <w:adjustRightInd w:val="0"/>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b/>
          <w:sz w:val="20"/>
          <w:szCs w:val="20"/>
        </w:rPr>
        <w:t>Table S1</w:t>
      </w:r>
      <w:r w:rsidR="00E729F6" w:rsidRPr="00BE516E">
        <w:rPr>
          <w:rFonts w:ascii="Times New Roman" w:hAnsi="Times New Roman" w:cs="Times New Roman"/>
          <w:b/>
          <w:sz w:val="20"/>
          <w:szCs w:val="20"/>
        </w:rPr>
        <w:t>.</w:t>
      </w:r>
      <w:r w:rsidR="002564AF" w:rsidRPr="00BE516E">
        <w:rPr>
          <w:rFonts w:ascii="Times New Roman" w:hAnsi="Times New Roman" w:cs="Times New Roman"/>
          <w:b/>
          <w:sz w:val="20"/>
          <w:szCs w:val="20"/>
        </w:rPr>
        <w:t xml:space="preserve"> </w:t>
      </w:r>
      <w:r w:rsidR="00000C0F" w:rsidRPr="00BE516E">
        <w:rPr>
          <w:rFonts w:ascii="Times New Roman" w:hAnsi="Times New Roman" w:cs="Times New Roman"/>
          <w:sz w:val="20"/>
          <w:szCs w:val="20"/>
        </w:rPr>
        <w:t xml:space="preserve">Approximate molecular </w:t>
      </w:r>
      <w:r w:rsidR="00E729F6" w:rsidRPr="00BE516E">
        <w:rPr>
          <w:rFonts w:ascii="Times New Roman" w:hAnsi="Times New Roman" w:cs="Times New Roman"/>
          <w:sz w:val="20"/>
          <w:szCs w:val="20"/>
        </w:rPr>
        <w:t xml:space="preserve">weight of </w:t>
      </w:r>
      <w:proofErr w:type="spellStart"/>
      <w:r w:rsidR="00E729F6" w:rsidRPr="00BE516E">
        <w:rPr>
          <w:rFonts w:ascii="Times New Roman" w:hAnsi="Times New Roman" w:cs="Times New Roman"/>
          <w:sz w:val="20"/>
          <w:szCs w:val="20"/>
        </w:rPr>
        <w:t>boc</w:t>
      </w:r>
      <w:proofErr w:type="spellEnd"/>
      <w:r w:rsidR="00E729F6" w:rsidRPr="00BE516E">
        <w:rPr>
          <w:rFonts w:ascii="Times New Roman" w:hAnsi="Times New Roman" w:cs="Times New Roman"/>
          <w:sz w:val="20"/>
          <w:szCs w:val="20"/>
        </w:rPr>
        <w:t>-protected polymer PEG-</w:t>
      </w:r>
      <w:r w:rsidR="00E729F6" w:rsidRPr="00BE516E">
        <w:rPr>
          <w:rFonts w:ascii="Times New Roman" w:hAnsi="Times New Roman" w:cs="Times New Roman"/>
          <w:i/>
          <w:sz w:val="20"/>
          <w:szCs w:val="20"/>
        </w:rPr>
        <w:t>b</w:t>
      </w:r>
      <w:r w:rsidR="00E729F6" w:rsidRPr="00BE516E">
        <w:rPr>
          <w:rFonts w:ascii="Times New Roman" w:hAnsi="Times New Roman" w:cs="Times New Roman"/>
          <w:sz w:val="20"/>
          <w:szCs w:val="20"/>
        </w:rPr>
        <w:t>-</w:t>
      </w:r>
      <w:proofErr w:type="gramStart"/>
      <w:r w:rsidR="00E729F6" w:rsidRPr="00BE516E">
        <w:rPr>
          <w:rFonts w:ascii="Times New Roman" w:hAnsi="Times New Roman" w:cs="Times New Roman"/>
          <w:sz w:val="20"/>
          <w:szCs w:val="20"/>
        </w:rPr>
        <w:t>P(</w:t>
      </w:r>
      <w:proofErr w:type="spellStart"/>
      <w:proofErr w:type="gramEnd"/>
      <w:r w:rsidR="00E729F6" w:rsidRPr="00BE516E">
        <w:rPr>
          <w:rFonts w:ascii="Times New Roman" w:hAnsi="Times New Roman" w:cs="Times New Roman"/>
          <w:sz w:val="20"/>
          <w:szCs w:val="20"/>
        </w:rPr>
        <w:t>Boc</w:t>
      </w:r>
      <w:proofErr w:type="spellEnd"/>
      <w:r w:rsidR="00E729F6" w:rsidRPr="00BE516E">
        <w:rPr>
          <w:rFonts w:ascii="Times New Roman" w:hAnsi="Times New Roman" w:cs="Times New Roman"/>
          <w:sz w:val="20"/>
          <w:szCs w:val="20"/>
        </w:rPr>
        <w:t xml:space="preserve">-LVF-EMA). </w:t>
      </w:r>
    </w:p>
    <w:p w:rsidR="001712A4" w:rsidRPr="00BE516E" w:rsidRDefault="00184591" w:rsidP="00184591">
      <w:pPr>
        <w:pStyle w:val="NoSpacing"/>
        <w:spacing w:before="100" w:beforeAutospacing="1" w:after="100" w:afterAutospacing="1" w:line="360" w:lineRule="auto"/>
        <w:jc w:val="center"/>
        <w:rPr>
          <w:rFonts w:ascii="Times New Roman" w:hAnsi="Times New Roman" w:cs="Times New Roman"/>
          <w:b/>
          <w:iCs/>
          <w:sz w:val="20"/>
          <w:szCs w:val="20"/>
        </w:rPr>
      </w:pPr>
      <w:r w:rsidRPr="00BE516E">
        <w:rPr>
          <w:rFonts w:ascii="Times New Roman" w:hAnsi="Times New Roman" w:cs="Times New Roman"/>
          <w:b/>
          <w:iCs/>
          <w:noProof/>
          <w:sz w:val="20"/>
          <w:szCs w:val="20"/>
        </w:rPr>
        <w:drawing>
          <wp:inline distT="0" distB="0" distL="0" distR="0" wp14:anchorId="7996C14A" wp14:editId="278221F4">
            <wp:extent cx="4943475" cy="20008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5990" cy="2005921"/>
                    </a:xfrm>
                    <a:prstGeom prst="rect">
                      <a:avLst/>
                    </a:prstGeom>
                    <a:noFill/>
                  </pic:spPr>
                </pic:pic>
              </a:graphicData>
            </a:graphic>
          </wp:inline>
        </w:drawing>
      </w:r>
    </w:p>
    <w:p w:rsidR="001712A4" w:rsidRPr="00BE516E" w:rsidRDefault="001E4313" w:rsidP="003E5F0F">
      <w:pPr>
        <w:autoSpaceDE w:val="0"/>
        <w:autoSpaceDN w:val="0"/>
        <w:adjustRightInd w:val="0"/>
        <w:spacing w:before="100" w:beforeAutospacing="1" w:after="100" w:afterAutospacing="1" w:line="360" w:lineRule="auto"/>
        <w:jc w:val="both"/>
        <w:rPr>
          <w:rFonts w:ascii="Times New Roman" w:hAnsi="Times New Roman" w:cs="Times New Roman"/>
          <w:sz w:val="20"/>
          <w:szCs w:val="20"/>
        </w:rPr>
      </w:pPr>
      <w:r>
        <w:rPr>
          <w:rFonts w:ascii="Times New Roman" w:hAnsi="Times New Roman" w:cs="Times New Roman"/>
          <w:b/>
          <w:sz w:val="20"/>
          <w:szCs w:val="20"/>
        </w:rPr>
        <w:t>Fig.</w:t>
      </w:r>
      <w:r w:rsidR="00997173" w:rsidRPr="00BE516E">
        <w:rPr>
          <w:rFonts w:ascii="Times New Roman" w:hAnsi="Times New Roman" w:cs="Times New Roman"/>
          <w:b/>
          <w:sz w:val="20"/>
          <w:szCs w:val="20"/>
        </w:rPr>
        <w:t>S</w:t>
      </w:r>
      <w:r w:rsidR="001D293B" w:rsidRPr="00BE516E">
        <w:rPr>
          <w:rFonts w:ascii="Times New Roman" w:hAnsi="Times New Roman" w:cs="Times New Roman"/>
          <w:b/>
          <w:sz w:val="20"/>
          <w:szCs w:val="20"/>
        </w:rPr>
        <w:t>2</w:t>
      </w:r>
      <w:r w:rsidR="00C93BDB" w:rsidRPr="00BE516E">
        <w:rPr>
          <w:rFonts w:ascii="Times New Roman" w:hAnsi="Times New Roman" w:cs="Times New Roman"/>
          <w:b/>
          <w:sz w:val="20"/>
          <w:szCs w:val="20"/>
        </w:rPr>
        <w:t>.</w:t>
      </w:r>
      <w:r w:rsidR="00C93BDB" w:rsidRPr="00BE516E">
        <w:rPr>
          <w:rFonts w:ascii="Times New Roman" w:hAnsi="Times New Roman" w:cs="Times New Roman"/>
          <w:sz w:val="20"/>
          <w:szCs w:val="20"/>
        </w:rPr>
        <w:t xml:space="preserve"> UV-</w:t>
      </w:r>
      <w:r w:rsidR="00184591" w:rsidRPr="00BE516E">
        <w:rPr>
          <w:rFonts w:ascii="Times New Roman" w:hAnsi="Times New Roman" w:cs="Times New Roman"/>
          <w:sz w:val="20"/>
          <w:szCs w:val="20"/>
        </w:rPr>
        <w:t>Vis (a) and fluorescence spectra (b</w:t>
      </w:r>
      <w:r w:rsidR="00B97D12" w:rsidRPr="00BE516E">
        <w:rPr>
          <w:rFonts w:ascii="Times New Roman" w:hAnsi="Times New Roman" w:cs="Times New Roman"/>
          <w:sz w:val="20"/>
          <w:szCs w:val="20"/>
        </w:rPr>
        <w:t xml:space="preserve">) of </w:t>
      </w:r>
      <w:r w:rsidR="00C93BDB" w:rsidRPr="00BE516E">
        <w:rPr>
          <w:rFonts w:ascii="Times New Roman" w:hAnsi="Times New Roman" w:cs="Times New Roman"/>
          <w:sz w:val="20"/>
          <w:szCs w:val="20"/>
        </w:rPr>
        <w:t>untagged and FITC-tagged PEG-</w:t>
      </w:r>
      <w:r w:rsidR="00C93BDB" w:rsidRPr="00BE516E">
        <w:rPr>
          <w:rFonts w:ascii="Times New Roman" w:hAnsi="Times New Roman" w:cs="Times New Roman"/>
          <w:i/>
          <w:sz w:val="20"/>
          <w:szCs w:val="20"/>
        </w:rPr>
        <w:t>b</w:t>
      </w:r>
      <w:r w:rsidR="00C93BDB" w:rsidRPr="00BE516E">
        <w:rPr>
          <w:rFonts w:ascii="Times New Roman" w:hAnsi="Times New Roman" w:cs="Times New Roman"/>
          <w:sz w:val="20"/>
          <w:szCs w:val="20"/>
        </w:rPr>
        <w:t>-</w:t>
      </w:r>
      <w:proofErr w:type="gramStart"/>
      <w:r w:rsidR="00C93BDB" w:rsidRPr="00BE516E">
        <w:rPr>
          <w:rFonts w:ascii="Times New Roman" w:hAnsi="Times New Roman" w:cs="Times New Roman"/>
          <w:sz w:val="20"/>
          <w:szCs w:val="20"/>
        </w:rPr>
        <w:t>P(</w:t>
      </w:r>
      <w:proofErr w:type="gramEnd"/>
      <w:r w:rsidR="00C93BDB" w:rsidRPr="00BE516E">
        <w:rPr>
          <w:rFonts w:ascii="Times New Roman" w:hAnsi="Times New Roman" w:cs="Times New Roman"/>
          <w:sz w:val="20"/>
          <w:szCs w:val="20"/>
        </w:rPr>
        <w:t xml:space="preserve">LVF-HEMA) </w:t>
      </w:r>
      <w:r w:rsidR="00997173" w:rsidRPr="00BE516E">
        <w:rPr>
          <w:rFonts w:ascii="Times New Roman" w:hAnsi="Times New Roman" w:cs="Times New Roman"/>
          <w:sz w:val="20"/>
          <w:szCs w:val="20"/>
        </w:rPr>
        <w:t>(I</w:t>
      </w:r>
      <w:r w:rsidR="00185C4B">
        <w:rPr>
          <w:rFonts w:ascii="Times New Roman" w:hAnsi="Times New Roman" w:cs="Times New Roman"/>
          <w:sz w:val="20"/>
          <w:szCs w:val="20"/>
        </w:rPr>
        <w:t>NH</w:t>
      </w:r>
      <w:r w:rsidR="00997173" w:rsidRPr="00BE516E">
        <w:rPr>
          <w:rFonts w:ascii="Times New Roman" w:hAnsi="Times New Roman" w:cs="Times New Roman"/>
          <w:sz w:val="20"/>
          <w:szCs w:val="20"/>
        </w:rPr>
        <w:t xml:space="preserve">) </w:t>
      </w:r>
      <w:r w:rsidR="00C93BDB" w:rsidRPr="00BE516E">
        <w:rPr>
          <w:rFonts w:ascii="Times New Roman" w:hAnsi="Times New Roman" w:cs="Times New Roman"/>
          <w:sz w:val="20"/>
          <w:szCs w:val="20"/>
        </w:rPr>
        <w:t>(concentration: 1 mg/ml).</w:t>
      </w:r>
    </w:p>
    <w:p w:rsidR="00C93BDB" w:rsidRPr="00BE516E" w:rsidRDefault="003E5F0F" w:rsidP="0099077E">
      <w:pPr>
        <w:pStyle w:val="NoSpacing"/>
        <w:spacing w:before="100" w:beforeAutospacing="1" w:after="100" w:afterAutospacing="1" w:line="360" w:lineRule="auto"/>
        <w:jc w:val="center"/>
        <w:rPr>
          <w:rFonts w:ascii="Times New Roman" w:hAnsi="Times New Roman" w:cs="Times New Roman"/>
          <w:iCs/>
          <w:sz w:val="20"/>
          <w:szCs w:val="20"/>
        </w:rPr>
      </w:pPr>
      <w:r w:rsidRPr="00BE516E">
        <w:rPr>
          <w:rFonts w:ascii="Times New Roman" w:hAnsi="Times New Roman" w:cs="Times New Roman"/>
          <w:iCs/>
          <w:sz w:val="20"/>
          <w:szCs w:val="20"/>
          <w:lang w:val="en-IN"/>
        </w:rPr>
        <w:object w:dxaOrig="6542" w:dyaOrig="4569">
          <v:shape id="_x0000_i1026" type="#_x0000_t75" style="width:204.75pt;height:156pt" o:ole="">
            <v:imagedata r:id="rId10" o:title="" croptop="3700f" cropbottom="23877f" cropleft="3085f" cropright="27599f"/>
          </v:shape>
          <o:OLEObject Type="Embed" ProgID="Origin50.Graph" ShapeID="_x0000_i1026" DrawAspect="Content" ObjectID="_1720538555" r:id="rId11"/>
        </w:object>
      </w:r>
    </w:p>
    <w:p w:rsidR="00FF581F" w:rsidRPr="00BE516E" w:rsidRDefault="001E4313" w:rsidP="00E729F6">
      <w:pPr>
        <w:autoSpaceDE w:val="0"/>
        <w:autoSpaceDN w:val="0"/>
        <w:adjustRightInd w:val="0"/>
        <w:spacing w:before="100" w:beforeAutospacing="1" w:after="100" w:afterAutospacing="1" w:line="360" w:lineRule="auto"/>
        <w:jc w:val="both"/>
        <w:rPr>
          <w:rFonts w:ascii="Times New Roman" w:hAnsi="Times New Roman" w:cs="Times New Roman"/>
          <w:sz w:val="20"/>
          <w:szCs w:val="20"/>
        </w:rPr>
      </w:pPr>
      <w:r>
        <w:rPr>
          <w:rFonts w:ascii="Times New Roman" w:hAnsi="Times New Roman" w:cs="Times New Roman"/>
          <w:b/>
          <w:sz w:val="20"/>
          <w:szCs w:val="20"/>
        </w:rPr>
        <w:t>Fig.</w:t>
      </w:r>
      <w:r w:rsidR="00997173" w:rsidRPr="00BE516E">
        <w:rPr>
          <w:rFonts w:ascii="Times New Roman" w:hAnsi="Times New Roman" w:cs="Times New Roman"/>
          <w:b/>
          <w:sz w:val="20"/>
          <w:szCs w:val="20"/>
        </w:rPr>
        <w:t>S</w:t>
      </w:r>
      <w:r w:rsidR="00C93BDB" w:rsidRPr="00BE516E">
        <w:rPr>
          <w:rFonts w:ascii="Times New Roman" w:hAnsi="Times New Roman" w:cs="Times New Roman"/>
          <w:b/>
          <w:sz w:val="20"/>
          <w:szCs w:val="20"/>
        </w:rPr>
        <w:t>3.</w:t>
      </w:r>
      <w:r w:rsidR="00C93BDB" w:rsidRPr="00BE516E">
        <w:rPr>
          <w:rFonts w:ascii="Times New Roman" w:hAnsi="Times New Roman" w:cs="Times New Roman"/>
          <w:sz w:val="20"/>
          <w:szCs w:val="20"/>
        </w:rPr>
        <w:t xml:space="preserve"> Plots of % </w:t>
      </w:r>
      <w:r w:rsidR="00C93BDB" w:rsidRPr="00BE516E">
        <w:rPr>
          <w:rFonts w:ascii="Times New Roman" w:hAnsi="Times New Roman" w:cs="Times New Roman"/>
          <w:i/>
          <w:sz w:val="20"/>
          <w:szCs w:val="20"/>
        </w:rPr>
        <w:t>Transmittance</w:t>
      </w:r>
      <w:r w:rsidR="00C93BDB" w:rsidRPr="00BE516E">
        <w:rPr>
          <w:rFonts w:ascii="Times New Roman" w:hAnsi="Times New Roman" w:cs="Times New Roman"/>
          <w:sz w:val="20"/>
          <w:szCs w:val="20"/>
        </w:rPr>
        <w:t xml:space="preserve"> versus pH at 25</w:t>
      </w:r>
      <w:r w:rsidR="00FC458D" w:rsidRPr="00BE516E">
        <w:rPr>
          <w:rFonts w:ascii="Times New Roman" w:hAnsi="Times New Roman" w:cs="Times New Roman"/>
          <w:sz w:val="20"/>
          <w:szCs w:val="20"/>
        </w:rPr>
        <w:t xml:space="preserve"> ºC</w:t>
      </w:r>
      <w:r w:rsidR="00C93BDB" w:rsidRPr="00BE516E">
        <w:rPr>
          <w:rFonts w:ascii="Times New Roman" w:hAnsi="Times New Roman" w:cs="Times New Roman"/>
          <w:sz w:val="20"/>
          <w:szCs w:val="20"/>
        </w:rPr>
        <w:t xml:space="preserve"> of PEG-</w:t>
      </w:r>
      <w:r w:rsidR="00C93BDB" w:rsidRPr="00BE516E">
        <w:rPr>
          <w:rFonts w:ascii="Times New Roman" w:hAnsi="Times New Roman" w:cs="Times New Roman"/>
          <w:i/>
          <w:sz w:val="20"/>
          <w:szCs w:val="20"/>
        </w:rPr>
        <w:t>b</w:t>
      </w:r>
      <w:r w:rsidR="00C93BDB" w:rsidRPr="00BE516E">
        <w:rPr>
          <w:rFonts w:ascii="Times New Roman" w:hAnsi="Times New Roman" w:cs="Times New Roman"/>
          <w:sz w:val="20"/>
          <w:szCs w:val="20"/>
        </w:rPr>
        <w:t>-</w:t>
      </w:r>
      <w:proofErr w:type="gramStart"/>
      <w:r w:rsidR="00C93BDB" w:rsidRPr="00BE516E">
        <w:rPr>
          <w:rFonts w:ascii="Times New Roman" w:hAnsi="Times New Roman" w:cs="Times New Roman"/>
          <w:sz w:val="20"/>
          <w:szCs w:val="20"/>
        </w:rPr>
        <w:t>P(</w:t>
      </w:r>
      <w:proofErr w:type="gramEnd"/>
      <w:r w:rsidR="00C93BDB" w:rsidRPr="00BE516E">
        <w:rPr>
          <w:rFonts w:ascii="Times New Roman" w:hAnsi="Times New Roman" w:cs="Times New Roman"/>
          <w:sz w:val="20"/>
          <w:szCs w:val="20"/>
        </w:rPr>
        <w:t>LVF-HEMA) (concentration: 1 mg/ml).</w:t>
      </w:r>
      <w:r w:rsidR="00650450" w:rsidRPr="00BE516E">
        <w:rPr>
          <w:rFonts w:ascii="Times New Roman" w:hAnsi="Times New Roman" w:cs="Times New Roman"/>
          <w:sz w:val="20"/>
          <w:szCs w:val="20"/>
        </w:rPr>
        <w:tab/>
      </w:r>
    </w:p>
    <w:p w:rsidR="00F81C12" w:rsidRPr="00BE516E" w:rsidRDefault="001427CA" w:rsidP="0099077E">
      <w:pPr>
        <w:autoSpaceDE w:val="0"/>
        <w:autoSpaceDN w:val="0"/>
        <w:adjustRightInd w:val="0"/>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Cellular toxicity of the inhibitor</w:t>
      </w:r>
    </w:p>
    <w:p w:rsidR="00420E8D" w:rsidRPr="00BE516E" w:rsidRDefault="001427CA" w:rsidP="0099077E">
      <w:pPr>
        <w:autoSpaceDE w:val="0"/>
        <w:autoSpaceDN w:val="0"/>
        <w:adjustRightInd w:val="0"/>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sz w:val="20"/>
          <w:szCs w:val="20"/>
        </w:rPr>
        <w:t>The FITC-conjugated inhibitor (I</w:t>
      </w:r>
      <w:r w:rsidR="00723B54">
        <w:rPr>
          <w:rFonts w:ascii="Times New Roman" w:hAnsi="Times New Roman" w:cs="Times New Roman"/>
          <w:sz w:val="20"/>
          <w:szCs w:val="20"/>
        </w:rPr>
        <w:t>NH</w:t>
      </w:r>
      <w:r w:rsidRPr="00BE516E">
        <w:rPr>
          <w:rFonts w:ascii="Times New Roman" w:hAnsi="Times New Roman" w:cs="Times New Roman"/>
          <w:sz w:val="20"/>
          <w:szCs w:val="20"/>
        </w:rPr>
        <w:t>) was proved to be non-toxic even a</w:t>
      </w:r>
      <w:r w:rsidR="00CA6D28" w:rsidRPr="00BE516E">
        <w:rPr>
          <w:rFonts w:ascii="Times New Roman" w:hAnsi="Times New Roman" w:cs="Times New Roman"/>
          <w:sz w:val="20"/>
          <w:szCs w:val="20"/>
        </w:rPr>
        <w:t>t a</w:t>
      </w:r>
      <w:r w:rsidRPr="00BE516E">
        <w:rPr>
          <w:rFonts w:ascii="Times New Roman" w:hAnsi="Times New Roman" w:cs="Times New Roman"/>
          <w:sz w:val="20"/>
          <w:szCs w:val="20"/>
        </w:rPr>
        <w:t xml:space="preserve"> high concentration of 50 µM in SHSY5Y </w:t>
      </w:r>
      <w:proofErr w:type="spellStart"/>
      <w:r w:rsidRPr="00BE516E">
        <w:rPr>
          <w:rFonts w:ascii="Times New Roman" w:hAnsi="Times New Roman" w:cs="Times New Roman"/>
          <w:sz w:val="20"/>
          <w:szCs w:val="20"/>
        </w:rPr>
        <w:t>neuroblastoma</w:t>
      </w:r>
      <w:proofErr w:type="spellEnd"/>
      <w:r w:rsidRPr="00BE516E">
        <w:rPr>
          <w:rFonts w:ascii="Times New Roman" w:hAnsi="Times New Roman" w:cs="Times New Roman"/>
          <w:sz w:val="20"/>
          <w:szCs w:val="20"/>
        </w:rPr>
        <w:t xml:space="preserve"> cells</w:t>
      </w:r>
      <w:r w:rsidR="00CA6D28" w:rsidRPr="00BE516E">
        <w:rPr>
          <w:rFonts w:ascii="Times New Roman" w:hAnsi="Times New Roman" w:cs="Times New Roman"/>
          <w:sz w:val="20"/>
          <w:szCs w:val="20"/>
        </w:rPr>
        <w:t>. The IC</w:t>
      </w:r>
      <w:r w:rsidR="00CA6D28" w:rsidRPr="00BE516E">
        <w:rPr>
          <w:rFonts w:ascii="Times New Roman" w:hAnsi="Times New Roman" w:cs="Times New Roman"/>
          <w:sz w:val="20"/>
          <w:szCs w:val="20"/>
          <w:vertAlign w:val="subscript"/>
        </w:rPr>
        <w:t>50</w:t>
      </w:r>
      <w:r w:rsidR="00C76FA1" w:rsidRPr="00BE516E">
        <w:rPr>
          <w:rFonts w:ascii="Times New Roman" w:hAnsi="Times New Roman" w:cs="Times New Roman"/>
          <w:sz w:val="20"/>
          <w:szCs w:val="20"/>
          <w:vertAlign w:val="subscript"/>
        </w:rPr>
        <w:t xml:space="preserve"> </w:t>
      </w:r>
      <w:r w:rsidR="00CA6D28" w:rsidRPr="00BE516E">
        <w:rPr>
          <w:rFonts w:ascii="Times New Roman" w:hAnsi="Times New Roman" w:cs="Times New Roman"/>
          <w:sz w:val="20"/>
          <w:szCs w:val="20"/>
        </w:rPr>
        <w:t>values were determined at 50 µM and 60 µM in SHSY5Y and U87 cell lines</w:t>
      </w:r>
      <w:r w:rsidR="00C76FA1" w:rsidRPr="00BE516E">
        <w:rPr>
          <w:rFonts w:ascii="Times New Roman" w:hAnsi="Times New Roman" w:cs="Times New Roman"/>
          <w:sz w:val="20"/>
          <w:szCs w:val="20"/>
        </w:rPr>
        <w:t>,</w:t>
      </w:r>
      <w:r w:rsidR="00CA6D28" w:rsidRPr="00BE516E">
        <w:rPr>
          <w:rFonts w:ascii="Times New Roman" w:hAnsi="Times New Roman" w:cs="Times New Roman"/>
          <w:sz w:val="20"/>
          <w:szCs w:val="20"/>
        </w:rPr>
        <w:t xml:space="preserve"> respectively.</w:t>
      </w:r>
    </w:p>
    <w:p w:rsidR="00F81C12" w:rsidRPr="00BE516E" w:rsidRDefault="008C00FB" w:rsidP="00F81C12">
      <w:pPr>
        <w:autoSpaceDE w:val="0"/>
        <w:autoSpaceDN w:val="0"/>
        <w:adjustRightInd w:val="0"/>
        <w:spacing w:before="100" w:beforeAutospacing="1" w:after="100" w:afterAutospacing="1" w:line="360" w:lineRule="auto"/>
        <w:jc w:val="center"/>
        <w:rPr>
          <w:rFonts w:ascii="Times New Roman" w:hAnsi="Times New Roman" w:cs="Times New Roman"/>
          <w:noProof/>
          <w:sz w:val="20"/>
          <w:szCs w:val="20"/>
          <w:lang w:val="en-IN" w:eastAsia="en-IN"/>
        </w:rPr>
      </w:pPr>
      <w:r w:rsidRPr="00BE516E">
        <w:rPr>
          <w:rFonts w:ascii="Times New Roman" w:hAnsi="Times New Roman" w:cs="Times New Roman"/>
          <w:noProof/>
          <w:sz w:val="20"/>
          <w:szCs w:val="20"/>
        </w:rPr>
        <w:drawing>
          <wp:inline distT="0" distB="0" distL="0" distR="0" wp14:anchorId="2DA66E2B" wp14:editId="64DD32D9">
            <wp:extent cx="2943036"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8084" cy="2289921"/>
                    </a:xfrm>
                    <a:prstGeom prst="rect">
                      <a:avLst/>
                    </a:prstGeom>
                    <a:noFill/>
                  </pic:spPr>
                </pic:pic>
              </a:graphicData>
            </a:graphic>
          </wp:inline>
        </w:drawing>
      </w:r>
    </w:p>
    <w:p w:rsidR="003E5F0F" w:rsidRPr="00BE516E" w:rsidRDefault="001E4313" w:rsidP="00F81C12">
      <w:pPr>
        <w:autoSpaceDE w:val="0"/>
        <w:autoSpaceDN w:val="0"/>
        <w:adjustRightInd w:val="0"/>
        <w:spacing w:before="100" w:beforeAutospacing="1" w:after="100" w:afterAutospacing="1" w:line="360" w:lineRule="auto"/>
        <w:jc w:val="both"/>
        <w:rPr>
          <w:rFonts w:ascii="Times New Roman" w:hAnsi="Times New Roman" w:cs="Times New Roman"/>
          <w:sz w:val="20"/>
          <w:szCs w:val="20"/>
        </w:rPr>
      </w:pPr>
      <w:r>
        <w:rPr>
          <w:rFonts w:ascii="Times New Roman" w:hAnsi="Times New Roman" w:cs="Times New Roman"/>
          <w:b/>
          <w:sz w:val="20"/>
          <w:szCs w:val="20"/>
        </w:rPr>
        <w:t>Fig.</w:t>
      </w:r>
      <w:r w:rsidR="003E279D" w:rsidRPr="00BE516E">
        <w:rPr>
          <w:rFonts w:ascii="Times New Roman" w:hAnsi="Times New Roman" w:cs="Times New Roman"/>
          <w:b/>
          <w:sz w:val="20"/>
          <w:szCs w:val="20"/>
        </w:rPr>
        <w:t>S4</w:t>
      </w:r>
      <w:r w:rsidR="00F34F4E" w:rsidRPr="00BE516E">
        <w:rPr>
          <w:rFonts w:ascii="Times New Roman" w:hAnsi="Times New Roman" w:cs="Times New Roman"/>
          <w:b/>
          <w:sz w:val="20"/>
          <w:szCs w:val="20"/>
        </w:rPr>
        <w:t xml:space="preserve">. </w:t>
      </w:r>
      <w:r w:rsidR="00420E8D" w:rsidRPr="00BE516E">
        <w:rPr>
          <w:rFonts w:ascii="Times New Roman" w:hAnsi="Times New Roman" w:cs="Times New Roman"/>
          <w:sz w:val="20"/>
          <w:szCs w:val="20"/>
        </w:rPr>
        <w:t>Histogram showing % cell viability at the increasing concentration of FITC-conjugated inhibitor with respect to the untreated SHSY5Y and U87 cells, obtained in MTT assay. The IC-50 values denoted a significant difference from the control (P&lt; 0.01).</w:t>
      </w:r>
    </w:p>
    <w:p w:rsidR="00D2108E" w:rsidRPr="00BE516E" w:rsidRDefault="00D2108E" w:rsidP="00F81C12">
      <w:pPr>
        <w:autoSpaceDE w:val="0"/>
        <w:autoSpaceDN w:val="0"/>
        <w:adjustRightInd w:val="0"/>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Monitoring the body weight of the experimental animals</w:t>
      </w:r>
    </w:p>
    <w:p w:rsidR="002C2C54" w:rsidRPr="00BE516E" w:rsidRDefault="007916F1" w:rsidP="00F81C12">
      <w:pPr>
        <w:autoSpaceDE w:val="0"/>
        <w:autoSpaceDN w:val="0"/>
        <w:adjustRightInd w:val="0"/>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The changes in the body weight of the experimental animals were monitored throughout the study and it was observed that the untreated AD group has shown a constant decrease in the body weight as compared to the sham </w:t>
      </w:r>
      <w:r w:rsidRPr="00BE516E">
        <w:rPr>
          <w:rFonts w:ascii="Times New Roman" w:hAnsi="Times New Roman" w:cs="Times New Roman"/>
          <w:sz w:val="20"/>
          <w:szCs w:val="20"/>
        </w:rPr>
        <w:lastRenderedPageBreak/>
        <w:t>group. The level of significance in this decrease was even significant at * p&lt;0.05 on day 28. Also, the inhibitor-treated AD rats have shown a progress to maintain a healthy body weight.</w:t>
      </w:r>
    </w:p>
    <w:tbl>
      <w:tblPr>
        <w:tblStyle w:val="LightShading"/>
        <w:tblW w:w="0" w:type="auto"/>
        <w:jc w:val="center"/>
        <w:tblLook w:val="06A0" w:firstRow="1" w:lastRow="0" w:firstColumn="1" w:lastColumn="0" w:noHBand="1" w:noVBand="1"/>
      </w:tblPr>
      <w:tblGrid>
        <w:gridCol w:w="3227"/>
        <w:gridCol w:w="1561"/>
        <w:gridCol w:w="1710"/>
        <w:gridCol w:w="1582"/>
      </w:tblGrid>
      <w:tr w:rsidR="00B81972" w:rsidRPr="00BE516E" w:rsidTr="00EB50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80" w:type="dxa"/>
            <w:gridSpan w:val="4"/>
          </w:tcPr>
          <w:p w:rsidR="00B81972" w:rsidRPr="00BE516E" w:rsidRDefault="00B81972" w:rsidP="00614597">
            <w:pPr>
              <w:spacing w:before="100" w:beforeAutospacing="1" w:after="100" w:afterAutospacing="1" w:line="360" w:lineRule="auto"/>
              <w:jc w:val="center"/>
              <w:rPr>
                <w:rFonts w:ascii="Times New Roman" w:hAnsi="Times New Roman" w:cs="Times New Roman"/>
                <w:sz w:val="20"/>
                <w:szCs w:val="20"/>
              </w:rPr>
            </w:pPr>
            <w:r w:rsidRPr="00BE516E">
              <w:rPr>
                <w:rFonts w:ascii="Times New Roman" w:hAnsi="Times New Roman" w:cs="Times New Roman"/>
                <w:sz w:val="20"/>
                <w:szCs w:val="20"/>
              </w:rPr>
              <w:t>Body weight (g)</w:t>
            </w:r>
          </w:p>
        </w:tc>
      </w:tr>
      <w:tr w:rsidR="00B81972" w:rsidRPr="00BE516E" w:rsidTr="00EB5077">
        <w:trPr>
          <w:jc w:val="center"/>
        </w:trPr>
        <w:tc>
          <w:tcPr>
            <w:cnfStyle w:val="001000000000" w:firstRow="0" w:lastRow="0" w:firstColumn="1" w:lastColumn="0" w:oddVBand="0" w:evenVBand="0" w:oddHBand="0" w:evenHBand="0" w:firstRowFirstColumn="0" w:firstRowLastColumn="0" w:lastRowFirstColumn="0" w:lastRowLastColumn="0"/>
            <w:tcW w:w="3227" w:type="dxa"/>
          </w:tcPr>
          <w:p w:rsidR="00B81972" w:rsidRPr="00BE516E" w:rsidRDefault="00B81972" w:rsidP="00614597">
            <w:pPr>
              <w:spacing w:before="100" w:beforeAutospacing="1" w:after="100" w:afterAutospacing="1" w:line="360" w:lineRule="auto"/>
              <w:rPr>
                <w:rFonts w:ascii="Times New Roman" w:hAnsi="Times New Roman" w:cs="Times New Roman"/>
                <w:sz w:val="20"/>
                <w:szCs w:val="20"/>
              </w:rPr>
            </w:pPr>
          </w:p>
        </w:tc>
        <w:tc>
          <w:tcPr>
            <w:tcW w:w="1561" w:type="dxa"/>
          </w:tcPr>
          <w:p w:rsidR="00B81972" w:rsidRPr="00BE516E" w:rsidRDefault="00B81972"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Day 1</w:t>
            </w:r>
          </w:p>
        </w:tc>
        <w:tc>
          <w:tcPr>
            <w:tcW w:w="1710" w:type="dxa"/>
          </w:tcPr>
          <w:p w:rsidR="00B81972" w:rsidRPr="00BE516E" w:rsidRDefault="00B81972"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Day 14</w:t>
            </w:r>
          </w:p>
        </w:tc>
        <w:tc>
          <w:tcPr>
            <w:tcW w:w="1582" w:type="dxa"/>
          </w:tcPr>
          <w:p w:rsidR="00B81972" w:rsidRPr="00BE516E" w:rsidRDefault="00B81972"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Day 28</w:t>
            </w:r>
          </w:p>
        </w:tc>
      </w:tr>
      <w:tr w:rsidR="00B81972" w:rsidRPr="00BE516E" w:rsidTr="00EB5077">
        <w:trPr>
          <w:jc w:val="center"/>
        </w:trPr>
        <w:tc>
          <w:tcPr>
            <w:cnfStyle w:val="001000000000" w:firstRow="0" w:lastRow="0" w:firstColumn="1" w:lastColumn="0" w:oddVBand="0" w:evenVBand="0" w:oddHBand="0" w:evenHBand="0" w:firstRowFirstColumn="0" w:firstRowLastColumn="0" w:lastRowFirstColumn="0" w:lastRowLastColumn="0"/>
            <w:tcW w:w="3227" w:type="dxa"/>
          </w:tcPr>
          <w:p w:rsidR="00B81972" w:rsidRPr="00BE516E" w:rsidRDefault="00B81972" w:rsidP="00614597">
            <w:pPr>
              <w:pStyle w:val="NoSpacing"/>
              <w:spacing w:before="100" w:beforeAutospacing="1" w:after="100" w:afterAutospacing="1" w:line="360" w:lineRule="auto"/>
              <w:jc w:val="center"/>
              <w:rPr>
                <w:rFonts w:ascii="Times New Roman" w:hAnsi="Times New Roman" w:cs="Times New Roman"/>
                <w:sz w:val="20"/>
                <w:szCs w:val="20"/>
              </w:rPr>
            </w:pPr>
            <w:r w:rsidRPr="00BE516E">
              <w:rPr>
                <w:rFonts w:ascii="Times New Roman" w:hAnsi="Times New Roman" w:cs="Times New Roman"/>
                <w:sz w:val="20"/>
                <w:szCs w:val="20"/>
              </w:rPr>
              <w:t>Normal Control (sham)</w:t>
            </w:r>
          </w:p>
        </w:tc>
        <w:tc>
          <w:tcPr>
            <w:tcW w:w="1561" w:type="dxa"/>
          </w:tcPr>
          <w:p w:rsidR="00B81972" w:rsidRPr="00BE516E" w:rsidRDefault="00B81972"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172.3±2.04</w:t>
            </w:r>
          </w:p>
        </w:tc>
        <w:tc>
          <w:tcPr>
            <w:tcW w:w="1710" w:type="dxa"/>
          </w:tcPr>
          <w:p w:rsidR="00B81972" w:rsidRPr="00BE516E" w:rsidRDefault="00B81972"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182±3.05</w:t>
            </w:r>
          </w:p>
        </w:tc>
        <w:tc>
          <w:tcPr>
            <w:tcW w:w="1582" w:type="dxa"/>
          </w:tcPr>
          <w:p w:rsidR="00B81972" w:rsidRPr="00BE516E" w:rsidRDefault="00B81972"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191.3±1.66</w:t>
            </w:r>
          </w:p>
        </w:tc>
      </w:tr>
      <w:tr w:rsidR="00721151" w:rsidRPr="00BE516E" w:rsidTr="00EB5077">
        <w:trPr>
          <w:jc w:val="center"/>
        </w:trPr>
        <w:tc>
          <w:tcPr>
            <w:cnfStyle w:val="001000000000" w:firstRow="0" w:lastRow="0" w:firstColumn="1" w:lastColumn="0" w:oddVBand="0" w:evenVBand="0" w:oddHBand="0" w:evenHBand="0" w:firstRowFirstColumn="0" w:firstRowLastColumn="0" w:lastRowFirstColumn="0" w:lastRowLastColumn="0"/>
            <w:tcW w:w="3227" w:type="dxa"/>
          </w:tcPr>
          <w:p w:rsidR="00721151" w:rsidRPr="00BE516E" w:rsidRDefault="00721151" w:rsidP="00614597">
            <w:pPr>
              <w:pStyle w:val="NoSpacing"/>
              <w:spacing w:before="100" w:beforeAutospacing="1" w:after="100" w:afterAutospacing="1" w:line="360" w:lineRule="auto"/>
              <w:jc w:val="center"/>
              <w:rPr>
                <w:rFonts w:ascii="Times New Roman" w:hAnsi="Times New Roman" w:cs="Times New Roman"/>
                <w:sz w:val="20"/>
                <w:szCs w:val="20"/>
              </w:rPr>
            </w:pPr>
            <w:r w:rsidRPr="00BE516E">
              <w:rPr>
                <w:rFonts w:ascii="Times New Roman" w:hAnsi="Times New Roman" w:cs="Times New Roman"/>
                <w:sz w:val="20"/>
                <w:szCs w:val="20"/>
              </w:rPr>
              <w:t>Control (Test drug, I</w:t>
            </w:r>
            <w:r w:rsidR="00723B54">
              <w:rPr>
                <w:rFonts w:ascii="Times New Roman" w:hAnsi="Times New Roman" w:cs="Times New Roman"/>
                <w:sz w:val="20"/>
                <w:szCs w:val="20"/>
              </w:rPr>
              <w:t>NH</w:t>
            </w:r>
            <w:r w:rsidRPr="00BE516E">
              <w:rPr>
                <w:rFonts w:ascii="Times New Roman" w:hAnsi="Times New Roman" w:cs="Times New Roman"/>
                <w:sz w:val="20"/>
                <w:szCs w:val="20"/>
              </w:rPr>
              <w:t>-treated)</w:t>
            </w:r>
          </w:p>
        </w:tc>
        <w:tc>
          <w:tcPr>
            <w:tcW w:w="1561" w:type="dxa"/>
          </w:tcPr>
          <w:p w:rsidR="00721151" w:rsidRPr="00BE516E" w:rsidRDefault="00721151"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171.5±1.50</w:t>
            </w:r>
          </w:p>
        </w:tc>
        <w:tc>
          <w:tcPr>
            <w:tcW w:w="1710" w:type="dxa"/>
          </w:tcPr>
          <w:p w:rsidR="00721151" w:rsidRPr="00BE516E" w:rsidRDefault="00721151"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182±2.60</w:t>
            </w:r>
          </w:p>
        </w:tc>
        <w:tc>
          <w:tcPr>
            <w:tcW w:w="1582" w:type="dxa"/>
          </w:tcPr>
          <w:p w:rsidR="00721151" w:rsidRPr="00BE516E" w:rsidRDefault="00721151"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192±3.25</w:t>
            </w:r>
          </w:p>
        </w:tc>
      </w:tr>
      <w:tr w:rsidR="00B81972" w:rsidRPr="00BE516E" w:rsidTr="00EB5077">
        <w:trPr>
          <w:jc w:val="center"/>
        </w:trPr>
        <w:tc>
          <w:tcPr>
            <w:cnfStyle w:val="001000000000" w:firstRow="0" w:lastRow="0" w:firstColumn="1" w:lastColumn="0" w:oddVBand="0" w:evenVBand="0" w:oddHBand="0" w:evenHBand="0" w:firstRowFirstColumn="0" w:firstRowLastColumn="0" w:lastRowFirstColumn="0" w:lastRowLastColumn="0"/>
            <w:tcW w:w="3227" w:type="dxa"/>
          </w:tcPr>
          <w:p w:rsidR="00B81972" w:rsidRPr="00BE516E" w:rsidRDefault="00721151" w:rsidP="00614597">
            <w:pPr>
              <w:pStyle w:val="NoSpacing"/>
              <w:spacing w:before="100" w:beforeAutospacing="1" w:after="100" w:afterAutospacing="1" w:line="360" w:lineRule="auto"/>
              <w:jc w:val="center"/>
              <w:rPr>
                <w:rFonts w:ascii="Times New Roman" w:hAnsi="Times New Roman" w:cs="Times New Roman"/>
                <w:sz w:val="20"/>
                <w:szCs w:val="20"/>
              </w:rPr>
            </w:pPr>
            <w:r w:rsidRPr="00BE516E">
              <w:rPr>
                <w:rFonts w:ascii="Times New Roman" w:hAnsi="Times New Roman" w:cs="Times New Roman"/>
                <w:sz w:val="20"/>
                <w:szCs w:val="20"/>
              </w:rPr>
              <w:t>Untreated AD</w:t>
            </w:r>
          </w:p>
        </w:tc>
        <w:tc>
          <w:tcPr>
            <w:tcW w:w="1561" w:type="dxa"/>
          </w:tcPr>
          <w:p w:rsidR="00B81972" w:rsidRPr="00BE516E" w:rsidRDefault="00B81972"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170.8±3.11</w:t>
            </w:r>
            <w:r w:rsidRPr="00BE516E">
              <w:rPr>
                <w:rFonts w:ascii="Times New Roman" w:hAnsi="Times New Roman" w:cs="Times New Roman"/>
                <w:sz w:val="20"/>
                <w:szCs w:val="20"/>
                <w:vertAlign w:val="superscript"/>
              </w:rPr>
              <w:t>a</w:t>
            </w:r>
          </w:p>
        </w:tc>
        <w:tc>
          <w:tcPr>
            <w:tcW w:w="1710" w:type="dxa"/>
          </w:tcPr>
          <w:p w:rsidR="00B81972" w:rsidRPr="00BE516E" w:rsidRDefault="00B81972"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174.8±3.11</w:t>
            </w:r>
            <w:r w:rsidRPr="00BE516E">
              <w:rPr>
                <w:rFonts w:ascii="Times New Roman" w:hAnsi="Times New Roman" w:cs="Times New Roman"/>
                <w:sz w:val="20"/>
                <w:szCs w:val="20"/>
                <w:vertAlign w:val="superscript"/>
              </w:rPr>
              <w:t>a</w:t>
            </w:r>
          </w:p>
        </w:tc>
        <w:tc>
          <w:tcPr>
            <w:tcW w:w="1582" w:type="dxa"/>
          </w:tcPr>
          <w:p w:rsidR="00B81972" w:rsidRPr="00BE516E" w:rsidRDefault="00B81972"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180±3.12</w:t>
            </w:r>
            <w:r w:rsidRPr="00BE516E">
              <w:rPr>
                <w:rFonts w:ascii="Times New Roman" w:hAnsi="Times New Roman" w:cs="Times New Roman"/>
                <w:sz w:val="20"/>
                <w:szCs w:val="20"/>
                <w:vertAlign w:val="superscript"/>
              </w:rPr>
              <w:t>a*</w:t>
            </w:r>
          </w:p>
        </w:tc>
      </w:tr>
      <w:tr w:rsidR="00B81972" w:rsidRPr="00BE516E" w:rsidTr="00EB5077">
        <w:trPr>
          <w:jc w:val="center"/>
        </w:trPr>
        <w:tc>
          <w:tcPr>
            <w:cnfStyle w:val="001000000000" w:firstRow="0" w:lastRow="0" w:firstColumn="1" w:lastColumn="0" w:oddVBand="0" w:evenVBand="0" w:oddHBand="0" w:evenHBand="0" w:firstRowFirstColumn="0" w:firstRowLastColumn="0" w:lastRowFirstColumn="0" w:lastRowLastColumn="0"/>
            <w:tcW w:w="3227" w:type="dxa"/>
          </w:tcPr>
          <w:p w:rsidR="00B81972" w:rsidRPr="00BE516E" w:rsidRDefault="00B81972" w:rsidP="00614597">
            <w:pPr>
              <w:pStyle w:val="NoSpacing"/>
              <w:spacing w:before="100" w:beforeAutospacing="1" w:after="100" w:afterAutospacing="1" w:line="360" w:lineRule="auto"/>
              <w:jc w:val="center"/>
              <w:rPr>
                <w:rFonts w:ascii="Times New Roman" w:hAnsi="Times New Roman" w:cs="Times New Roman"/>
                <w:sz w:val="20"/>
                <w:szCs w:val="20"/>
              </w:rPr>
            </w:pPr>
            <w:r w:rsidRPr="00BE516E">
              <w:rPr>
                <w:rFonts w:ascii="Times New Roman" w:hAnsi="Times New Roman" w:cs="Times New Roman"/>
                <w:sz w:val="20"/>
                <w:szCs w:val="20"/>
              </w:rPr>
              <w:t>AD + Treated 0.1%</w:t>
            </w:r>
          </w:p>
        </w:tc>
        <w:tc>
          <w:tcPr>
            <w:tcW w:w="1561" w:type="dxa"/>
          </w:tcPr>
          <w:p w:rsidR="00B81972" w:rsidRPr="00BE516E" w:rsidRDefault="00B81972"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172.1±2.58</w:t>
            </w:r>
            <w:r w:rsidRPr="00BE516E">
              <w:rPr>
                <w:rFonts w:ascii="Times New Roman" w:hAnsi="Times New Roman" w:cs="Times New Roman"/>
                <w:sz w:val="20"/>
                <w:szCs w:val="20"/>
                <w:vertAlign w:val="superscript"/>
              </w:rPr>
              <w:t>b</w:t>
            </w:r>
          </w:p>
        </w:tc>
        <w:tc>
          <w:tcPr>
            <w:tcW w:w="1710" w:type="dxa"/>
          </w:tcPr>
          <w:p w:rsidR="00B81972" w:rsidRPr="00BE516E" w:rsidRDefault="00B81972"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sz w:val="20"/>
                <w:szCs w:val="20"/>
              </w:rPr>
              <w:t>179±2.43</w:t>
            </w:r>
            <w:r w:rsidRPr="00BE516E">
              <w:rPr>
                <w:rFonts w:ascii="Times New Roman" w:hAnsi="Times New Roman" w:cs="Times New Roman"/>
                <w:sz w:val="20"/>
                <w:szCs w:val="20"/>
                <w:vertAlign w:val="superscript"/>
              </w:rPr>
              <w:t>b</w:t>
            </w:r>
          </w:p>
        </w:tc>
        <w:tc>
          <w:tcPr>
            <w:tcW w:w="1582" w:type="dxa"/>
          </w:tcPr>
          <w:p w:rsidR="00B81972" w:rsidRPr="00BE516E" w:rsidRDefault="00B81972"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184.3±2.76</w:t>
            </w:r>
            <w:r w:rsidRPr="00BE516E">
              <w:rPr>
                <w:rFonts w:ascii="Times New Roman" w:hAnsi="Times New Roman" w:cs="Times New Roman"/>
                <w:sz w:val="20"/>
                <w:szCs w:val="20"/>
                <w:vertAlign w:val="superscript"/>
              </w:rPr>
              <w:t>b</w:t>
            </w:r>
          </w:p>
        </w:tc>
      </w:tr>
      <w:tr w:rsidR="00B81972" w:rsidRPr="00BE516E" w:rsidTr="00EB5077">
        <w:trPr>
          <w:jc w:val="center"/>
        </w:trPr>
        <w:tc>
          <w:tcPr>
            <w:cnfStyle w:val="001000000000" w:firstRow="0" w:lastRow="0" w:firstColumn="1" w:lastColumn="0" w:oddVBand="0" w:evenVBand="0" w:oddHBand="0" w:evenHBand="0" w:firstRowFirstColumn="0" w:firstRowLastColumn="0" w:lastRowFirstColumn="0" w:lastRowLastColumn="0"/>
            <w:tcW w:w="3227" w:type="dxa"/>
          </w:tcPr>
          <w:p w:rsidR="00B81972" w:rsidRPr="00BE516E" w:rsidRDefault="00B81972" w:rsidP="00614597">
            <w:pPr>
              <w:pStyle w:val="NoSpacing"/>
              <w:spacing w:before="100" w:beforeAutospacing="1" w:after="100" w:afterAutospacing="1" w:line="360" w:lineRule="auto"/>
              <w:jc w:val="center"/>
              <w:rPr>
                <w:rFonts w:ascii="Times New Roman" w:hAnsi="Times New Roman" w:cs="Times New Roman"/>
                <w:sz w:val="20"/>
                <w:szCs w:val="20"/>
              </w:rPr>
            </w:pPr>
            <w:r w:rsidRPr="00BE516E">
              <w:rPr>
                <w:rFonts w:ascii="Times New Roman" w:hAnsi="Times New Roman" w:cs="Times New Roman"/>
                <w:sz w:val="20"/>
                <w:szCs w:val="20"/>
              </w:rPr>
              <w:t>AD + Treated 0.2%</w:t>
            </w:r>
          </w:p>
        </w:tc>
        <w:tc>
          <w:tcPr>
            <w:tcW w:w="1561" w:type="dxa"/>
          </w:tcPr>
          <w:p w:rsidR="00B81972" w:rsidRPr="00BE516E" w:rsidRDefault="00B81972"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172.5±3.35</w:t>
            </w:r>
            <w:r w:rsidRPr="00BE516E">
              <w:rPr>
                <w:rFonts w:ascii="Times New Roman" w:hAnsi="Times New Roman" w:cs="Times New Roman"/>
                <w:sz w:val="20"/>
                <w:szCs w:val="20"/>
                <w:vertAlign w:val="superscript"/>
              </w:rPr>
              <w:t>b</w:t>
            </w:r>
          </w:p>
        </w:tc>
        <w:tc>
          <w:tcPr>
            <w:tcW w:w="1710" w:type="dxa"/>
          </w:tcPr>
          <w:p w:rsidR="00B81972" w:rsidRPr="00BE516E" w:rsidRDefault="00B81972"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180.6±3.28</w:t>
            </w:r>
            <w:r w:rsidRPr="00BE516E">
              <w:rPr>
                <w:rFonts w:ascii="Times New Roman" w:hAnsi="Times New Roman" w:cs="Times New Roman"/>
                <w:sz w:val="20"/>
                <w:szCs w:val="20"/>
                <w:vertAlign w:val="superscript"/>
              </w:rPr>
              <w:t>b</w:t>
            </w:r>
          </w:p>
        </w:tc>
        <w:tc>
          <w:tcPr>
            <w:tcW w:w="1582" w:type="dxa"/>
          </w:tcPr>
          <w:p w:rsidR="00B81972" w:rsidRPr="00BE516E" w:rsidRDefault="00B81972" w:rsidP="00614597">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188.5±2.81</w:t>
            </w:r>
            <w:r w:rsidRPr="00BE516E">
              <w:rPr>
                <w:rFonts w:ascii="Times New Roman" w:hAnsi="Times New Roman" w:cs="Times New Roman"/>
                <w:sz w:val="20"/>
                <w:szCs w:val="20"/>
                <w:vertAlign w:val="superscript"/>
              </w:rPr>
              <w:t>b</w:t>
            </w:r>
          </w:p>
        </w:tc>
      </w:tr>
    </w:tbl>
    <w:p w:rsidR="00776211" w:rsidRPr="00BE516E" w:rsidRDefault="0097551C" w:rsidP="0099077E">
      <w:pPr>
        <w:autoSpaceDE w:val="0"/>
        <w:autoSpaceDN w:val="0"/>
        <w:adjustRightInd w:val="0"/>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b/>
          <w:sz w:val="20"/>
          <w:szCs w:val="20"/>
        </w:rPr>
        <w:t xml:space="preserve">Table </w:t>
      </w:r>
      <w:r w:rsidR="00997173" w:rsidRPr="00BE516E">
        <w:rPr>
          <w:rFonts w:ascii="Times New Roman" w:hAnsi="Times New Roman" w:cs="Times New Roman"/>
          <w:b/>
          <w:sz w:val="20"/>
          <w:szCs w:val="20"/>
        </w:rPr>
        <w:t>S</w:t>
      </w:r>
      <w:r w:rsidR="001968D6" w:rsidRPr="00BE516E">
        <w:rPr>
          <w:rFonts w:ascii="Times New Roman" w:hAnsi="Times New Roman" w:cs="Times New Roman"/>
          <w:b/>
          <w:sz w:val="20"/>
          <w:szCs w:val="20"/>
        </w:rPr>
        <w:t>2</w:t>
      </w:r>
      <w:r w:rsidRPr="00BE516E">
        <w:rPr>
          <w:rFonts w:ascii="Times New Roman" w:hAnsi="Times New Roman" w:cs="Times New Roman"/>
          <w:b/>
          <w:sz w:val="20"/>
          <w:szCs w:val="20"/>
        </w:rPr>
        <w:t xml:space="preserve">. </w:t>
      </w:r>
      <w:r w:rsidR="005434BF" w:rsidRPr="00BE516E">
        <w:rPr>
          <w:rFonts w:ascii="Times New Roman" w:hAnsi="Times New Roman" w:cs="Times New Roman"/>
          <w:sz w:val="20"/>
          <w:szCs w:val="20"/>
        </w:rPr>
        <w:t xml:space="preserve">Change in body weight of the experimental animals during the whole study. </w:t>
      </w:r>
      <w:r w:rsidRPr="00BE516E">
        <w:rPr>
          <w:rFonts w:ascii="Times New Roman" w:hAnsi="Times New Roman" w:cs="Times New Roman"/>
          <w:sz w:val="20"/>
          <w:szCs w:val="20"/>
        </w:rPr>
        <w:t>N=6; Mean ± SE; Paired t-test; a=sham vs. AD; b=AD vs. Treated; * p&lt;0.05</w:t>
      </w:r>
    </w:p>
    <w:p w:rsidR="0080645B" w:rsidRPr="00BE516E" w:rsidRDefault="0080645B" w:rsidP="0080645B">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FITC-tagging and presence of inhibitor (I</w:t>
      </w:r>
      <w:r w:rsidR="00723B54">
        <w:rPr>
          <w:rFonts w:ascii="Times New Roman" w:hAnsi="Times New Roman" w:cs="Times New Roman"/>
          <w:b/>
          <w:sz w:val="20"/>
          <w:szCs w:val="20"/>
        </w:rPr>
        <w:t>NH</w:t>
      </w:r>
      <w:r w:rsidRPr="00BE516E">
        <w:rPr>
          <w:rFonts w:ascii="Times New Roman" w:hAnsi="Times New Roman" w:cs="Times New Roman"/>
          <w:b/>
          <w:sz w:val="20"/>
          <w:szCs w:val="20"/>
        </w:rPr>
        <w:t>) in rat brain</w:t>
      </w:r>
    </w:p>
    <w:p w:rsidR="0080645B" w:rsidRPr="00BE516E" w:rsidRDefault="0080645B" w:rsidP="0080645B">
      <w:pPr>
        <w:pStyle w:val="NoSpacing"/>
        <w:spacing w:before="100" w:beforeAutospacing="1" w:after="100" w:afterAutospacing="1" w:line="360" w:lineRule="auto"/>
        <w:jc w:val="center"/>
        <w:rPr>
          <w:rFonts w:ascii="Times New Roman" w:eastAsia="Calibri" w:hAnsi="Times New Roman" w:cs="Times New Roman"/>
          <w:sz w:val="20"/>
          <w:szCs w:val="20"/>
        </w:rPr>
      </w:pPr>
      <w:r w:rsidRPr="00BE516E">
        <w:rPr>
          <w:rFonts w:ascii="Times New Roman" w:eastAsia="Calibri" w:hAnsi="Times New Roman" w:cs="Times New Roman"/>
          <w:noProof/>
          <w:sz w:val="20"/>
          <w:szCs w:val="20"/>
        </w:rPr>
        <w:drawing>
          <wp:inline distT="0" distB="0" distL="0" distR="0" wp14:anchorId="72039313" wp14:editId="0E2E249C">
            <wp:extent cx="5225829" cy="193501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26666" cy="1935324"/>
                    </a:xfrm>
                    <a:prstGeom prst="rect">
                      <a:avLst/>
                    </a:prstGeom>
                    <a:noFill/>
                  </pic:spPr>
                </pic:pic>
              </a:graphicData>
            </a:graphic>
          </wp:inline>
        </w:drawing>
      </w:r>
    </w:p>
    <w:p w:rsidR="0080645B" w:rsidRPr="00BE516E" w:rsidRDefault="001E4313" w:rsidP="0080645B">
      <w:pPr>
        <w:pStyle w:val="NoSpacing"/>
        <w:spacing w:before="100" w:beforeAutospacing="1" w:after="100" w:afterAutospacing="1" w:line="360" w:lineRule="auto"/>
        <w:jc w:val="both"/>
        <w:rPr>
          <w:rFonts w:ascii="Times New Roman" w:eastAsia="Calibri" w:hAnsi="Times New Roman" w:cs="Times New Roman"/>
          <w:b/>
          <w:sz w:val="20"/>
          <w:szCs w:val="20"/>
        </w:rPr>
      </w:pPr>
      <w:r>
        <w:rPr>
          <w:rFonts w:ascii="Times New Roman" w:eastAsia="Calibri" w:hAnsi="Times New Roman" w:cs="Times New Roman"/>
          <w:b/>
          <w:sz w:val="20"/>
          <w:szCs w:val="20"/>
        </w:rPr>
        <w:t>Fig.</w:t>
      </w:r>
      <w:r w:rsidR="0080645B" w:rsidRPr="00BE516E">
        <w:rPr>
          <w:rFonts w:ascii="Times New Roman" w:eastAsia="Calibri" w:hAnsi="Times New Roman" w:cs="Times New Roman"/>
          <w:b/>
          <w:sz w:val="20"/>
          <w:szCs w:val="20"/>
        </w:rPr>
        <w:t xml:space="preserve">S5. </w:t>
      </w:r>
      <w:r w:rsidR="0080645B" w:rsidRPr="00BE516E">
        <w:rPr>
          <w:rFonts w:ascii="Times New Roman" w:eastAsia="Calibri" w:hAnsi="Times New Roman" w:cs="Times New Roman"/>
          <w:sz w:val="20"/>
          <w:szCs w:val="20"/>
        </w:rPr>
        <w:t>The presence of the FITC-tagged inhibitor was traced in the mice brain with the aid of fluorescence emission of I</w:t>
      </w:r>
      <w:r w:rsidR="00723B54">
        <w:rPr>
          <w:rFonts w:ascii="Times New Roman" w:eastAsia="Calibri" w:hAnsi="Times New Roman" w:cs="Times New Roman"/>
          <w:sz w:val="20"/>
          <w:szCs w:val="20"/>
        </w:rPr>
        <w:t>NH</w:t>
      </w:r>
      <w:r w:rsidR="0080645B" w:rsidRPr="00BE516E">
        <w:rPr>
          <w:rFonts w:ascii="Times New Roman" w:eastAsia="Calibri" w:hAnsi="Times New Roman" w:cs="Times New Roman"/>
          <w:sz w:val="20"/>
          <w:szCs w:val="20"/>
        </w:rPr>
        <w:t xml:space="preserve"> in rat brain </w:t>
      </w:r>
      <w:r w:rsidR="0080645B" w:rsidRPr="00BE516E">
        <w:rPr>
          <w:rFonts w:ascii="Times New Roman" w:hAnsi="Times New Roman" w:cs="Times New Roman"/>
          <w:sz w:val="20"/>
          <w:szCs w:val="20"/>
        </w:rPr>
        <w:t>supernatant</w:t>
      </w:r>
      <w:r w:rsidR="0080645B" w:rsidRPr="00BE516E">
        <w:rPr>
          <w:rFonts w:ascii="Times New Roman" w:eastAsia="Calibri" w:hAnsi="Times New Roman" w:cs="Times New Roman"/>
          <w:sz w:val="20"/>
          <w:szCs w:val="20"/>
        </w:rPr>
        <w:t xml:space="preserve"> (a). The fitted curve represents the optimized fluorescence emission (b).</w:t>
      </w:r>
    </w:p>
    <w:p w:rsidR="0080645B" w:rsidRPr="00BE516E" w:rsidRDefault="0080645B" w:rsidP="0080645B">
      <w:pPr>
        <w:pStyle w:val="NoSpacing"/>
        <w:spacing w:before="100" w:beforeAutospacing="1" w:after="100" w:afterAutospacing="1" w:line="360" w:lineRule="auto"/>
        <w:jc w:val="center"/>
        <w:rPr>
          <w:rFonts w:ascii="Times New Roman" w:eastAsia="Calibri" w:hAnsi="Times New Roman" w:cs="Times New Roman"/>
          <w:b/>
          <w:sz w:val="20"/>
          <w:szCs w:val="20"/>
        </w:rPr>
      </w:pPr>
      <w:r w:rsidRPr="00BE516E">
        <w:rPr>
          <w:rFonts w:ascii="Times New Roman" w:eastAsia="Calibri" w:hAnsi="Times New Roman" w:cs="Times New Roman"/>
          <w:b/>
          <w:noProof/>
          <w:sz w:val="20"/>
          <w:szCs w:val="20"/>
        </w:rPr>
        <w:lastRenderedPageBreak/>
        <w:drawing>
          <wp:inline distT="0" distB="0" distL="0" distR="0" wp14:anchorId="682CC151" wp14:editId="18013757">
            <wp:extent cx="4113588" cy="3086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25010" cy="3094669"/>
                    </a:xfrm>
                    <a:prstGeom prst="rect">
                      <a:avLst/>
                    </a:prstGeom>
                    <a:noFill/>
                  </pic:spPr>
                </pic:pic>
              </a:graphicData>
            </a:graphic>
          </wp:inline>
        </w:drawing>
      </w:r>
    </w:p>
    <w:p w:rsidR="0080645B" w:rsidRPr="00BE516E" w:rsidRDefault="001E4313" w:rsidP="0080645B">
      <w:pPr>
        <w:pStyle w:val="NoSpacing"/>
        <w:spacing w:before="100" w:beforeAutospacing="1" w:after="100" w:afterAutospacing="1" w:line="36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Fig.</w:t>
      </w:r>
      <w:r w:rsidR="0080645B" w:rsidRPr="00BE516E">
        <w:rPr>
          <w:rFonts w:ascii="Times New Roman" w:eastAsia="Calibri" w:hAnsi="Times New Roman" w:cs="Times New Roman"/>
          <w:b/>
          <w:sz w:val="20"/>
          <w:szCs w:val="20"/>
        </w:rPr>
        <w:t xml:space="preserve">S6. </w:t>
      </w:r>
      <w:r w:rsidR="00B456D9" w:rsidRPr="00BE516E">
        <w:rPr>
          <w:rFonts w:ascii="Times New Roman" w:eastAsia="Calibri" w:hAnsi="Times New Roman" w:cs="Times New Roman"/>
          <w:sz w:val="20"/>
          <w:szCs w:val="20"/>
        </w:rPr>
        <w:t xml:space="preserve">(a) </w:t>
      </w:r>
      <w:r w:rsidR="0080645B" w:rsidRPr="00BE516E">
        <w:rPr>
          <w:rFonts w:ascii="Times New Roman" w:eastAsia="Calibri" w:hAnsi="Times New Roman" w:cs="Times New Roman"/>
          <w:sz w:val="20"/>
          <w:szCs w:val="20"/>
        </w:rPr>
        <w:t>Calibration curve of fluorescence emission at 519 nm vs. inhibitor amount</w:t>
      </w:r>
      <w:r w:rsidR="00B456D9" w:rsidRPr="00BE516E">
        <w:rPr>
          <w:rFonts w:ascii="Times New Roman" w:eastAsia="Calibri" w:hAnsi="Times New Roman" w:cs="Times New Roman"/>
          <w:sz w:val="20"/>
          <w:szCs w:val="20"/>
        </w:rPr>
        <w:t>,</w:t>
      </w:r>
      <w:r w:rsidR="0080645B" w:rsidRPr="00BE516E">
        <w:rPr>
          <w:rFonts w:ascii="Times New Roman" w:eastAsia="Calibri" w:hAnsi="Times New Roman" w:cs="Times New Roman"/>
          <w:sz w:val="20"/>
          <w:szCs w:val="20"/>
        </w:rPr>
        <w:t xml:space="preserve"> and </w:t>
      </w:r>
      <w:r w:rsidR="00B456D9" w:rsidRPr="00BE516E">
        <w:rPr>
          <w:rFonts w:ascii="Times New Roman" w:eastAsia="Calibri" w:hAnsi="Times New Roman" w:cs="Times New Roman"/>
          <w:sz w:val="20"/>
          <w:szCs w:val="20"/>
        </w:rPr>
        <w:t xml:space="preserve">(b) </w:t>
      </w:r>
      <w:r w:rsidR="0080645B" w:rsidRPr="00BE516E">
        <w:rPr>
          <w:rFonts w:ascii="Times New Roman" w:eastAsia="Calibri" w:hAnsi="Times New Roman" w:cs="Times New Roman"/>
          <w:sz w:val="20"/>
          <w:szCs w:val="20"/>
        </w:rPr>
        <w:t>the amount of I</w:t>
      </w:r>
      <w:r w:rsidR="00723B54">
        <w:rPr>
          <w:rFonts w:ascii="Times New Roman" w:eastAsia="Calibri" w:hAnsi="Times New Roman" w:cs="Times New Roman"/>
          <w:sz w:val="20"/>
          <w:szCs w:val="20"/>
        </w:rPr>
        <w:t>NH</w:t>
      </w:r>
      <w:r w:rsidR="0080645B" w:rsidRPr="00BE516E">
        <w:rPr>
          <w:rFonts w:ascii="Times New Roman" w:eastAsia="Calibri" w:hAnsi="Times New Roman" w:cs="Times New Roman"/>
          <w:sz w:val="20"/>
          <w:szCs w:val="20"/>
        </w:rPr>
        <w:t xml:space="preserve"> detected in mice brain after final dosing.</w:t>
      </w:r>
      <w:r w:rsidR="00B456D9" w:rsidRPr="00BE516E">
        <w:rPr>
          <w:rFonts w:ascii="Times New Roman" w:eastAsia="Calibri" w:hAnsi="Times New Roman" w:cs="Times New Roman"/>
          <w:sz w:val="20"/>
          <w:szCs w:val="20"/>
        </w:rPr>
        <w:t xml:space="preserve"> (c) A </w:t>
      </w:r>
      <w:r w:rsidR="0080645B" w:rsidRPr="00BE516E">
        <w:rPr>
          <w:rFonts w:ascii="Times New Roman" w:eastAsia="Calibri" w:hAnsi="Times New Roman" w:cs="Times New Roman"/>
          <w:sz w:val="20"/>
          <w:szCs w:val="20"/>
        </w:rPr>
        <w:t xml:space="preserve">comparison of efficiency </w:t>
      </w:r>
      <w:r w:rsidR="00B456D9" w:rsidRPr="00BE516E">
        <w:rPr>
          <w:rFonts w:ascii="Times New Roman" w:eastAsia="Calibri" w:hAnsi="Times New Roman" w:cs="Times New Roman"/>
          <w:sz w:val="20"/>
          <w:szCs w:val="20"/>
        </w:rPr>
        <w:t>between the</w:t>
      </w:r>
      <w:r w:rsidR="0080645B" w:rsidRPr="00BE516E">
        <w:rPr>
          <w:rFonts w:ascii="Times New Roman" w:eastAsia="Calibri" w:hAnsi="Times New Roman" w:cs="Times New Roman"/>
          <w:sz w:val="20"/>
          <w:szCs w:val="20"/>
        </w:rPr>
        <w:t xml:space="preserve"> intranasal drug delivery </w:t>
      </w:r>
      <w:r w:rsidR="00B456D9" w:rsidRPr="00BE516E">
        <w:rPr>
          <w:rFonts w:ascii="Times New Roman" w:eastAsia="Calibri" w:hAnsi="Times New Roman" w:cs="Times New Roman"/>
          <w:sz w:val="20"/>
          <w:szCs w:val="20"/>
        </w:rPr>
        <w:t>and the</w:t>
      </w:r>
      <w:r w:rsidR="0080645B" w:rsidRPr="00BE516E">
        <w:rPr>
          <w:rFonts w:ascii="Times New Roman" w:eastAsia="Calibri" w:hAnsi="Times New Roman" w:cs="Times New Roman"/>
          <w:sz w:val="20"/>
          <w:szCs w:val="20"/>
        </w:rPr>
        <w:t xml:space="preserve"> </w:t>
      </w:r>
      <w:r w:rsidR="00B456D9" w:rsidRPr="00BE516E">
        <w:rPr>
          <w:rFonts w:ascii="Times New Roman" w:eastAsia="Calibri" w:hAnsi="Times New Roman" w:cs="Times New Roman"/>
          <w:sz w:val="20"/>
          <w:szCs w:val="20"/>
        </w:rPr>
        <w:t>intravenous drug delivery of</w:t>
      </w:r>
      <w:r w:rsidR="0080645B" w:rsidRPr="00BE516E">
        <w:rPr>
          <w:rFonts w:ascii="Times New Roman" w:eastAsia="Calibri" w:hAnsi="Times New Roman" w:cs="Times New Roman"/>
          <w:sz w:val="20"/>
          <w:szCs w:val="20"/>
        </w:rPr>
        <w:t xml:space="preserve"> inhibitor.  </w:t>
      </w:r>
    </w:p>
    <w:p w:rsidR="00FF581F" w:rsidRPr="00BE516E" w:rsidRDefault="00776211" w:rsidP="0099077E">
      <w:pPr>
        <w:autoSpaceDE w:val="0"/>
        <w:autoSpaceDN w:val="0"/>
        <w:adjustRightInd w:val="0"/>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Acute toxicity study</w:t>
      </w:r>
    </w:p>
    <w:p w:rsidR="00776211" w:rsidRPr="00BE516E" w:rsidRDefault="003369DF" w:rsidP="0099077E">
      <w:pPr>
        <w:autoSpaceDE w:val="0"/>
        <w:autoSpaceDN w:val="0"/>
        <w:adjustRightInd w:val="0"/>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It was observed that I</w:t>
      </w:r>
      <w:r w:rsidR="00723B54">
        <w:rPr>
          <w:rFonts w:ascii="Times New Roman" w:hAnsi="Times New Roman" w:cs="Times New Roman"/>
          <w:sz w:val="20"/>
          <w:szCs w:val="20"/>
        </w:rPr>
        <w:t>NH</w:t>
      </w:r>
      <w:r w:rsidRPr="00BE516E">
        <w:rPr>
          <w:rFonts w:ascii="Times New Roman" w:hAnsi="Times New Roman" w:cs="Times New Roman"/>
          <w:sz w:val="20"/>
          <w:szCs w:val="20"/>
        </w:rPr>
        <w:t xml:space="preserve"> showed 100% mortality (3/3) within 24 hour at the mouse dose of 150 µg which is equivalent to 7.5 mg/kg. The respiratory distress was noted immediately followed by salivation, tremor, convulsion and death within 4 h. At the mouse dose of 100 µg (7.5 mg/kg), 66.6% mortality was observed within 48 h of drug administration. No other abnormalities were observed.  At the mouse doses of 80-20 µg there was no mortality seen even after 14 days</w:t>
      </w:r>
      <w:r w:rsidR="001968D6" w:rsidRPr="00BE516E">
        <w:rPr>
          <w:rFonts w:ascii="Times New Roman" w:hAnsi="Times New Roman" w:cs="Times New Roman"/>
          <w:sz w:val="20"/>
          <w:szCs w:val="20"/>
        </w:rPr>
        <w:t xml:space="preserve"> (Table S3</w:t>
      </w:r>
      <w:r w:rsidR="00682E4A" w:rsidRPr="00BE516E">
        <w:rPr>
          <w:rFonts w:ascii="Times New Roman" w:hAnsi="Times New Roman" w:cs="Times New Roman"/>
          <w:sz w:val="20"/>
          <w:szCs w:val="20"/>
        </w:rPr>
        <w:t>)</w:t>
      </w:r>
      <w:r w:rsidRPr="00BE516E">
        <w:rPr>
          <w:rFonts w:ascii="Times New Roman" w:hAnsi="Times New Roman" w:cs="Times New Roman"/>
          <w:sz w:val="20"/>
          <w:szCs w:val="20"/>
        </w:rPr>
        <w:t>.</w:t>
      </w:r>
    </w:p>
    <w:tbl>
      <w:tblPr>
        <w:tblStyle w:val="LightShading"/>
        <w:tblW w:w="9468" w:type="dxa"/>
        <w:jc w:val="center"/>
        <w:tblLayout w:type="fixed"/>
        <w:tblLook w:val="07E0" w:firstRow="1" w:lastRow="1" w:firstColumn="1" w:lastColumn="1" w:noHBand="1" w:noVBand="1"/>
      </w:tblPr>
      <w:tblGrid>
        <w:gridCol w:w="468"/>
        <w:gridCol w:w="900"/>
        <w:gridCol w:w="759"/>
        <w:gridCol w:w="850"/>
        <w:gridCol w:w="851"/>
        <w:gridCol w:w="850"/>
        <w:gridCol w:w="851"/>
        <w:gridCol w:w="951"/>
        <w:gridCol w:w="828"/>
        <w:gridCol w:w="1260"/>
        <w:gridCol w:w="900"/>
      </w:tblGrid>
      <w:tr w:rsidR="00FF581F" w:rsidRPr="00BE516E" w:rsidTr="00566CB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 w:type="dxa"/>
          </w:tcPr>
          <w:p w:rsidR="00FF581F" w:rsidRPr="00BE516E" w:rsidRDefault="00FF581F" w:rsidP="0099077E">
            <w:pPr>
              <w:pStyle w:val="NoSpacing"/>
              <w:spacing w:before="100" w:beforeAutospacing="1" w:after="100" w:afterAutospacing="1" w:line="360" w:lineRule="auto"/>
              <w:jc w:val="center"/>
              <w:rPr>
                <w:rFonts w:ascii="Times New Roman" w:hAnsi="Times New Roman" w:cs="Times New Roman"/>
                <w:sz w:val="20"/>
                <w:szCs w:val="20"/>
              </w:rPr>
            </w:pPr>
            <w:r w:rsidRPr="00BE516E">
              <w:rPr>
                <w:rFonts w:ascii="Times New Roman" w:hAnsi="Times New Roman" w:cs="Times New Roman"/>
                <w:sz w:val="20"/>
                <w:szCs w:val="20"/>
              </w:rPr>
              <w:t>I2</w:t>
            </w:r>
          </w:p>
          <w:p w:rsidR="00FF581F" w:rsidRPr="00BE516E" w:rsidRDefault="00FF581F" w:rsidP="0099077E">
            <w:pPr>
              <w:pStyle w:val="NoSpacing"/>
              <w:spacing w:before="100" w:beforeAutospacing="1" w:after="100" w:afterAutospacing="1" w:line="360" w:lineRule="auto"/>
              <w:jc w:val="center"/>
              <w:rPr>
                <w:rFonts w:ascii="Times New Roman" w:hAnsi="Times New Roman" w:cs="Times New Roman"/>
                <w:sz w:val="20"/>
                <w:szCs w:val="20"/>
              </w:rPr>
            </w:pPr>
          </w:p>
        </w:tc>
        <w:tc>
          <w:tcPr>
            <w:tcW w:w="900" w:type="dxa"/>
          </w:tcPr>
          <w:p w:rsidR="00FF581F" w:rsidRPr="00BE516E" w:rsidRDefault="00FF581F" w:rsidP="0099077E">
            <w:pPr>
              <w:pStyle w:val="NoSpacing"/>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Dose/mouse</w:t>
            </w:r>
          </w:p>
          <w:p w:rsidR="00FF581F" w:rsidRPr="00BE516E" w:rsidRDefault="00FF581F" w:rsidP="0099077E">
            <w:pPr>
              <w:pStyle w:val="NoSpacing"/>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c>
          <w:tcPr>
            <w:tcW w:w="759" w:type="dxa"/>
          </w:tcPr>
          <w:p w:rsidR="00FF581F" w:rsidRPr="00BE516E" w:rsidRDefault="00FF581F" w:rsidP="0099077E">
            <w:pPr>
              <w:pStyle w:val="NoSpacing"/>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hAnsi="Times New Roman" w:cs="Times New Roman"/>
                <w:sz w:val="20"/>
                <w:szCs w:val="20"/>
              </w:rPr>
              <w:t>µg</w:t>
            </w:r>
            <w:r w:rsidRPr="00BE516E">
              <w:rPr>
                <w:rFonts w:ascii="Times New Roman" w:eastAsia="Calibri" w:hAnsi="Times New Roman" w:cs="Times New Roman"/>
                <w:sz w:val="20"/>
                <w:szCs w:val="20"/>
              </w:rPr>
              <w:t xml:space="preserve"> /kg</w:t>
            </w:r>
          </w:p>
        </w:tc>
        <w:tc>
          <w:tcPr>
            <w:tcW w:w="4353" w:type="dxa"/>
            <w:gridSpan w:val="5"/>
          </w:tcPr>
          <w:p w:rsidR="00FF581F" w:rsidRPr="00BE516E" w:rsidRDefault="00FF581F" w:rsidP="0099077E">
            <w:pPr>
              <w:pStyle w:val="NoSpacing"/>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Dead / Total</w:t>
            </w:r>
          </w:p>
        </w:tc>
        <w:tc>
          <w:tcPr>
            <w:tcW w:w="828" w:type="dxa"/>
          </w:tcPr>
          <w:p w:rsidR="00FF581F" w:rsidRPr="00BE516E" w:rsidRDefault="00FF581F" w:rsidP="0099077E">
            <w:pPr>
              <w:pStyle w:val="NoSpacing"/>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Dead%</w:t>
            </w:r>
          </w:p>
        </w:tc>
        <w:tc>
          <w:tcPr>
            <w:tcW w:w="1260" w:type="dxa"/>
          </w:tcPr>
          <w:p w:rsidR="00FF581F" w:rsidRPr="00BE516E" w:rsidRDefault="00FF581F" w:rsidP="0099077E">
            <w:pPr>
              <w:pStyle w:val="NoSpacing"/>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Corrected*</w:t>
            </w:r>
          </w:p>
          <w:p w:rsidR="00FF581F" w:rsidRPr="00BE516E" w:rsidRDefault="00FF581F" w:rsidP="0099077E">
            <w:pPr>
              <w:pStyle w:val="NoSpacing"/>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w:t>
            </w:r>
          </w:p>
        </w:tc>
        <w:tc>
          <w:tcPr>
            <w:cnfStyle w:val="000100000000" w:firstRow="0" w:lastRow="0" w:firstColumn="0" w:lastColumn="1" w:oddVBand="0" w:evenVBand="0" w:oddHBand="0" w:evenHBand="0" w:firstRowFirstColumn="0" w:firstRowLastColumn="0" w:lastRowFirstColumn="0" w:lastRowLastColumn="0"/>
            <w:tcW w:w="900" w:type="dxa"/>
          </w:tcPr>
          <w:p w:rsidR="00FF581F" w:rsidRPr="00BE516E" w:rsidRDefault="00FF581F" w:rsidP="0099077E">
            <w:pPr>
              <w:pStyle w:val="NoSpacing"/>
              <w:spacing w:before="100" w:beforeAutospacing="1" w:after="100" w:afterAutospacing="1" w:line="360" w:lineRule="auto"/>
              <w:jc w:val="center"/>
              <w:rPr>
                <w:rFonts w:ascii="Times New Roman" w:eastAsia="Calibri" w:hAnsi="Times New Roman" w:cs="Times New Roman"/>
                <w:sz w:val="20"/>
                <w:szCs w:val="20"/>
              </w:rPr>
            </w:pPr>
            <w:proofErr w:type="spellStart"/>
            <w:r w:rsidRPr="00BE516E">
              <w:rPr>
                <w:rFonts w:ascii="Times New Roman" w:eastAsia="Calibri" w:hAnsi="Times New Roman" w:cs="Times New Roman"/>
                <w:sz w:val="20"/>
                <w:szCs w:val="20"/>
              </w:rPr>
              <w:t>Probit</w:t>
            </w:r>
            <w:proofErr w:type="spellEnd"/>
          </w:p>
        </w:tc>
      </w:tr>
      <w:tr w:rsidR="00FF581F" w:rsidRPr="00BE516E" w:rsidTr="00566CB0">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FF581F" w:rsidRPr="00BE516E" w:rsidRDefault="00FF581F" w:rsidP="0099077E">
            <w:pPr>
              <w:pStyle w:val="NoSpacing"/>
              <w:spacing w:before="100" w:beforeAutospacing="1" w:after="100" w:afterAutospacing="1" w:line="360" w:lineRule="auto"/>
              <w:jc w:val="center"/>
              <w:rPr>
                <w:rFonts w:ascii="Times New Roman" w:eastAsia="Calibri" w:hAnsi="Times New Roman" w:cs="Times New Roman"/>
                <w:sz w:val="20"/>
                <w:szCs w:val="20"/>
              </w:rPr>
            </w:pPr>
          </w:p>
        </w:tc>
        <w:tc>
          <w:tcPr>
            <w:tcW w:w="90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c>
          <w:tcPr>
            <w:tcW w:w="759"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c>
          <w:tcPr>
            <w:tcW w:w="85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Day 1</w:t>
            </w:r>
          </w:p>
        </w:tc>
        <w:tc>
          <w:tcPr>
            <w:tcW w:w="851"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Day 2</w:t>
            </w:r>
          </w:p>
        </w:tc>
        <w:tc>
          <w:tcPr>
            <w:tcW w:w="85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Day 3</w:t>
            </w:r>
          </w:p>
        </w:tc>
        <w:tc>
          <w:tcPr>
            <w:tcW w:w="851"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Day 7</w:t>
            </w:r>
          </w:p>
        </w:tc>
        <w:tc>
          <w:tcPr>
            <w:tcW w:w="951"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 xml:space="preserve">Day </w:t>
            </w:r>
            <w:r w:rsidRPr="00BE516E">
              <w:rPr>
                <w:rFonts w:ascii="Times New Roman" w:hAnsi="Times New Roman" w:cs="Times New Roman"/>
                <w:sz w:val="20"/>
                <w:szCs w:val="20"/>
              </w:rPr>
              <w:t>14</w:t>
            </w:r>
          </w:p>
        </w:tc>
        <w:tc>
          <w:tcPr>
            <w:tcW w:w="828"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c>
          <w:tcPr>
            <w:tcW w:w="126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c>
          <w:tcPr>
            <w:cnfStyle w:val="000100000000" w:firstRow="0" w:lastRow="0" w:firstColumn="0" w:lastColumn="1" w:oddVBand="0" w:evenVBand="0" w:oddHBand="0" w:evenHBand="0" w:firstRowFirstColumn="0" w:firstRowLastColumn="0" w:lastRowFirstColumn="0" w:lastRowLastColumn="0"/>
            <w:tcW w:w="900" w:type="dxa"/>
          </w:tcPr>
          <w:p w:rsidR="00FF581F" w:rsidRPr="00BE516E" w:rsidRDefault="00FF581F" w:rsidP="0099077E">
            <w:pPr>
              <w:pStyle w:val="NoSpacing"/>
              <w:spacing w:before="100" w:beforeAutospacing="1" w:after="100" w:afterAutospacing="1" w:line="360" w:lineRule="auto"/>
              <w:jc w:val="center"/>
              <w:rPr>
                <w:rFonts w:ascii="Times New Roman" w:eastAsia="Calibri" w:hAnsi="Times New Roman" w:cs="Times New Roman"/>
                <w:sz w:val="20"/>
                <w:szCs w:val="20"/>
              </w:rPr>
            </w:pPr>
          </w:p>
        </w:tc>
      </w:tr>
      <w:tr w:rsidR="00FF581F" w:rsidRPr="00BE516E" w:rsidTr="00566CB0">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FF581F" w:rsidRPr="00BE516E" w:rsidRDefault="00FF581F" w:rsidP="0099077E">
            <w:pPr>
              <w:pStyle w:val="NoSpacing"/>
              <w:spacing w:before="100" w:beforeAutospacing="1" w:after="100" w:afterAutospacing="1" w:line="360" w:lineRule="auto"/>
              <w:jc w:val="center"/>
              <w:rPr>
                <w:rFonts w:ascii="Times New Roman" w:eastAsia="Calibri" w:hAnsi="Times New Roman" w:cs="Times New Roman"/>
                <w:sz w:val="20"/>
                <w:szCs w:val="20"/>
              </w:rPr>
            </w:pPr>
            <w:r w:rsidRPr="00BE516E">
              <w:rPr>
                <w:rFonts w:ascii="Times New Roman" w:eastAsia="Calibri" w:hAnsi="Times New Roman" w:cs="Times New Roman"/>
                <w:sz w:val="20"/>
                <w:szCs w:val="20"/>
              </w:rPr>
              <w:t>1</w:t>
            </w:r>
          </w:p>
        </w:tc>
        <w:tc>
          <w:tcPr>
            <w:tcW w:w="90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hAnsi="Times New Roman" w:cs="Times New Roman"/>
                <w:sz w:val="20"/>
                <w:szCs w:val="20"/>
              </w:rPr>
              <w:t>20 µg</w:t>
            </w:r>
          </w:p>
        </w:tc>
        <w:tc>
          <w:tcPr>
            <w:tcW w:w="759"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1000</w:t>
            </w:r>
          </w:p>
        </w:tc>
        <w:tc>
          <w:tcPr>
            <w:tcW w:w="85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0/3</w:t>
            </w:r>
          </w:p>
        </w:tc>
        <w:tc>
          <w:tcPr>
            <w:tcW w:w="851"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0/3</w:t>
            </w:r>
          </w:p>
        </w:tc>
        <w:tc>
          <w:tcPr>
            <w:tcW w:w="85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0/3</w:t>
            </w:r>
          </w:p>
        </w:tc>
        <w:tc>
          <w:tcPr>
            <w:tcW w:w="851"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0/3</w:t>
            </w:r>
          </w:p>
        </w:tc>
        <w:tc>
          <w:tcPr>
            <w:tcW w:w="951"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0/3</w:t>
            </w:r>
          </w:p>
        </w:tc>
        <w:tc>
          <w:tcPr>
            <w:tcW w:w="828"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w:t>
            </w:r>
          </w:p>
        </w:tc>
        <w:tc>
          <w:tcPr>
            <w:tcW w:w="126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8.33</w:t>
            </w:r>
          </w:p>
        </w:tc>
        <w:tc>
          <w:tcPr>
            <w:cnfStyle w:val="000100000000" w:firstRow="0" w:lastRow="0" w:firstColumn="0" w:lastColumn="1" w:oddVBand="0" w:evenVBand="0" w:oddHBand="0" w:evenHBand="0" w:firstRowFirstColumn="0" w:firstRowLastColumn="0" w:lastRowFirstColumn="0" w:lastRowLastColumn="0"/>
            <w:tcW w:w="900" w:type="dxa"/>
          </w:tcPr>
          <w:p w:rsidR="00FF581F" w:rsidRPr="00BE516E" w:rsidRDefault="00FF581F" w:rsidP="0099077E">
            <w:pPr>
              <w:pStyle w:val="NoSpacing"/>
              <w:spacing w:before="100" w:beforeAutospacing="1" w:after="100" w:afterAutospacing="1" w:line="360" w:lineRule="auto"/>
              <w:jc w:val="center"/>
              <w:rPr>
                <w:rFonts w:ascii="Times New Roman" w:eastAsia="Calibri" w:hAnsi="Times New Roman" w:cs="Times New Roman"/>
                <w:sz w:val="20"/>
                <w:szCs w:val="20"/>
              </w:rPr>
            </w:pPr>
            <w:r w:rsidRPr="00BE516E">
              <w:rPr>
                <w:rFonts w:ascii="Times New Roman" w:eastAsia="Calibri" w:hAnsi="Times New Roman" w:cs="Times New Roman"/>
                <w:sz w:val="20"/>
                <w:szCs w:val="20"/>
              </w:rPr>
              <w:t>3.611</w:t>
            </w:r>
          </w:p>
        </w:tc>
      </w:tr>
      <w:tr w:rsidR="00FF581F" w:rsidRPr="00BE516E" w:rsidTr="00566CB0">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FF581F" w:rsidRPr="00BE516E" w:rsidRDefault="00FF581F" w:rsidP="0099077E">
            <w:pPr>
              <w:pStyle w:val="NoSpacing"/>
              <w:spacing w:before="100" w:beforeAutospacing="1" w:after="100" w:afterAutospacing="1" w:line="360" w:lineRule="auto"/>
              <w:jc w:val="center"/>
              <w:rPr>
                <w:rFonts w:ascii="Times New Roman" w:eastAsia="Calibri" w:hAnsi="Times New Roman" w:cs="Times New Roman"/>
                <w:sz w:val="20"/>
                <w:szCs w:val="20"/>
              </w:rPr>
            </w:pPr>
            <w:r w:rsidRPr="00BE516E">
              <w:rPr>
                <w:rFonts w:ascii="Times New Roman" w:eastAsia="Calibri" w:hAnsi="Times New Roman" w:cs="Times New Roman"/>
                <w:sz w:val="20"/>
                <w:szCs w:val="20"/>
              </w:rPr>
              <w:t>2</w:t>
            </w:r>
          </w:p>
        </w:tc>
        <w:tc>
          <w:tcPr>
            <w:tcW w:w="90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hAnsi="Times New Roman" w:cs="Times New Roman"/>
                <w:sz w:val="20"/>
                <w:szCs w:val="20"/>
              </w:rPr>
              <w:t>40 µg</w:t>
            </w:r>
          </w:p>
        </w:tc>
        <w:tc>
          <w:tcPr>
            <w:tcW w:w="759"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2000</w:t>
            </w:r>
          </w:p>
        </w:tc>
        <w:tc>
          <w:tcPr>
            <w:tcW w:w="85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0/3</w:t>
            </w:r>
          </w:p>
        </w:tc>
        <w:tc>
          <w:tcPr>
            <w:tcW w:w="851"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0/3</w:t>
            </w:r>
          </w:p>
        </w:tc>
        <w:tc>
          <w:tcPr>
            <w:tcW w:w="85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0/3</w:t>
            </w:r>
          </w:p>
        </w:tc>
        <w:tc>
          <w:tcPr>
            <w:tcW w:w="851"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0/3</w:t>
            </w:r>
          </w:p>
        </w:tc>
        <w:tc>
          <w:tcPr>
            <w:tcW w:w="951"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0/3</w:t>
            </w:r>
          </w:p>
        </w:tc>
        <w:tc>
          <w:tcPr>
            <w:tcW w:w="828"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w:t>
            </w:r>
          </w:p>
        </w:tc>
        <w:tc>
          <w:tcPr>
            <w:tcW w:w="126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8.33</w:t>
            </w:r>
          </w:p>
        </w:tc>
        <w:tc>
          <w:tcPr>
            <w:cnfStyle w:val="000100000000" w:firstRow="0" w:lastRow="0" w:firstColumn="0" w:lastColumn="1" w:oddVBand="0" w:evenVBand="0" w:oddHBand="0" w:evenHBand="0" w:firstRowFirstColumn="0" w:firstRowLastColumn="0" w:lastRowFirstColumn="0" w:lastRowLastColumn="0"/>
            <w:tcW w:w="900" w:type="dxa"/>
          </w:tcPr>
          <w:p w:rsidR="00FF581F" w:rsidRPr="00BE516E" w:rsidRDefault="00FF581F" w:rsidP="0099077E">
            <w:pPr>
              <w:pStyle w:val="NoSpacing"/>
              <w:spacing w:before="100" w:beforeAutospacing="1" w:after="100" w:afterAutospacing="1" w:line="360" w:lineRule="auto"/>
              <w:jc w:val="center"/>
              <w:rPr>
                <w:rFonts w:ascii="Times New Roman" w:eastAsia="Calibri" w:hAnsi="Times New Roman" w:cs="Times New Roman"/>
                <w:sz w:val="20"/>
                <w:szCs w:val="20"/>
              </w:rPr>
            </w:pPr>
            <w:r w:rsidRPr="00BE516E">
              <w:rPr>
                <w:rFonts w:ascii="Times New Roman" w:eastAsia="Calibri" w:hAnsi="Times New Roman" w:cs="Times New Roman"/>
                <w:sz w:val="20"/>
                <w:szCs w:val="20"/>
              </w:rPr>
              <w:t>3.611</w:t>
            </w:r>
          </w:p>
        </w:tc>
      </w:tr>
      <w:tr w:rsidR="00FF581F" w:rsidRPr="00BE516E" w:rsidTr="00566CB0">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FF581F" w:rsidRPr="00BE516E" w:rsidRDefault="00FF581F" w:rsidP="0099077E">
            <w:pPr>
              <w:pStyle w:val="NoSpacing"/>
              <w:spacing w:before="100" w:beforeAutospacing="1" w:after="100" w:afterAutospacing="1" w:line="360" w:lineRule="auto"/>
              <w:jc w:val="center"/>
              <w:rPr>
                <w:rFonts w:ascii="Times New Roman" w:eastAsia="Calibri" w:hAnsi="Times New Roman" w:cs="Times New Roman"/>
                <w:sz w:val="20"/>
                <w:szCs w:val="20"/>
              </w:rPr>
            </w:pPr>
            <w:r w:rsidRPr="00BE516E">
              <w:rPr>
                <w:rFonts w:ascii="Times New Roman" w:eastAsia="Calibri" w:hAnsi="Times New Roman" w:cs="Times New Roman"/>
                <w:sz w:val="20"/>
                <w:szCs w:val="20"/>
              </w:rPr>
              <w:t>3</w:t>
            </w:r>
          </w:p>
        </w:tc>
        <w:tc>
          <w:tcPr>
            <w:tcW w:w="90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hAnsi="Times New Roman" w:cs="Times New Roman"/>
                <w:sz w:val="20"/>
                <w:szCs w:val="20"/>
              </w:rPr>
              <w:t>80 µg</w:t>
            </w:r>
          </w:p>
        </w:tc>
        <w:tc>
          <w:tcPr>
            <w:tcW w:w="759"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4000</w:t>
            </w:r>
          </w:p>
        </w:tc>
        <w:tc>
          <w:tcPr>
            <w:tcW w:w="85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0/3</w:t>
            </w:r>
          </w:p>
        </w:tc>
        <w:tc>
          <w:tcPr>
            <w:tcW w:w="851"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0/3</w:t>
            </w:r>
          </w:p>
        </w:tc>
        <w:tc>
          <w:tcPr>
            <w:tcW w:w="85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0/3</w:t>
            </w:r>
          </w:p>
        </w:tc>
        <w:tc>
          <w:tcPr>
            <w:tcW w:w="851"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0/3</w:t>
            </w:r>
          </w:p>
        </w:tc>
        <w:tc>
          <w:tcPr>
            <w:tcW w:w="951"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0/3</w:t>
            </w:r>
          </w:p>
        </w:tc>
        <w:tc>
          <w:tcPr>
            <w:tcW w:w="828"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w:t>
            </w:r>
          </w:p>
        </w:tc>
        <w:tc>
          <w:tcPr>
            <w:tcW w:w="126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8.33</w:t>
            </w:r>
          </w:p>
        </w:tc>
        <w:tc>
          <w:tcPr>
            <w:cnfStyle w:val="000100000000" w:firstRow="0" w:lastRow="0" w:firstColumn="0" w:lastColumn="1" w:oddVBand="0" w:evenVBand="0" w:oddHBand="0" w:evenHBand="0" w:firstRowFirstColumn="0" w:firstRowLastColumn="0" w:lastRowFirstColumn="0" w:lastRowLastColumn="0"/>
            <w:tcW w:w="900" w:type="dxa"/>
          </w:tcPr>
          <w:p w:rsidR="00FF581F" w:rsidRPr="00BE516E" w:rsidRDefault="00FF581F" w:rsidP="0099077E">
            <w:pPr>
              <w:pStyle w:val="NoSpacing"/>
              <w:spacing w:before="100" w:beforeAutospacing="1" w:after="100" w:afterAutospacing="1" w:line="360" w:lineRule="auto"/>
              <w:jc w:val="center"/>
              <w:rPr>
                <w:rFonts w:ascii="Times New Roman" w:eastAsia="Calibri" w:hAnsi="Times New Roman" w:cs="Times New Roman"/>
                <w:sz w:val="20"/>
                <w:szCs w:val="20"/>
              </w:rPr>
            </w:pPr>
            <w:r w:rsidRPr="00BE516E">
              <w:rPr>
                <w:rFonts w:ascii="Times New Roman" w:eastAsia="Calibri" w:hAnsi="Times New Roman" w:cs="Times New Roman"/>
                <w:sz w:val="20"/>
                <w:szCs w:val="20"/>
              </w:rPr>
              <w:t>3.611</w:t>
            </w:r>
          </w:p>
        </w:tc>
      </w:tr>
      <w:tr w:rsidR="00FF581F" w:rsidRPr="00BE516E" w:rsidTr="00566CB0">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FF581F" w:rsidRPr="00BE516E" w:rsidRDefault="00FF581F" w:rsidP="0099077E">
            <w:pPr>
              <w:pStyle w:val="NoSpacing"/>
              <w:spacing w:before="100" w:beforeAutospacing="1" w:after="100" w:afterAutospacing="1" w:line="360" w:lineRule="auto"/>
              <w:jc w:val="center"/>
              <w:rPr>
                <w:rFonts w:ascii="Times New Roman" w:eastAsia="Calibri" w:hAnsi="Times New Roman" w:cs="Times New Roman"/>
                <w:sz w:val="20"/>
                <w:szCs w:val="20"/>
              </w:rPr>
            </w:pPr>
            <w:r w:rsidRPr="00BE516E">
              <w:rPr>
                <w:rFonts w:ascii="Times New Roman" w:eastAsia="Calibri" w:hAnsi="Times New Roman" w:cs="Times New Roman"/>
                <w:sz w:val="20"/>
                <w:szCs w:val="20"/>
              </w:rPr>
              <w:t>4</w:t>
            </w:r>
          </w:p>
        </w:tc>
        <w:tc>
          <w:tcPr>
            <w:tcW w:w="90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hAnsi="Times New Roman" w:cs="Times New Roman"/>
                <w:sz w:val="20"/>
                <w:szCs w:val="20"/>
              </w:rPr>
              <w:t>100 µg</w:t>
            </w:r>
          </w:p>
        </w:tc>
        <w:tc>
          <w:tcPr>
            <w:tcW w:w="759"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5000</w:t>
            </w:r>
          </w:p>
        </w:tc>
        <w:tc>
          <w:tcPr>
            <w:tcW w:w="85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0/3</w:t>
            </w:r>
          </w:p>
        </w:tc>
        <w:tc>
          <w:tcPr>
            <w:tcW w:w="851"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2/3</w:t>
            </w:r>
          </w:p>
        </w:tc>
        <w:tc>
          <w:tcPr>
            <w:tcW w:w="85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2/3</w:t>
            </w:r>
          </w:p>
        </w:tc>
        <w:tc>
          <w:tcPr>
            <w:tcW w:w="851"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2/3</w:t>
            </w:r>
          </w:p>
        </w:tc>
        <w:tc>
          <w:tcPr>
            <w:tcW w:w="951"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2/3</w:t>
            </w:r>
          </w:p>
        </w:tc>
        <w:tc>
          <w:tcPr>
            <w:tcW w:w="828"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66.6</w:t>
            </w:r>
          </w:p>
        </w:tc>
        <w:tc>
          <w:tcPr>
            <w:tcW w:w="1260" w:type="dxa"/>
          </w:tcPr>
          <w:p w:rsidR="00FF581F" w:rsidRPr="00BE516E" w:rsidRDefault="00FF581F" w:rsidP="0099077E">
            <w:pPr>
              <w:pStyle w:val="NoSpacing"/>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66.6</w:t>
            </w:r>
          </w:p>
        </w:tc>
        <w:tc>
          <w:tcPr>
            <w:cnfStyle w:val="000100000000" w:firstRow="0" w:lastRow="0" w:firstColumn="0" w:lastColumn="1" w:oddVBand="0" w:evenVBand="0" w:oddHBand="0" w:evenHBand="0" w:firstRowFirstColumn="0" w:firstRowLastColumn="0" w:lastRowFirstColumn="0" w:lastRowLastColumn="0"/>
            <w:tcW w:w="900" w:type="dxa"/>
          </w:tcPr>
          <w:p w:rsidR="00FF581F" w:rsidRPr="00BE516E" w:rsidRDefault="00FF581F" w:rsidP="0099077E">
            <w:pPr>
              <w:pStyle w:val="NoSpacing"/>
              <w:spacing w:before="100" w:beforeAutospacing="1" w:after="100" w:afterAutospacing="1" w:line="360" w:lineRule="auto"/>
              <w:jc w:val="center"/>
              <w:rPr>
                <w:rFonts w:ascii="Times New Roman" w:eastAsia="Calibri" w:hAnsi="Times New Roman" w:cs="Times New Roman"/>
                <w:sz w:val="20"/>
                <w:szCs w:val="20"/>
              </w:rPr>
            </w:pPr>
            <w:r w:rsidRPr="00BE516E">
              <w:rPr>
                <w:rFonts w:ascii="Times New Roman" w:eastAsia="Calibri" w:hAnsi="Times New Roman" w:cs="Times New Roman"/>
                <w:sz w:val="20"/>
                <w:szCs w:val="20"/>
              </w:rPr>
              <w:t>5.428</w:t>
            </w:r>
          </w:p>
        </w:tc>
      </w:tr>
      <w:tr w:rsidR="00FF581F" w:rsidRPr="00BE516E" w:rsidTr="00566CB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8" w:type="dxa"/>
          </w:tcPr>
          <w:p w:rsidR="00FF581F" w:rsidRPr="00BE516E" w:rsidRDefault="00FF581F" w:rsidP="0099077E">
            <w:pPr>
              <w:pStyle w:val="NoSpacing"/>
              <w:spacing w:before="100" w:beforeAutospacing="1" w:after="100" w:afterAutospacing="1" w:line="360" w:lineRule="auto"/>
              <w:jc w:val="center"/>
              <w:rPr>
                <w:rFonts w:ascii="Times New Roman" w:hAnsi="Times New Roman" w:cs="Times New Roman"/>
                <w:sz w:val="20"/>
                <w:szCs w:val="20"/>
              </w:rPr>
            </w:pPr>
            <w:r w:rsidRPr="00BE516E">
              <w:rPr>
                <w:rFonts w:ascii="Times New Roman" w:hAnsi="Times New Roman" w:cs="Times New Roman"/>
                <w:sz w:val="20"/>
                <w:szCs w:val="20"/>
              </w:rPr>
              <w:t>5</w:t>
            </w:r>
          </w:p>
        </w:tc>
        <w:tc>
          <w:tcPr>
            <w:tcW w:w="900" w:type="dxa"/>
          </w:tcPr>
          <w:p w:rsidR="00FF581F" w:rsidRPr="00BE516E" w:rsidRDefault="00FF581F" w:rsidP="0099077E">
            <w:pPr>
              <w:pStyle w:val="NoSpacing"/>
              <w:spacing w:before="100" w:beforeAutospacing="1" w:after="100" w:afterAutospacing="1"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hAnsi="Times New Roman" w:cs="Times New Roman"/>
                <w:sz w:val="20"/>
                <w:szCs w:val="20"/>
              </w:rPr>
              <w:t>150 µg</w:t>
            </w:r>
          </w:p>
        </w:tc>
        <w:tc>
          <w:tcPr>
            <w:tcW w:w="759" w:type="dxa"/>
          </w:tcPr>
          <w:p w:rsidR="00FF581F" w:rsidRPr="00BE516E" w:rsidRDefault="00FF581F" w:rsidP="0099077E">
            <w:pPr>
              <w:pStyle w:val="NoSpacing"/>
              <w:spacing w:before="100" w:beforeAutospacing="1" w:after="100" w:afterAutospacing="1"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7500</w:t>
            </w:r>
          </w:p>
        </w:tc>
        <w:tc>
          <w:tcPr>
            <w:tcW w:w="850" w:type="dxa"/>
          </w:tcPr>
          <w:p w:rsidR="00FF581F" w:rsidRPr="00BE516E" w:rsidRDefault="00FF581F" w:rsidP="0099077E">
            <w:pPr>
              <w:pStyle w:val="NoSpacing"/>
              <w:spacing w:before="100" w:beforeAutospacing="1" w:after="100" w:afterAutospacing="1"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3/3</w:t>
            </w:r>
          </w:p>
        </w:tc>
        <w:tc>
          <w:tcPr>
            <w:tcW w:w="851" w:type="dxa"/>
          </w:tcPr>
          <w:p w:rsidR="00FF581F" w:rsidRPr="00BE516E" w:rsidRDefault="00FF581F" w:rsidP="0099077E">
            <w:pPr>
              <w:pStyle w:val="NoSpacing"/>
              <w:spacing w:before="100" w:beforeAutospacing="1" w:after="100" w:afterAutospacing="1"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w:t>
            </w:r>
          </w:p>
        </w:tc>
        <w:tc>
          <w:tcPr>
            <w:tcW w:w="850" w:type="dxa"/>
          </w:tcPr>
          <w:p w:rsidR="00FF581F" w:rsidRPr="00BE516E" w:rsidRDefault="00FF581F" w:rsidP="0099077E">
            <w:pPr>
              <w:pStyle w:val="NoSpacing"/>
              <w:spacing w:before="100" w:beforeAutospacing="1" w:after="100" w:afterAutospacing="1"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w:t>
            </w:r>
          </w:p>
        </w:tc>
        <w:tc>
          <w:tcPr>
            <w:tcW w:w="851" w:type="dxa"/>
          </w:tcPr>
          <w:p w:rsidR="00FF581F" w:rsidRPr="00BE516E" w:rsidRDefault="00FF581F" w:rsidP="0099077E">
            <w:pPr>
              <w:pStyle w:val="NoSpacing"/>
              <w:spacing w:before="100" w:beforeAutospacing="1" w:after="100" w:afterAutospacing="1"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w:t>
            </w:r>
          </w:p>
        </w:tc>
        <w:tc>
          <w:tcPr>
            <w:tcW w:w="951" w:type="dxa"/>
          </w:tcPr>
          <w:p w:rsidR="00FF581F" w:rsidRPr="00BE516E" w:rsidRDefault="00FF581F" w:rsidP="0099077E">
            <w:pPr>
              <w:pStyle w:val="NoSpacing"/>
              <w:spacing w:before="100" w:beforeAutospacing="1" w:after="100" w:afterAutospacing="1"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w:t>
            </w:r>
          </w:p>
        </w:tc>
        <w:tc>
          <w:tcPr>
            <w:tcW w:w="828" w:type="dxa"/>
          </w:tcPr>
          <w:p w:rsidR="00FF581F" w:rsidRPr="00BE516E" w:rsidRDefault="00FF581F" w:rsidP="0099077E">
            <w:pPr>
              <w:pStyle w:val="NoSpacing"/>
              <w:spacing w:before="100" w:beforeAutospacing="1" w:after="100" w:afterAutospacing="1"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100</w:t>
            </w:r>
          </w:p>
        </w:tc>
        <w:tc>
          <w:tcPr>
            <w:tcW w:w="1260" w:type="dxa"/>
          </w:tcPr>
          <w:p w:rsidR="00FF581F" w:rsidRPr="00BE516E" w:rsidRDefault="00FF581F" w:rsidP="0099077E">
            <w:pPr>
              <w:pStyle w:val="NoSpacing"/>
              <w:spacing w:before="100" w:beforeAutospacing="1" w:after="100" w:afterAutospacing="1" w:line="360" w:lineRule="auto"/>
              <w:jc w:val="center"/>
              <w:cnfStyle w:val="010000000000" w:firstRow="0" w:lastRow="1"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BE516E">
              <w:rPr>
                <w:rFonts w:ascii="Times New Roman" w:eastAsia="Calibri" w:hAnsi="Times New Roman" w:cs="Times New Roman"/>
                <w:sz w:val="20"/>
                <w:szCs w:val="20"/>
              </w:rPr>
              <w:t>99</w:t>
            </w:r>
          </w:p>
        </w:tc>
        <w:tc>
          <w:tcPr>
            <w:cnfStyle w:val="000100000000" w:firstRow="0" w:lastRow="0" w:firstColumn="0" w:lastColumn="1" w:oddVBand="0" w:evenVBand="0" w:oddHBand="0" w:evenHBand="0" w:firstRowFirstColumn="0" w:firstRowLastColumn="0" w:lastRowFirstColumn="0" w:lastRowLastColumn="0"/>
            <w:tcW w:w="900" w:type="dxa"/>
          </w:tcPr>
          <w:p w:rsidR="00FF581F" w:rsidRPr="00BE516E" w:rsidRDefault="00FF581F" w:rsidP="0099077E">
            <w:pPr>
              <w:pStyle w:val="NoSpacing"/>
              <w:spacing w:before="100" w:beforeAutospacing="1" w:after="100" w:afterAutospacing="1" w:line="360" w:lineRule="auto"/>
              <w:jc w:val="center"/>
              <w:rPr>
                <w:rFonts w:ascii="Times New Roman" w:eastAsia="Calibri" w:hAnsi="Times New Roman" w:cs="Times New Roman"/>
                <w:sz w:val="20"/>
                <w:szCs w:val="20"/>
              </w:rPr>
            </w:pPr>
            <w:r w:rsidRPr="00BE516E">
              <w:rPr>
                <w:rFonts w:ascii="Times New Roman" w:eastAsia="Calibri" w:hAnsi="Times New Roman" w:cs="Times New Roman"/>
                <w:sz w:val="20"/>
                <w:szCs w:val="20"/>
              </w:rPr>
              <w:t>7.33</w:t>
            </w:r>
          </w:p>
        </w:tc>
      </w:tr>
    </w:tbl>
    <w:p w:rsidR="00682E4A" w:rsidRPr="00BE516E" w:rsidRDefault="001968D6" w:rsidP="0099077E">
      <w:pPr>
        <w:pStyle w:val="NoSpacing"/>
        <w:spacing w:before="100" w:beforeAutospacing="1" w:after="100" w:afterAutospacing="1" w:line="360" w:lineRule="auto"/>
        <w:jc w:val="both"/>
        <w:rPr>
          <w:rFonts w:ascii="Times New Roman" w:eastAsia="Calibri" w:hAnsi="Times New Roman" w:cs="Times New Roman"/>
          <w:sz w:val="20"/>
          <w:szCs w:val="20"/>
        </w:rPr>
      </w:pPr>
      <w:r w:rsidRPr="00BE516E">
        <w:rPr>
          <w:rFonts w:ascii="Times New Roman" w:eastAsia="Calibri" w:hAnsi="Times New Roman" w:cs="Times New Roman"/>
          <w:b/>
          <w:sz w:val="20"/>
          <w:szCs w:val="20"/>
        </w:rPr>
        <w:lastRenderedPageBreak/>
        <w:t>Table S3</w:t>
      </w:r>
      <w:r w:rsidR="00EE3B32" w:rsidRPr="00BE516E">
        <w:rPr>
          <w:rFonts w:ascii="Times New Roman" w:eastAsia="Calibri" w:hAnsi="Times New Roman" w:cs="Times New Roman"/>
          <w:b/>
          <w:sz w:val="20"/>
          <w:szCs w:val="20"/>
        </w:rPr>
        <w:t xml:space="preserve">. </w:t>
      </w:r>
      <w:r w:rsidR="00EE3B32" w:rsidRPr="00BE516E">
        <w:rPr>
          <w:rFonts w:ascii="Times New Roman" w:eastAsia="Calibri" w:hAnsi="Times New Roman" w:cs="Times New Roman"/>
          <w:sz w:val="20"/>
          <w:szCs w:val="20"/>
        </w:rPr>
        <w:t>Acute toxicity study of I</w:t>
      </w:r>
      <w:r w:rsidR="00723B54">
        <w:rPr>
          <w:rFonts w:ascii="Times New Roman" w:eastAsia="Calibri" w:hAnsi="Times New Roman" w:cs="Times New Roman"/>
          <w:sz w:val="20"/>
          <w:szCs w:val="20"/>
        </w:rPr>
        <w:t>NH</w:t>
      </w:r>
      <w:r w:rsidR="00EE3B32" w:rsidRPr="00BE516E">
        <w:rPr>
          <w:rFonts w:ascii="Times New Roman" w:eastAsia="Calibri" w:hAnsi="Times New Roman" w:cs="Times New Roman"/>
          <w:sz w:val="20"/>
          <w:szCs w:val="20"/>
        </w:rPr>
        <w:t>: there was no death occurred up</w:t>
      </w:r>
      <w:r w:rsidR="00723B54">
        <w:rPr>
          <w:rFonts w:ascii="Times New Roman" w:eastAsia="Calibri" w:hAnsi="Times New Roman" w:cs="Times New Roman"/>
          <w:sz w:val="20"/>
          <w:szCs w:val="20"/>
        </w:rPr>
        <w:t xml:space="preserve"> </w:t>
      </w:r>
      <w:r w:rsidR="00EE3B32" w:rsidRPr="00BE516E">
        <w:rPr>
          <w:rFonts w:ascii="Times New Roman" w:eastAsia="Calibri" w:hAnsi="Times New Roman" w:cs="Times New Roman"/>
          <w:sz w:val="20"/>
          <w:szCs w:val="20"/>
        </w:rPr>
        <w:t>to day 14 for the dose 80</w:t>
      </w:r>
      <w:r w:rsidR="00B33013" w:rsidRPr="00BE516E">
        <w:rPr>
          <w:rFonts w:ascii="Times New Roman" w:eastAsia="Calibri" w:hAnsi="Times New Roman" w:cs="Times New Roman"/>
          <w:sz w:val="20"/>
          <w:szCs w:val="20"/>
        </w:rPr>
        <w:t xml:space="preserve"> µg or 4000 µg/kg and a significant 100% death at the dose 150 µg or 7500 µg/kg.</w:t>
      </w:r>
    </w:p>
    <w:p w:rsidR="00B33013" w:rsidRPr="00BE516E" w:rsidRDefault="00682E4A" w:rsidP="0099077E">
      <w:pPr>
        <w:pStyle w:val="NoSpacing"/>
        <w:spacing w:before="100" w:beforeAutospacing="1" w:after="100" w:afterAutospacing="1" w:line="360" w:lineRule="auto"/>
        <w:jc w:val="both"/>
        <w:rPr>
          <w:rFonts w:ascii="Times New Roman" w:eastAsia="Calibri" w:hAnsi="Times New Roman" w:cs="Times New Roman"/>
          <w:sz w:val="20"/>
          <w:szCs w:val="20"/>
        </w:rPr>
      </w:pPr>
      <w:r w:rsidRPr="00BE516E">
        <w:rPr>
          <w:rFonts w:ascii="Times New Roman" w:eastAsia="Calibri" w:hAnsi="Times New Roman" w:cs="Times New Roman"/>
          <w:sz w:val="20"/>
          <w:szCs w:val="20"/>
        </w:rPr>
        <w:t>Therefore, 50% lethal dose (LD</w:t>
      </w:r>
      <w:r w:rsidRPr="00BE516E">
        <w:rPr>
          <w:rFonts w:ascii="Times New Roman" w:eastAsia="Calibri" w:hAnsi="Times New Roman" w:cs="Times New Roman"/>
          <w:sz w:val="20"/>
          <w:szCs w:val="20"/>
          <w:vertAlign w:val="subscript"/>
        </w:rPr>
        <w:t>50</w:t>
      </w:r>
      <w:r w:rsidRPr="00BE516E">
        <w:rPr>
          <w:rFonts w:ascii="Times New Roman" w:eastAsia="Calibri" w:hAnsi="Times New Roman" w:cs="Times New Roman"/>
          <w:sz w:val="20"/>
          <w:szCs w:val="20"/>
        </w:rPr>
        <w:t>) of I</w:t>
      </w:r>
      <w:r w:rsidR="00723B54">
        <w:rPr>
          <w:rFonts w:ascii="Times New Roman" w:eastAsia="Calibri" w:hAnsi="Times New Roman" w:cs="Times New Roman"/>
          <w:sz w:val="20"/>
          <w:szCs w:val="20"/>
        </w:rPr>
        <w:t>NH</w:t>
      </w:r>
      <w:r w:rsidRPr="00BE516E">
        <w:rPr>
          <w:rFonts w:ascii="Times New Roman" w:eastAsia="Calibri" w:hAnsi="Times New Roman" w:cs="Times New Roman"/>
          <w:sz w:val="20"/>
          <w:szCs w:val="20"/>
        </w:rPr>
        <w:t xml:space="preserve"> was predicted between 80 µg to 100 µg in mice. The log dose of 7500 µg/kg is 3.8750; 5000 µg/kg is 3.6989; 4000 µg/kg is 3.6020; 2000 µg/kg is 3.3010 and 1000 µg/kg is 3. The corrected percentage death was transformed to </w:t>
      </w:r>
      <w:proofErr w:type="spellStart"/>
      <w:r w:rsidRPr="00BE516E">
        <w:rPr>
          <w:rFonts w:ascii="Times New Roman" w:eastAsia="Calibri" w:hAnsi="Times New Roman" w:cs="Times New Roman"/>
          <w:sz w:val="20"/>
          <w:szCs w:val="20"/>
        </w:rPr>
        <w:t>probits</w:t>
      </w:r>
      <w:proofErr w:type="spellEnd"/>
      <w:r w:rsidRPr="00BE516E">
        <w:rPr>
          <w:rFonts w:ascii="Times New Roman" w:eastAsia="Calibri" w:hAnsi="Times New Roman" w:cs="Times New Roman"/>
          <w:sz w:val="20"/>
          <w:szCs w:val="20"/>
        </w:rPr>
        <w:t xml:space="preserve">. The </w:t>
      </w:r>
      <w:proofErr w:type="spellStart"/>
      <w:r w:rsidRPr="00BE516E">
        <w:rPr>
          <w:rFonts w:ascii="Times New Roman" w:eastAsia="Calibri" w:hAnsi="Times New Roman" w:cs="Times New Roman"/>
          <w:sz w:val="20"/>
          <w:szCs w:val="20"/>
        </w:rPr>
        <w:t>probit</w:t>
      </w:r>
      <w:proofErr w:type="spellEnd"/>
      <w:r w:rsidRPr="00BE516E">
        <w:rPr>
          <w:rFonts w:ascii="Times New Roman" w:eastAsia="Calibri" w:hAnsi="Times New Roman" w:cs="Times New Roman"/>
          <w:sz w:val="20"/>
          <w:szCs w:val="20"/>
        </w:rPr>
        <w:t xml:space="preserve"> values were plotted against log doses, and the dose corresponding to </w:t>
      </w:r>
      <w:proofErr w:type="spellStart"/>
      <w:r w:rsidRPr="00BE516E">
        <w:rPr>
          <w:rFonts w:ascii="Times New Roman" w:eastAsia="Calibri" w:hAnsi="Times New Roman" w:cs="Times New Roman"/>
          <w:sz w:val="20"/>
          <w:szCs w:val="20"/>
        </w:rPr>
        <w:t>probit</w:t>
      </w:r>
      <w:proofErr w:type="spellEnd"/>
      <w:r w:rsidRPr="00BE516E">
        <w:rPr>
          <w:rFonts w:ascii="Times New Roman" w:eastAsia="Calibri" w:hAnsi="Times New Roman" w:cs="Times New Roman"/>
          <w:sz w:val="20"/>
          <w:szCs w:val="20"/>
        </w:rPr>
        <w:t xml:space="preserve"> 5 or 50% was determined.  The intranasal LD</w:t>
      </w:r>
      <w:r w:rsidRPr="00BE516E">
        <w:rPr>
          <w:rFonts w:ascii="Times New Roman" w:eastAsia="Calibri" w:hAnsi="Times New Roman" w:cs="Times New Roman"/>
          <w:sz w:val="20"/>
          <w:szCs w:val="20"/>
          <w:vertAlign w:val="subscript"/>
        </w:rPr>
        <w:t>50</w:t>
      </w:r>
      <w:r w:rsidRPr="00BE516E">
        <w:rPr>
          <w:rFonts w:ascii="Times New Roman" w:eastAsia="Calibri" w:hAnsi="Times New Roman" w:cs="Times New Roman"/>
          <w:sz w:val="20"/>
          <w:szCs w:val="20"/>
        </w:rPr>
        <w:t xml:space="preserve"> value of test drug, I</w:t>
      </w:r>
      <w:r w:rsidR="00723B54">
        <w:rPr>
          <w:rFonts w:ascii="Times New Roman" w:eastAsia="Calibri" w:hAnsi="Times New Roman" w:cs="Times New Roman"/>
          <w:sz w:val="20"/>
          <w:szCs w:val="20"/>
        </w:rPr>
        <w:t>NH</w:t>
      </w:r>
      <w:r w:rsidRPr="00BE516E">
        <w:rPr>
          <w:rFonts w:ascii="Times New Roman" w:eastAsia="Calibri" w:hAnsi="Times New Roman" w:cs="Times New Roman"/>
          <w:sz w:val="20"/>
          <w:szCs w:val="20"/>
        </w:rPr>
        <w:t xml:space="preserve"> in mice was found to be 3650 µg/kg or 73 µg mouse dose.</w:t>
      </w:r>
    </w:p>
    <w:p w:rsidR="0099077E" w:rsidRPr="00BE516E" w:rsidRDefault="00B33013" w:rsidP="0099077E">
      <w:pPr>
        <w:pStyle w:val="NoSpacing"/>
        <w:spacing w:before="100" w:beforeAutospacing="1" w:after="100" w:afterAutospacing="1" w:line="360" w:lineRule="auto"/>
        <w:jc w:val="center"/>
        <w:rPr>
          <w:rFonts w:ascii="Times New Roman" w:eastAsia="Calibri" w:hAnsi="Times New Roman" w:cs="Times New Roman"/>
          <w:sz w:val="20"/>
          <w:szCs w:val="20"/>
        </w:rPr>
      </w:pPr>
      <w:r w:rsidRPr="00BE516E">
        <w:rPr>
          <w:rFonts w:ascii="Arial" w:eastAsia="Calibri" w:hAnsi="Arial" w:cs="Arial"/>
          <w:noProof/>
          <w:sz w:val="20"/>
          <w:szCs w:val="20"/>
        </w:rPr>
        <w:drawing>
          <wp:inline distT="0" distB="0" distL="0" distR="0" wp14:anchorId="12A0D5EA" wp14:editId="3F3B1F1D">
            <wp:extent cx="4686300" cy="24860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85CF1" w:rsidRDefault="001E4313" w:rsidP="00BE62BB">
      <w:pPr>
        <w:pStyle w:val="NoSpacing"/>
        <w:spacing w:before="100" w:beforeAutospacing="1" w:after="100" w:afterAutospacing="1" w:line="36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Fig.</w:t>
      </w:r>
      <w:r w:rsidR="0080645B" w:rsidRPr="00BE516E">
        <w:rPr>
          <w:rFonts w:ascii="Times New Roman" w:eastAsia="Calibri" w:hAnsi="Times New Roman" w:cs="Times New Roman"/>
          <w:b/>
          <w:sz w:val="20"/>
          <w:szCs w:val="20"/>
        </w:rPr>
        <w:t>S7</w:t>
      </w:r>
      <w:r w:rsidR="00B33013" w:rsidRPr="00BE516E">
        <w:rPr>
          <w:rFonts w:ascii="Times New Roman" w:eastAsia="Calibri" w:hAnsi="Times New Roman" w:cs="Times New Roman"/>
          <w:b/>
          <w:sz w:val="20"/>
          <w:szCs w:val="20"/>
        </w:rPr>
        <w:t>.</w:t>
      </w:r>
      <w:r w:rsidR="00C76FA1" w:rsidRPr="00BE516E">
        <w:rPr>
          <w:rFonts w:ascii="Times New Roman" w:eastAsia="Calibri" w:hAnsi="Times New Roman" w:cs="Times New Roman"/>
          <w:b/>
          <w:sz w:val="20"/>
          <w:szCs w:val="20"/>
        </w:rPr>
        <w:t xml:space="preserve"> </w:t>
      </w:r>
      <w:r w:rsidR="006A1ABF" w:rsidRPr="00BE516E">
        <w:rPr>
          <w:rFonts w:ascii="Times New Roman" w:eastAsia="Calibri" w:hAnsi="Times New Roman" w:cs="Times New Roman"/>
          <w:sz w:val="20"/>
          <w:szCs w:val="20"/>
        </w:rPr>
        <w:t xml:space="preserve">The </w:t>
      </w:r>
      <w:proofErr w:type="spellStart"/>
      <w:r w:rsidR="006A1ABF" w:rsidRPr="00BE516E">
        <w:rPr>
          <w:rFonts w:ascii="Times New Roman" w:eastAsia="Calibri" w:hAnsi="Times New Roman" w:cs="Times New Roman"/>
          <w:sz w:val="20"/>
          <w:szCs w:val="20"/>
        </w:rPr>
        <w:t>probit</w:t>
      </w:r>
      <w:proofErr w:type="spellEnd"/>
      <w:r w:rsidR="006A1ABF" w:rsidRPr="00BE516E">
        <w:rPr>
          <w:rFonts w:ascii="Times New Roman" w:eastAsia="Calibri" w:hAnsi="Times New Roman" w:cs="Times New Roman"/>
          <w:sz w:val="20"/>
          <w:szCs w:val="20"/>
        </w:rPr>
        <w:t xml:space="preserve"> value </w:t>
      </w:r>
      <w:proofErr w:type="spellStart"/>
      <w:r w:rsidR="006A1ABF" w:rsidRPr="00BE516E">
        <w:rPr>
          <w:rFonts w:ascii="Times New Roman" w:eastAsia="Calibri" w:hAnsi="Times New Roman" w:cs="Times New Roman"/>
          <w:sz w:val="20"/>
          <w:szCs w:val="20"/>
        </w:rPr>
        <w:t>Vs</w:t>
      </w:r>
      <w:proofErr w:type="spellEnd"/>
      <w:r w:rsidR="006A1ABF" w:rsidRPr="00BE516E">
        <w:rPr>
          <w:rFonts w:ascii="Times New Roman" w:eastAsia="Calibri" w:hAnsi="Times New Roman" w:cs="Times New Roman"/>
          <w:sz w:val="20"/>
          <w:szCs w:val="20"/>
        </w:rPr>
        <w:t xml:space="preserve"> log dose graph showing the corrected percentage death for toxic dose calculation.</w:t>
      </w:r>
    </w:p>
    <w:p w:rsidR="00BE62BB" w:rsidRDefault="00BE62BB" w:rsidP="00BE62BB">
      <w:pPr>
        <w:pStyle w:val="NoSpacing"/>
        <w:spacing w:before="100" w:beforeAutospacing="1" w:after="100" w:afterAutospacing="1" w:line="360" w:lineRule="auto"/>
        <w:jc w:val="both"/>
        <w:rPr>
          <w:rFonts w:ascii="Times New Roman" w:eastAsia="Calibri" w:hAnsi="Times New Roman" w:cs="Times New Roman"/>
          <w:sz w:val="20"/>
          <w:szCs w:val="20"/>
        </w:rPr>
      </w:pPr>
    </w:p>
    <w:p w:rsidR="00BE62BB" w:rsidRDefault="00BE62BB" w:rsidP="00BE62BB">
      <w:pPr>
        <w:pStyle w:val="NoSpacing"/>
        <w:spacing w:before="100" w:beforeAutospacing="1" w:after="100" w:afterAutospacing="1" w:line="360" w:lineRule="auto"/>
        <w:jc w:val="both"/>
        <w:rPr>
          <w:rFonts w:ascii="Times New Roman" w:eastAsia="Calibri" w:hAnsi="Times New Roman" w:cs="Times New Roman"/>
          <w:sz w:val="20"/>
          <w:szCs w:val="20"/>
        </w:rPr>
      </w:pPr>
    </w:p>
    <w:p w:rsidR="00BE62BB" w:rsidRDefault="00BE62BB" w:rsidP="00BE62BB">
      <w:pPr>
        <w:pStyle w:val="NoSpacing"/>
        <w:spacing w:before="100" w:beforeAutospacing="1" w:after="100" w:afterAutospacing="1" w:line="360" w:lineRule="auto"/>
        <w:jc w:val="both"/>
        <w:rPr>
          <w:rFonts w:ascii="Times New Roman" w:eastAsia="Calibri" w:hAnsi="Times New Roman" w:cs="Times New Roman"/>
          <w:sz w:val="20"/>
          <w:szCs w:val="20"/>
        </w:rPr>
      </w:pPr>
    </w:p>
    <w:p w:rsidR="00BE62BB" w:rsidRDefault="00BE62BB" w:rsidP="00BE62BB">
      <w:pPr>
        <w:pStyle w:val="NoSpacing"/>
        <w:spacing w:before="100" w:beforeAutospacing="1" w:after="100" w:afterAutospacing="1" w:line="360" w:lineRule="auto"/>
        <w:jc w:val="both"/>
        <w:rPr>
          <w:rFonts w:ascii="Times New Roman" w:eastAsia="Calibri" w:hAnsi="Times New Roman" w:cs="Times New Roman"/>
          <w:sz w:val="20"/>
          <w:szCs w:val="20"/>
        </w:rPr>
      </w:pPr>
    </w:p>
    <w:p w:rsidR="00BE62BB" w:rsidRDefault="00BE62BB" w:rsidP="00BE62BB">
      <w:pPr>
        <w:pStyle w:val="NoSpacing"/>
        <w:spacing w:before="100" w:beforeAutospacing="1" w:after="100" w:afterAutospacing="1" w:line="360" w:lineRule="auto"/>
        <w:jc w:val="both"/>
        <w:rPr>
          <w:rFonts w:ascii="Times New Roman" w:eastAsia="Calibri" w:hAnsi="Times New Roman" w:cs="Times New Roman"/>
          <w:sz w:val="20"/>
          <w:szCs w:val="20"/>
        </w:rPr>
      </w:pPr>
    </w:p>
    <w:p w:rsidR="00BE62BB" w:rsidRDefault="00BE62BB" w:rsidP="00BE62BB">
      <w:pPr>
        <w:pStyle w:val="NoSpacing"/>
        <w:spacing w:before="100" w:beforeAutospacing="1" w:after="100" w:afterAutospacing="1" w:line="360" w:lineRule="auto"/>
        <w:jc w:val="both"/>
        <w:rPr>
          <w:rFonts w:ascii="Times New Roman" w:eastAsia="Calibri" w:hAnsi="Times New Roman" w:cs="Times New Roman"/>
          <w:sz w:val="20"/>
          <w:szCs w:val="20"/>
        </w:rPr>
      </w:pPr>
    </w:p>
    <w:p w:rsidR="00BE62BB" w:rsidRDefault="00BE62BB" w:rsidP="00BE62BB">
      <w:pPr>
        <w:pStyle w:val="NoSpacing"/>
        <w:spacing w:before="100" w:beforeAutospacing="1" w:after="100" w:afterAutospacing="1" w:line="360" w:lineRule="auto"/>
        <w:jc w:val="both"/>
        <w:rPr>
          <w:rFonts w:ascii="Times New Roman" w:eastAsia="Calibri" w:hAnsi="Times New Roman" w:cs="Times New Roman"/>
          <w:sz w:val="20"/>
          <w:szCs w:val="20"/>
        </w:rPr>
      </w:pPr>
    </w:p>
    <w:p w:rsidR="00BE62BB" w:rsidRPr="00BE62BB" w:rsidRDefault="00BE62BB" w:rsidP="00BE62BB">
      <w:pPr>
        <w:pStyle w:val="NoSpacing"/>
        <w:spacing w:before="100" w:beforeAutospacing="1" w:after="100" w:afterAutospacing="1" w:line="360" w:lineRule="auto"/>
        <w:jc w:val="both"/>
        <w:rPr>
          <w:rFonts w:ascii="Times New Roman" w:eastAsia="Calibri" w:hAnsi="Times New Roman" w:cs="Times New Roman"/>
          <w:sz w:val="20"/>
          <w:szCs w:val="20"/>
        </w:rPr>
      </w:pPr>
    </w:p>
    <w:p w:rsidR="00A132E4" w:rsidRPr="00BE516E" w:rsidRDefault="00A132E4" w:rsidP="0003791B">
      <w:pPr>
        <w:spacing w:before="100" w:beforeAutospacing="1" w:after="100" w:afterAutospacing="1" w:line="360" w:lineRule="auto"/>
        <w:jc w:val="both"/>
        <w:rPr>
          <w:rFonts w:ascii="Times New Roman" w:eastAsia="Calibri" w:hAnsi="Times New Roman" w:cs="Times New Roman"/>
          <w:b/>
          <w:noProof/>
          <w:sz w:val="20"/>
          <w:szCs w:val="20"/>
          <w:lang w:val="en-IN" w:eastAsia="en-IN"/>
        </w:rPr>
      </w:pPr>
      <w:r w:rsidRPr="00BE516E">
        <w:rPr>
          <w:rFonts w:ascii="Times New Roman" w:eastAsia="Calibri" w:hAnsi="Times New Roman" w:cs="Times New Roman"/>
          <w:b/>
          <w:i/>
          <w:noProof/>
          <w:sz w:val="20"/>
          <w:szCs w:val="20"/>
          <w:lang w:val="en-IN" w:eastAsia="en-IN"/>
        </w:rPr>
        <w:lastRenderedPageBreak/>
        <w:t>In silico</w:t>
      </w:r>
      <w:r w:rsidRPr="00BE516E">
        <w:rPr>
          <w:rFonts w:ascii="Times New Roman" w:eastAsia="Calibri" w:hAnsi="Times New Roman" w:cs="Times New Roman"/>
          <w:b/>
          <w:noProof/>
          <w:sz w:val="20"/>
          <w:szCs w:val="20"/>
          <w:lang w:val="en-IN" w:eastAsia="en-IN"/>
        </w:rPr>
        <w:t xml:space="preserve"> modeling of the inhibitor</w:t>
      </w:r>
    </w:p>
    <w:p w:rsidR="0022604A" w:rsidRPr="00BE516E" w:rsidRDefault="0022604A" w:rsidP="0022604A">
      <w:pPr>
        <w:spacing w:before="100" w:beforeAutospacing="1" w:after="100" w:afterAutospacing="1" w:line="360" w:lineRule="auto"/>
        <w:jc w:val="center"/>
        <w:rPr>
          <w:rFonts w:ascii="Times New Roman" w:hAnsi="Times New Roman" w:cs="Times New Roman"/>
          <w:sz w:val="20"/>
          <w:szCs w:val="20"/>
        </w:rPr>
      </w:pPr>
      <w:r w:rsidRPr="00BE516E">
        <w:rPr>
          <w:rFonts w:ascii="Times New Roman" w:hAnsi="Times New Roman" w:cs="Times New Roman"/>
          <w:noProof/>
          <w:sz w:val="20"/>
          <w:szCs w:val="20"/>
        </w:rPr>
        <w:drawing>
          <wp:inline distT="0" distB="0" distL="0" distR="0" wp14:anchorId="3773C260" wp14:editId="6EF4A421">
            <wp:extent cx="4676140" cy="49441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76140" cy="4944110"/>
                    </a:xfrm>
                    <a:prstGeom prst="rect">
                      <a:avLst/>
                    </a:prstGeom>
                    <a:noFill/>
                  </pic:spPr>
                </pic:pic>
              </a:graphicData>
            </a:graphic>
          </wp:inline>
        </w:drawing>
      </w:r>
    </w:p>
    <w:p w:rsidR="0022604A" w:rsidRPr="00BE516E" w:rsidRDefault="001E4313" w:rsidP="0022604A">
      <w:pPr>
        <w:spacing w:before="100" w:beforeAutospacing="1" w:after="100" w:afterAutospacing="1" w:line="360" w:lineRule="auto"/>
        <w:jc w:val="both"/>
        <w:rPr>
          <w:rFonts w:ascii="Times New Roman" w:hAnsi="Times New Roman" w:cs="Times New Roman"/>
          <w:sz w:val="20"/>
          <w:szCs w:val="20"/>
        </w:rPr>
      </w:pPr>
      <w:proofErr w:type="gramStart"/>
      <w:r>
        <w:rPr>
          <w:rFonts w:ascii="Times New Roman" w:hAnsi="Times New Roman" w:cs="Times New Roman"/>
          <w:b/>
          <w:sz w:val="20"/>
          <w:szCs w:val="20"/>
        </w:rPr>
        <w:t>Fig.</w:t>
      </w:r>
      <w:proofErr w:type="gramEnd"/>
      <w:r w:rsidR="00664826">
        <w:rPr>
          <w:rFonts w:ascii="Times New Roman" w:hAnsi="Times New Roman" w:cs="Times New Roman"/>
          <w:b/>
          <w:sz w:val="20"/>
          <w:szCs w:val="20"/>
        </w:rPr>
        <w:t xml:space="preserve"> S8</w:t>
      </w:r>
      <w:r w:rsidR="0022604A" w:rsidRPr="00BE516E">
        <w:rPr>
          <w:rFonts w:ascii="Times New Roman" w:hAnsi="Times New Roman" w:cs="Times New Roman"/>
          <w:b/>
          <w:sz w:val="20"/>
          <w:szCs w:val="20"/>
        </w:rPr>
        <w:t xml:space="preserve">: </w:t>
      </w:r>
      <w:r w:rsidR="0022604A" w:rsidRPr="00BE516E">
        <w:rPr>
          <w:rFonts w:ascii="Times New Roman" w:hAnsi="Times New Roman" w:cs="Times New Roman"/>
          <w:sz w:val="20"/>
          <w:szCs w:val="20"/>
        </w:rPr>
        <w:t xml:space="preserve">Molecular dynamics (MD) simulation presenting a: Pre and post simulation 3D structure of </w:t>
      </w:r>
      <w:proofErr w:type="spellStart"/>
      <w:r w:rsidR="0022604A" w:rsidRPr="00BE516E">
        <w:rPr>
          <w:rFonts w:ascii="Times New Roman" w:hAnsi="Times New Roman" w:cs="Times New Roman"/>
          <w:sz w:val="20"/>
          <w:szCs w:val="20"/>
        </w:rPr>
        <w:t>PEGylated</w:t>
      </w:r>
      <w:proofErr w:type="spellEnd"/>
      <w:r w:rsidR="0022604A" w:rsidRPr="00BE516E">
        <w:rPr>
          <w:rFonts w:ascii="Times New Roman" w:hAnsi="Times New Roman" w:cs="Times New Roman"/>
          <w:sz w:val="20"/>
          <w:szCs w:val="20"/>
        </w:rPr>
        <w:t xml:space="preserve"> compound, b: Energy plot of the ensemble structures, c: Compactness (radius of gyration) plot of the compound, and d: Surface charge distribution of the post simulation structure.</w:t>
      </w:r>
    </w:p>
    <w:tbl>
      <w:tblPr>
        <w:tblStyle w:val="LightShading"/>
        <w:tblW w:w="0" w:type="auto"/>
        <w:tblLook w:val="06A0" w:firstRow="1" w:lastRow="0" w:firstColumn="1" w:lastColumn="0" w:noHBand="1" w:noVBand="1"/>
      </w:tblPr>
      <w:tblGrid>
        <w:gridCol w:w="2178"/>
        <w:gridCol w:w="1652"/>
        <w:gridCol w:w="1915"/>
        <w:gridCol w:w="1915"/>
        <w:gridCol w:w="1916"/>
      </w:tblGrid>
      <w:tr w:rsidR="00392453" w:rsidRPr="00BE516E" w:rsidTr="00723B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392453" w:rsidRPr="00BE516E" w:rsidRDefault="00392453" w:rsidP="00723B54">
            <w:pPr>
              <w:spacing w:before="100" w:beforeAutospacing="1" w:after="100" w:afterAutospacing="1" w:line="360" w:lineRule="auto"/>
              <w:jc w:val="center"/>
              <w:rPr>
                <w:rFonts w:ascii="Times New Roman" w:hAnsi="Times New Roman" w:cs="Times New Roman"/>
                <w:b w:val="0"/>
                <w:sz w:val="20"/>
                <w:szCs w:val="20"/>
              </w:rPr>
            </w:pPr>
            <w:r w:rsidRPr="00BE516E">
              <w:rPr>
                <w:rFonts w:ascii="Times New Roman" w:hAnsi="Times New Roman" w:cs="Times New Roman"/>
                <w:sz w:val="20"/>
                <w:szCs w:val="20"/>
              </w:rPr>
              <w:t>Structure</w:t>
            </w:r>
          </w:p>
        </w:tc>
        <w:tc>
          <w:tcPr>
            <w:tcW w:w="1652" w:type="dxa"/>
          </w:tcPr>
          <w:p w:rsidR="00392453" w:rsidRPr="00BE516E" w:rsidRDefault="00392453" w:rsidP="00723B54">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BE516E">
              <w:rPr>
                <w:rFonts w:ascii="Times New Roman" w:hAnsi="Times New Roman" w:cs="Times New Roman"/>
                <w:sz w:val="20"/>
                <w:szCs w:val="20"/>
              </w:rPr>
              <w:t>Volume (Å</w:t>
            </w:r>
            <w:r w:rsidRPr="00BE516E">
              <w:rPr>
                <w:rFonts w:ascii="Times New Roman" w:hAnsi="Times New Roman" w:cs="Times New Roman"/>
                <w:sz w:val="20"/>
                <w:szCs w:val="20"/>
                <w:vertAlign w:val="superscript"/>
              </w:rPr>
              <w:t>3</w:t>
            </w:r>
            <w:r w:rsidRPr="00BE516E">
              <w:rPr>
                <w:rFonts w:ascii="Times New Roman" w:hAnsi="Times New Roman" w:cs="Times New Roman"/>
                <w:sz w:val="20"/>
                <w:szCs w:val="20"/>
              </w:rPr>
              <w:t>)</w:t>
            </w:r>
          </w:p>
        </w:tc>
        <w:tc>
          <w:tcPr>
            <w:tcW w:w="1915" w:type="dxa"/>
          </w:tcPr>
          <w:p w:rsidR="00392453" w:rsidRPr="00BE516E" w:rsidRDefault="00392453" w:rsidP="00723B54">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BE516E">
              <w:rPr>
                <w:rFonts w:ascii="Times New Roman" w:hAnsi="Times New Roman" w:cs="Times New Roman"/>
                <w:sz w:val="20"/>
                <w:szCs w:val="20"/>
              </w:rPr>
              <w:t>Geometrical diameter (Å)</w:t>
            </w:r>
          </w:p>
        </w:tc>
        <w:tc>
          <w:tcPr>
            <w:tcW w:w="1915" w:type="dxa"/>
          </w:tcPr>
          <w:p w:rsidR="00392453" w:rsidRPr="00BE516E" w:rsidRDefault="00392453" w:rsidP="00723B54">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BE516E">
              <w:rPr>
                <w:rFonts w:ascii="Times New Roman" w:hAnsi="Times New Roman" w:cs="Times New Roman"/>
                <w:sz w:val="20"/>
                <w:szCs w:val="20"/>
              </w:rPr>
              <w:t>Geometrical radius (Å)</w:t>
            </w:r>
          </w:p>
        </w:tc>
        <w:tc>
          <w:tcPr>
            <w:tcW w:w="1916" w:type="dxa"/>
          </w:tcPr>
          <w:p w:rsidR="00392453" w:rsidRPr="00BE516E" w:rsidRDefault="00392453" w:rsidP="00723B54">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BE516E">
              <w:rPr>
                <w:rFonts w:ascii="Times New Roman" w:hAnsi="Times New Roman" w:cs="Times New Roman"/>
                <w:sz w:val="20"/>
                <w:szCs w:val="20"/>
              </w:rPr>
              <w:t>Geometrical shape coefficient</w:t>
            </w:r>
          </w:p>
        </w:tc>
      </w:tr>
      <w:tr w:rsidR="00392453" w:rsidRPr="00BE516E" w:rsidTr="00723B54">
        <w:tc>
          <w:tcPr>
            <w:cnfStyle w:val="001000000000" w:firstRow="0" w:lastRow="0" w:firstColumn="1" w:lastColumn="0" w:oddVBand="0" w:evenVBand="0" w:oddHBand="0" w:evenHBand="0" w:firstRowFirstColumn="0" w:firstRowLastColumn="0" w:lastRowFirstColumn="0" w:lastRowLastColumn="0"/>
            <w:tcW w:w="2178" w:type="dxa"/>
          </w:tcPr>
          <w:p w:rsidR="00392453" w:rsidRPr="00BE516E" w:rsidRDefault="00392453" w:rsidP="00723B54">
            <w:pPr>
              <w:spacing w:before="100" w:beforeAutospacing="1" w:after="100" w:afterAutospacing="1" w:line="360" w:lineRule="auto"/>
              <w:jc w:val="center"/>
              <w:rPr>
                <w:rFonts w:ascii="Times New Roman" w:hAnsi="Times New Roman" w:cs="Times New Roman"/>
                <w:sz w:val="20"/>
                <w:szCs w:val="20"/>
              </w:rPr>
            </w:pPr>
            <w:r w:rsidRPr="00BE516E">
              <w:rPr>
                <w:rFonts w:ascii="Times New Roman" w:hAnsi="Times New Roman" w:cs="Times New Roman"/>
                <w:sz w:val="20"/>
                <w:szCs w:val="20"/>
              </w:rPr>
              <w:t>Before simulation</w:t>
            </w:r>
          </w:p>
        </w:tc>
        <w:tc>
          <w:tcPr>
            <w:tcW w:w="1652" w:type="dxa"/>
          </w:tcPr>
          <w:p w:rsidR="00392453" w:rsidRPr="00BE516E" w:rsidRDefault="00392453" w:rsidP="00723B54">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4459</w:t>
            </w:r>
          </w:p>
        </w:tc>
        <w:tc>
          <w:tcPr>
            <w:tcW w:w="1915" w:type="dxa"/>
          </w:tcPr>
          <w:p w:rsidR="00392453" w:rsidRPr="00BE516E" w:rsidRDefault="00392453" w:rsidP="00723B54">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29.99</w:t>
            </w:r>
          </w:p>
        </w:tc>
        <w:tc>
          <w:tcPr>
            <w:tcW w:w="1915" w:type="dxa"/>
          </w:tcPr>
          <w:p w:rsidR="00392453" w:rsidRPr="00BE516E" w:rsidRDefault="00392453" w:rsidP="00723B54">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0.79</w:t>
            </w:r>
          </w:p>
        </w:tc>
        <w:tc>
          <w:tcPr>
            <w:tcW w:w="1916" w:type="dxa"/>
          </w:tcPr>
          <w:p w:rsidR="00392453" w:rsidRPr="00BE516E" w:rsidRDefault="00392453" w:rsidP="00723B54">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36.88</w:t>
            </w:r>
          </w:p>
        </w:tc>
      </w:tr>
      <w:tr w:rsidR="00392453" w:rsidRPr="00BE516E" w:rsidTr="00723B54">
        <w:tc>
          <w:tcPr>
            <w:cnfStyle w:val="001000000000" w:firstRow="0" w:lastRow="0" w:firstColumn="1" w:lastColumn="0" w:oddVBand="0" w:evenVBand="0" w:oddHBand="0" w:evenHBand="0" w:firstRowFirstColumn="0" w:firstRowLastColumn="0" w:lastRowFirstColumn="0" w:lastRowLastColumn="0"/>
            <w:tcW w:w="2178" w:type="dxa"/>
          </w:tcPr>
          <w:p w:rsidR="00392453" w:rsidRPr="00BE516E" w:rsidRDefault="00392453" w:rsidP="00723B54">
            <w:pPr>
              <w:spacing w:before="100" w:beforeAutospacing="1" w:after="100" w:afterAutospacing="1" w:line="360" w:lineRule="auto"/>
              <w:jc w:val="center"/>
              <w:rPr>
                <w:rFonts w:ascii="Times New Roman" w:hAnsi="Times New Roman" w:cs="Times New Roman"/>
                <w:sz w:val="20"/>
                <w:szCs w:val="20"/>
              </w:rPr>
            </w:pPr>
            <w:r w:rsidRPr="00BE516E">
              <w:rPr>
                <w:rFonts w:ascii="Times New Roman" w:hAnsi="Times New Roman" w:cs="Times New Roman"/>
                <w:sz w:val="20"/>
                <w:szCs w:val="20"/>
              </w:rPr>
              <w:t>After simulation</w:t>
            </w:r>
          </w:p>
        </w:tc>
        <w:tc>
          <w:tcPr>
            <w:tcW w:w="1652" w:type="dxa"/>
          </w:tcPr>
          <w:p w:rsidR="00392453" w:rsidRPr="00BE516E" w:rsidRDefault="00392453" w:rsidP="00723B54">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4367</w:t>
            </w:r>
          </w:p>
        </w:tc>
        <w:tc>
          <w:tcPr>
            <w:tcW w:w="1915" w:type="dxa"/>
          </w:tcPr>
          <w:p w:rsidR="00392453" w:rsidRPr="00BE516E" w:rsidRDefault="00392453" w:rsidP="00723B54">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28.79</w:t>
            </w:r>
          </w:p>
        </w:tc>
        <w:tc>
          <w:tcPr>
            <w:tcW w:w="1915" w:type="dxa"/>
          </w:tcPr>
          <w:p w:rsidR="00392453" w:rsidRPr="00BE516E" w:rsidRDefault="00392453" w:rsidP="00723B54">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0.53</w:t>
            </w:r>
          </w:p>
        </w:tc>
        <w:tc>
          <w:tcPr>
            <w:tcW w:w="1916" w:type="dxa"/>
          </w:tcPr>
          <w:p w:rsidR="00392453" w:rsidRPr="00BE516E" w:rsidRDefault="00392453" w:rsidP="00723B54">
            <w:pPr>
              <w:spacing w:before="100" w:beforeAutospacing="1" w:after="100" w:afterAutospacing="1"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E516E">
              <w:rPr>
                <w:rFonts w:ascii="Times New Roman" w:hAnsi="Times New Roman" w:cs="Times New Roman"/>
                <w:sz w:val="20"/>
                <w:szCs w:val="20"/>
              </w:rPr>
              <w:t>53.21</w:t>
            </w:r>
          </w:p>
        </w:tc>
      </w:tr>
    </w:tbl>
    <w:p w:rsidR="00392453" w:rsidRPr="00BE516E" w:rsidRDefault="00392453" w:rsidP="0022604A">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b/>
          <w:sz w:val="20"/>
          <w:szCs w:val="20"/>
        </w:rPr>
        <w:t xml:space="preserve">Table S4: </w:t>
      </w:r>
      <w:r w:rsidRPr="00BE516E">
        <w:rPr>
          <w:rFonts w:ascii="Times New Roman" w:hAnsi="Times New Roman" w:cs="Times New Roman"/>
          <w:sz w:val="20"/>
          <w:szCs w:val="20"/>
        </w:rPr>
        <w:t>Comparison of structural properties between the pre and post-simulated structures</w:t>
      </w:r>
    </w:p>
    <w:p w:rsidR="0099077E" w:rsidRPr="00BE516E" w:rsidRDefault="00A132E4" w:rsidP="0099077E">
      <w:pPr>
        <w:pStyle w:val="NoSpacing"/>
        <w:spacing w:before="100" w:beforeAutospacing="1" w:after="100" w:afterAutospacing="1" w:line="360" w:lineRule="auto"/>
        <w:jc w:val="center"/>
        <w:rPr>
          <w:rFonts w:ascii="Times New Roman" w:hAnsi="Times New Roman" w:cs="Times New Roman"/>
          <w:b/>
          <w:sz w:val="20"/>
          <w:szCs w:val="20"/>
        </w:rPr>
      </w:pPr>
      <w:r w:rsidRPr="00BE516E">
        <w:rPr>
          <w:rFonts w:ascii="Times New Roman" w:eastAsia="Calibri" w:hAnsi="Times New Roman" w:cs="Times New Roman"/>
          <w:noProof/>
          <w:sz w:val="20"/>
          <w:szCs w:val="20"/>
        </w:rPr>
        <w:lastRenderedPageBreak/>
        <w:drawing>
          <wp:inline distT="0" distB="0" distL="0" distR="0" wp14:anchorId="68C08F7B" wp14:editId="3E4D46B0">
            <wp:extent cx="3627120" cy="23469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27120" cy="2346960"/>
                    </a:xfrm>
                    <a:prstGeom prst="rect">
                      <a:avLst/>
                    </a:prstGeom>
                    <a:noFill/>
                  </pic:spPr>
                </pic:pic>
              </a:graphicData>
            </a:graphic>
          </wp:inline>
        </w:drawing>
      </w:r>
    </w:p>
    <w:p w:rsidR="004660B6" w:rsidRPr="00BE516E" w:rsidRDefault="001E4313" w:rsidP="0099077E">
      <w:pPr>
        <w:pStyle w:val="NoSpacing"/>
        <w:spacing w:before="100" w:beforeAutospacing="1" w:after="100" w:afterAutospacing="1" w:line="360" w:lineRule="auto"/>
        <w:jc w:val="both"/>
        <w:rPr>
          <w:rFonts w:ascii="Times New Roman" w:hAnsi="Times New Roman" w:cs="Times New Roman"/>
          <w:sz w:val="20"/>
          <w:szCs w:val="20"/>
        </w:rPr>
      </w:pPr>
      <w:proofErr w:type="gramStart"/>
      <w:r>
        <w:rPr>
          <w:rFonts w:ascii="Times New Roman" w:hAnsi="Times New Roman" w:cs="Times New Roman"/>
          <w:b/>
          <w:sz w:val="20"/>
          <w:szCs w:val="20"/>
        </w:rPr>
        <w:t>Fig.</w:t>
      </w:r>
      <w:proofErr w:type="gramEnd"/>
      <w:r w:rsidR="00664826">
        <w:rPr>
          <w:rFonts w:ascii="Times New Roman" w:hAnsi="Times New Roman" w:cs="Times New Roman"/>
          <w:b/>
          <w:sz w:val="20"/>
          <w:szCs w:val="20"/>
        </w:rPr>
        <w:t xml:space="preserve"> S9</w:t>
      </w:r>
      <w:r w:rsidR="0099077E" w:rsidRPr="00BE516E">
        <w:rPr>
          <w:rFonts w:ascii="Times New Roman" w:hAnsi="Times New Roman" w:cs="Times New Roman"/>
          <w:b/>
          <w:sz w:val="20"/>
          <w:szCs w:val="20"/>
        </w:rPr>
        <w:t>.</w:t>
      </w:r>
      <w:r w:rsidR="00C76FA1" w:rsidRPr="00BE516E">
        <w:rPr>
          <w:rFonts w:ascii="Times New Roman" w:hAnsi="Times New Roman" w:cs="Times New Roman"/>
          <w:b/>
          <w:sz w:val="20"/>
          <w:szCs w:val="20"/>
        </w:rPr>
        <w:t xml:space="preserve"> </w:t>
      </w:r>
      <w:r w:rsidR="00A132E4" w:rsidRPr="00BE516E">
        <w:rPr>
          <w:rFonts w:ascii="Times New Roman" w:hAnsi="Times New Roman" w:cs="Times New Roman"/>
          <w:bCs/>
          <w:sz w:val="20"/>
          <w:szCs w:val="20"/>
        </w:rPr>
        <w:t>Distance between the interacting interface of fibril structure of A</w:t>
      </w:r>
      <w:r w:rsidR="00A132E4" w:rsidRPr="00BE516E">
        <w:rPr>
          <w:rFonts w:ascii="Times New Roman" w:hAnsi="Times New Roman" w:cs="Times New Roman"/>
          <w:bCs/>
          <w:i/>
          <w:sz w:val="20"/>
          <w:szCs w:val="20"/>
        </w:rPr>
        <w:t>β</w:t>
      </w:r>
      <w:r w:rsidR="00A132E4" w:rsidRPr="00BE516E">
        <w:rPr>
          <w:rFonts w:ascii="Times New Roman" w:hAnsi="Times New Roman" w:cs="Times New Roman"/>
          <w:bCs/>
          <w:sz w:val="20"/>
          <w:szCs w:val="20"/>
          <w:vertAlign w:val="subscript"/>
        </w:rPr>
        <w:t>42</w:t>
      </w:r>
      <w:r w:rsidR="00A132E4" w:rsidRPr="00BE516E">
        <w:rPr>
          <w:rFonts w:ascii="Times New Roman" w:hAnsi="Times New Roman" w:cs="Times New Roman"/>
          <w:bCs/>
          <w:sz w:val="20"/>
          <w:szCs w:val="20"/>
        </w:rPr>
        <w:t xml:space="preserve"> peptide (PDB ID: 5KK3) in pre and post molecular dynamics simulation. </w:t>
      </w:r>
      <w:r w:rsidR="00A132E4" w:rsidRPr="00BE516E">
        <w:rPr>
          <w:rFonts w:ascii="Times New Roman" w:hAnsi="Times New Roman" w:cs="Times New Roman"/>
          <w:sz w:val="20"/>
          <w:szCs w:val="20"/>
        </w:rPr>
        <w:t xml:space="preserve">Centers of mass of the interface forming  9 + 9 chain units (chain A-I and chain J-R, respectively) of </w:t>
      </w:r>
      <w:r w:rsidR="00A132E4" w:rsidRPr="00BE516E">
        <w:rPr>
          <w:rFonts w:ascii="Times New Roman" w:hAnsi="Times New Roman" w:cs="Times New Roman"/>
          <w:bCs/>
          <w:sz w:val="20"/>
          <w:szCs w:val="20"/>
        </w:rPr>
        <w:t>A</w:t>
      </w:r>
      <w:r w:rsidR="00A132E4" w:rsidRPr="00BE516E">
        <w:rPr>
          <w:rFonts w:ascii="Times New Roman" w:hAnsi="Times New Roman" w:cs="Times New Roman"/>
          <w:bCs/>
          <w:i/>
          <w:sz w:val="20"/>
          <w:szCs w:val="20"/>
        </w:rPr>
        <w:t>β</w:t>
      </w:r>
      <w:r w:rsidR="00A132E4" w:rsidRPr="00BE516E">
        <w:rPr>
          <w:rFonts w:ascii="Times New Roman" w:hAnsi="Times New Roman" w:cs="Times New Roman"/>
          <w:bCs/>
          <w:sz w:val="20"/>
          <w:szCs w:val="20"/>
          <w:vertAlign w:val="subscript"/>
        </w:rPr>
        <w:t>42</w:t>
      </w:r>
      <w:r w:rsidR="00A132E4" w:rsidRPr="00BE516E">
        <w:rPr>
          <w:rFonts w:ascii="Times New Roman" w:hAnsi="Times New Roman" w:cs="Times New Roman"/>
          <w:sz w:val="20"/>
          <w:szCs w:val="20"/>
        </w:rPr>
        <w:t xml:space="preserve"> fibril structure were calculated and their respective distances were calculated and compared for pre and post MD simulation (0</w:t>
      </w:r>
      <w:r w:rsidR="00A132E4" w:rsidRPr="00BE516E">
        <w:rPr>
          <w:rFonts w:ascii="Times New Roman" w:hAnsi="Times New Roman" w:cs="Times New Roman"/>
          <w:sz w:val="20"/>
          <w:szCs w:val="20"/>
          <w:vertAlign w:val="superscript"/>
        </w:rPr>
        <w:t>th</w:t>
      </w:r>
      <w:r w:rsidR="00A132E4" w:rsidRPr="00BE516E">
        <w:rPr>
          <w:rFonts w:ascii="Times New Roman" w:hAnsi="Times New Roman" w:cs="Times New Roman"/>
          <w:sz w:val="20"/>
          <w:szCs w:val="20"/>
        </w:rPr>
        <w:t xml:space="preserve"> and 100</w:t>
      </w:r>
      <w:r w:rsidR="00A132E4" w:rsidRPr="00BE516E">
        <w:rPr>
          <w:rFonts w:ascii="Times New Roman" w:hAnsi="Times New Roman" w:cs="Times New Roman"/>
          <w:sz w:val="20"/>
          <w:szCs w:val="20"/>
          <w:vertAlign w:val="superscript"/>
        </w:rPr>
        <w:t>th</w:t>
      </w:r>
      <w:r w:rsidR="00A132E4" w:rsidRPr="00BE516E">
        <w:rPr>
          <w:rFonts w:ascii="Times New Roman" w:hAnsi="Times New Roman" w:cs="Times New Roman"/>
          <w:sz w:val="20"/>
          <w:szCs w:val="20"/>
        </w:rPr>
        <w:t xml:space="preserve"> ns structures). Distance trajectories are shown in blue color for simulation without ligand (blues) while in orange, grey, yellow, cyan, green, and purple color ligands were placed near chain </w:t>
      </w:r>
      <w:proofErr w:type="gramStart"/>
      <w:r w:rsidR="00A132E4" w:rsidRPr="00BE516E">
        <w:rPr>
          <w:rFonts w:ascii="Times New Roman" w:hAnsi="Times New Roman" w:cs="Times New Roman"/>
          <w:sz w:val="20"/>
          <w:szCs w:val="20"/>
        </w:rPr>
        <w:t>A</w:t>
      </w:r>
      <w:proofErr w:type="gramEnd"/>
      <w:r w:rsidR="00A132E4" w:rsidRPr="00BE516E">
        <w:rPr>
          <w:rFonts w:ascii="Times New Roman" w:hAnsi="Times New Roman" w:cs="Times New Roman"/>
          <w:sz w:val="20"/>
          <w:szCs w:val="20"/>
        </w:rPr>
        <w:t xml:space="preserve">, chain R, chain J, chain I, upper side, lower side, respectively. </w:t>
      </w:r>
      <w:r w:rsidR="00A132E4" w:rsidRPr="00BE516E">
        <w:rPr>
          <w:rFonts w:ascii="Times New Roman" w:hAnsi="Times New Roman" w:cs="Times New Roman"/>
          <w:bCs/>
          <w:sz w:val="20"/>
          <w:szCs w:val="20"/>
        </w:rPr>
        <w:t>A</w:t>
      </w:r>
      <w:r w:rsidR="00A132E4" w:rsidRPr="00BE516E">
        <w:rPr>
          <w:rFonts w:ascii="Times New Roman" w:hAnsi="Times New Roman" w:cs="Times New Roman"/>
          <w:bCs/>
          <w:i/>
          <w:sz w:val="20"/>
          <w:szCs w:val="20"/>
        </w:rPr>
        <w:t>β</w:t>
      </w:r>
      <w:r w:rsidR="00A132E4" w:rsidRPr="00BE516E">
        <w:rPr>
          <w:rFonts w:ascii="Times New Roman" w:hAnsi="Times New Roman" w:cs="Times New Roman"/>
          <w:bCs/>
          <w:sz w:val="20"/>
          <w:szCs w:val="20"/>
          <w:vertAlign w:val="subscript"/>
        </w:rPr>
        <w:t>42</w:t>
      </w:r>
      <w:r w:rsidR="00A132E4" w:rsidRPr="00BE516E">
        <w:rPr>
          <w:rFonts w:ascii="Times New Roman" w:hAnsi="Times New Roman" w:cs="Times New Roman"/>
          <w:sz w:val="20"/>
          <w:szCs w:val="20"/>
        </w:rPr>
        <w:t xml:space="preserve"> fibril structure (5KK3) and the ligand (</w:t>
      </w:r>
      <w:proofErr w:type="spellStart"/>
      <w:r w:rsidR="00A132E4" w:rsidRPr="00BE516E">
        <w:rPr>
          <w:rFonts w:ascii="Times New Roman" w:hAnsi="Times New Roman" w:cs="Times New Roman"/>
          <w:sz w:val="20"/>
          <w:szCs w:val="20"/>
        </w:rPr>
        <w:t>PEGylated</w:t>
      </w:r>
      <w:proofErr w:type="spellEnd"/>
      <w:r w:rsidR="00A132E4" w:rsidRPr="00BE516E">
        <w:rPr>
          <w:rFonts w:ascii="Times New Roman" w:hAnsi="Times New Roman" w:cs="Times New Roman"/>
          <w:sz w:val="20"/>
          <w:szCs w:val="20"/>
        </w:rPr>
        <w:t xml:space="preserve"> compound) are shown in cartoon and stick representations, respectively.</w:t>
      </w:r>
    </w:p>
    <w:p w:rsidR="00097C68" w:rsidRPr="00BE516E" w:rsidRDefault="00097C68" w:rsidP="00097C68">
      <w:pPr>
        <w:spacing w:after="0" w:line="360" w:lineRule="auto"/>
        <w:jc w:val="both"/>
        <w:rPr>
          <w:rFonts w:ascii="Times New Roman" w:hAnsi="Times New Roman" w:cs="Times New Roman"/>
          <w:sz w:val="20"/>
          <w:szCs w:val="20"/>
        </w:rPr>
      </w:pPr>
      <w:r w:rsidRPr="00BE516E">
        <w:rPr>
          <w:rFonts w:ascii="Times New Roman" w:hAnsi="Times New Roman" w:cs="Times New Roman"/>
          <w:b/>
          <w:sz w:val="20"/>
          <w:szCs w:val="20"/>
        </w:rPr>
        <w:t>Experimental Procedure</w:t>
      </w:r>
    </w:p>
    <w:p w:rsidR="00103866" w:rsidRPr="00BE516E" w:rsidRDefault="00103866" w:rsidP="00097C68">
      <w:pPr>
        <w:autoSpaceDE w:val="0"/>
        <w:autoSpaceDN w:val="0"/>
        <w:adjustRightInd w:val="0"/>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 xml:space="preserve">Synthesis and characterization of fluorescein </w:t>
      </w:r>
      <w:proofErr w:type="spellStart"/>
      <w:r w:rsidRPr="00BE516E">
        <w:rPr>
          <w:rFonts w:ascii="Times New Roman" w:hAnsi="Times New Roman" w:cs="Times New Roman"/>
          <w:b/>
          <w:sz w:val="20"/>
          <w:szCs w:val="20"/>
        </w:rPr>
        <w:t>isothiocyanate</w:t>
      </w:r>
      <w:proofErr w:type="spellEnd"/>
      <w:r w:rsidRPr="00BE516E">
        <w:rPr>
          <w:rFonts w:ascii="Times New Roman" w:hAnsi="Times New Roman" w:cs="Times New Roman"/>
          <w:b/>
          <w:sz w:val="20"/>
          <w:szCs w:val="20"/>
        </w:rPr>
        <w:t xml:space="preserve"> (FITC) functionalized block copolymer PEG-</w:t>
      </w:r>
      <w:r w:rsidRPr="00BE516E">
        <w:rPr>
          <w:rFonts w:ascii="Times New Roman" w:hAnsi="Times New Roman" w:cs="Times New Roman"/>
          <w:b/>
          <w:i/>
          <w:sz w:val="20"/>
          <w:szCs w:val="20"/>
        </w:rPr>
        <w:t>b</w:t>
      </w:r>
      <w:r w:rsidRPr="00BE516E">
        <w:rPr>
          <w:rFonts w:ascii="Times New Roman" w:hAnsi="Times New Roman" w:cs="Times New Roman"/>
          <w:b/>
          <w:sz w:val="20"/>
          <w:szCs w:val="20"/>
        </w:rPr>
        <w:t>-</w:t>
      </w:r>
      <w:proofErr w:type="gramStart"/>
      <w:r w:rsidRPr="00BE516E">
        <w:rPr>
          <w:rFonts w:ascii="Times New Roman" w:hAnsi="Times New Roman" w:cs="Times New Roman"/>
          <w:b/>
          <w:sz w:val="20"/>
          <w:szCs w:val="20"/>
        </w:rPr>
        <w:t>P(</w:t>
      </w:r>
      <w:proofErr w:type="gramEnd"/>
      <w:r w:rsidRPr="00BE516E">
        <w:rPr>
          <w:rFonts w:ascii="Times New Roman" w:hAnsi="Times New Roman" w:cs="Times New Roman"/>
          <w:b/>
          <w:sz w:val="20"/>
          <w:szCs w:val="20"/>
        </w:rPr>
        <w:t>LVF-HEMA)</w:t>
      </w:r>
    </w:p>
    <w:p w:rsidR="00103866" w:rsidRPr="00BE516E" w:rsidRDefault="00103866" w:rsidP="00103866">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A typical reversible addition-fragmentation chain transfer (RAFT) polymerization reaction was carried out with the starting material </w:t>
      </w:r>
      <w:proofErr w:type="spellStart"/>
      <w:r w:rsidRPr="00BE516E">
        <w:rPr>
          <w:rFonts w:ascii="Times New Roman" w:hAnsi="Times New Roman" w:cs="Times New Roman"/>
          <w:sz w:val="20"/>
          <w:szCs w:val="20"/>
        </w:rPr>
        <w:t>tert-butyloxycarbonyl</w:t>
      </w:r>
      <w:proofErr w:type="spellEnd"/>
      <w:r w:rsidRPr="00BE516E">
        <w:rPr>
          <w:rFonts w:ascii="Times New Roman" w:hAnsi="Times New Roman" w:cs="Times New Roman"/>
          <w:sz w:val="20"/>
          <w:szCs w:val="20"/>
        </w:rPr>
        <w:t xml:space="preserve"> (</w:t>
      </w:r>
      <w:proofErr w:type="spellStart"/>
      <w:r w:rsidRPr="00BE516E">
        <w:rPr>
          <w:rFonts w:ascii="Times New Roman" w:hAnsi="Times New Roman" w:cs="Times New Roman"/>
          <w:sz w:val="20"/>
          <w:szCs w:val="20"/>
        </w:rPr>
        <w:t>Boc</w:t>
      </w:r>
      <w:proofErr w:type="spellEnd"/>
      <w:r w:rsidRPr="00BE516E">
        <w:rPr>
          <w:rFonts w:ascii="Times New Roman" w:hAnsi="Times New Roman" w:cs="Times New Roman"/>
          <w:sz w:val="20"/>
          <w:szCs w:val="20"/>
        </w:rPr>
        <w:t xml:space="preserve">)-protected </w:t>
      </w:r>
      <w:proofErr w:type="spellStart"/>
      <w:r w:rsidRPr="00BE516E">
        <w:rPr>
          <w:rFonts w:ascii="Times New Roman" w:hAnsi="Times New Roman" w:cs="Times New Roman"/>
          <w:sz w:val="20"/>
          <w:szCs w:val="20"/>
        </w:rPr>
        <w:t>leucine</w:t>
      </w:r>
      <w:proofErr w:type="spellEnd"/>
      <w:r w:rsidRPr="00BE516E">
        <w:rPr>
          <w:rFonts w:ascii="Times New Roman" w:hAnsi="Times New Roman" w:cs="Times New Roman"/>
          <w:sz w:val="20"/>
          <w:szCs w:val="20"/>
        </w:rPr>
        <w:t>-</w:t>
      </w:r>
      <w:proofErr w:type="spellStart"/>
      <w:r w:rsidRPr="00BE516E">
        <w:rPr>
          <w:rFonts w:ascii="Times New Roman" w:hAnsi="Times New Roman" w:cs="Times New Roman"/>
          <w:sz w:val="20"/>
          <w:szCs w:val="20"/>
        </w:rPr>
        <w:t>valine</w:t>
      </w:r>
      <w:proofErr w:type="spellEnd"/>
      <w:r w:rsidRPr="00BE516E">
        <w:rPr>
          <w:rFonts w:ascii="Times New Roman" w:hAnsi="Times New Roman" w:cs="Times New Roman"/>
          <w:sz w:val="20"/>
          <w:szCs w:val="20"/>
        </w:rPr>
        <w:t xml:space="preserve">-phenylalanine (LVF)-ethyl methacrylate (EMA) (1 g, 1.69 </w:t>
      </w:r>
      <w:proofErr w:type="spellStart"/>
      <w:r w:rsidRPr="00BE516E">
        <w:rPr>
          <w:rFonts w:ascii="Times New Roman" w:hAnsi="Times New Roman" w:cs="Times New Roman"/>
          <w:sz w:val="20"/>
          <w:szCs w:val="20"/>
        </w:rPr>
        <w:t>mmol</w:t>
      </w:r>
      <w:proofErr w:type="spellEnd"/>
      <w:r w:rsidRPr="00BE516E">
        <w:rPr>
          <w:rFonts w:ascii="Times New Roman" w:hAnsi="Times New Roman" w:cs="Times New Roman"/>
          <w:sz w:val="20"/>
          <w:szCs w:val="20"/>
        </w:rPr>
        <w:t xml:space="preserve">), polyethylene glycol- </w:t>
      </w:r>
      <w:proofErr w:type="spellStart"/>
      <w:r w:rsidRPr="00BE516E">
        <w:rPr>
          <w:rFonts w:ascii="Times New Roman" w:hAnsi="Times New Roman" w:cs="Times New Roman"/>
          <w:sz w:val="20"/>
          <w:szCs w:val="20"/>
        </w:rPr>
        <w:t>cyclodextrin</w:t>
      </w:r>
      <w:proofErr w:type="spellEnd"/>
      <w:r w:rsidRPr="00BE516E">
        <w:rPr>
          <w:rFonts w:ascii="Times New Roman" w:hAnsi="Times New Roman" w:cs="Times New Roman"/>
          <w:sz w:val="20"/>
          <w:szCs w:val="20"/>
        </w:rPr>
        <w:t xml:space="preserve"> polymers (PEG</w:t>
      </w:r>
      <w:r w:rsidRPr="00BE516E">
        <w:rPr>
          <w:rFonts w:ascii="Times New Roman" w:hAnsi="Times New Roman" w:cs="Times New Roman"/>
          <w:sz w:val="20"/>
          <w:szCs w:val="20"/>
          <w:vertAlign w:val="subscript"/>
        </w:rPr>
        <w:t>5K</w:t>
      </w:r>
      <w:r w:rsidRPr="00BE516E">
        <w:rPr>
          <w:rFonts w:ascii="Times New Roman" w:hAnsi="Times New Roman" w:cs="Times New Roman"/>
          <w:sz w:val="20"/>
          <w:szCs w:val="20"/>
        </w:rPr>
        <w:t xml:space="preserve">-CDP) (458.20 mg, 0.08 </w:t>
      </w:r>
      <w:proofErr w:type="spellStart"/>
      <w:r w:rsidRPr="00BE516E">
        <w:rPr>
          <w:rFonts w:ascii="Times New Roman" w:hAnsi="Times New Roman" w:cs="Times New Roman"/>
          <w:sz w:val="20"/>
          <w:szCs w:val="20"/>
        </w:rPr>
        <w:t>mmol</w:t>
      </w:r>
      <w:proofErr w:type="spellEnd"/>
      <w:r w:rsidRPr="00BE516E">
        <w:rPr>
          <w:rFonts w:ascii="Times New Roman" w:hAnsi="Times New Roman" w:cs="Times New Roman"/>
          <w:sz w:val="20"/>
          <w:szCs w:val="20"/>
        </w:rPr>
        <w:t xml:space="preserve">), </w:t>
      </w:r>
      <w:proofErr w:type="spellStart"/>
      <w:r w:rsidRPr="00BE516E">
        <w:rPr>
          <w:rFonts w:ascii="Times New Roman" w:hAnsi="Times New Roman" w:cs="Times New Roman"/>
          <w:sz w:val="20"/>
          <w:szCs w:val="20"/>
        </w:rPr>
        <w:t>azobisisobutyronitrile</w:t>
      </w:r>
      <w:proofErr w:type="spellEnd"/>
      <w:r w:rsidRPr="00BE516E">
        <w:rPr>
          <w:rFonts w:ascii="Times New Roman" w:hAnsi="Times New Roman" w:cs="Times New Roman"/>
          <w:sz w:val="20"/>
          <w:szCs w:val="20"/>
        </w:rPr>
        <w:t xml:space="preserve"> (AIBN) (1.4 mg, 8.52 </w:t>
      </w:r>
      <w:proofErr w:type="spellStart"/>
      <w:r w:rsidRPr="00BE516E">
        <w:rPr>
          <w:rFonts w:ascii="Times New Roman" w:hAnsi="Times New Roman" w:cs="Times New Roman"/>
          <w:sz w:val="20"/>
          <w:szCs w:val="20"/>
        </w:rPr>
        <w:t>μmol</w:t>
      </w:r>
      <w:proofErr w:type="spellEnd"/>
      <w:r w:rsidRPr="00BE516E">
        <w:rPr>
          <w:rFonts w:ascii="Times New Roman" w:hAnsi="Times New Roman" w:cs="Times New Roman"/>
          <w:sz w:val="20"/>
          <w:szCs w:val="20"/>
        </w:rPr>
        <w:t xml:space="preserve">), and </w:t>
      </w:r>
      <w:proofErr w:type="spellStart"/>
      <w:r w:rsidRPr="00BE516E">
        <w:rPr>
          <w:rFonts w:ascii="Times New Roman" w:hAnsi="Times New Roman" w:cs="Times New Roman"/>
          <w:sz w:val="20"/>
          <w:szCs w:val="20"/>
        </w:rPr>
        <w:t>dimethylformamide</w:t>
      </w:r>
      <w:proofErr w:type="spellEnd"/>
      <w:r w:rsidRPr="00BE516E">
        <w:rPr>
          <w:rFonts w:ascii="Times New Roman" w:hAnsi="Times New Roman" w:cs="Times New Roman"/>
          <w:sz w:val="20"/>
          <w:szCs w:val="20"/>
        </w:rPr>
        <w:t xml:space="preserve"> (DMF) (5.8 g) taken in a septa sealed vial and following the protocol reported elsewhere </w:t>
      </w:r>
      <w:r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{"citationItems":[{"id":"ITEM-1","itemData":{"DOI":"10.1007/s12035-019-1542-1","ISSN":"1559-1182","abstract":"The amyloid cascade hypothesis dealing with the senile plaques is until date thought to be one of the causative pathways leading to the pathophysiology of Alzheimer’s disease (AD). Though many aggregation inhibitors of misfolded amyloid beta (Aβ42) peptide have failed in clinical trials, there are some positive aspects of the designed therapeutic peptides for diseases involving proteinaceous aggregation. Here, we evaluated a smart design of side chain tripeptide (Leu-Val-Phe)-based polymeric inhibitor addressing the fundamental hydrophobic amino acid stretch “Lys-Leu-Val-Phe-Phe-Ala” (KLVFFA) of the Aβ42 peptide. The in vitro analyses performed through the thioflavin T (ThT) fluorescence assay, infrared spectroscopy, isothermal calorimetry, cytotoxicity experiments, and so on evinced a promising path towards the development of new age AD therapeutics targeting the inhibition of misfolded Aβ42 peptide fibrillization. The in silico simulations done contoured the mechanism of drug action of the present block copolymer as the competitive inhibition of aggregate-prone hydrophobic stretch of Aβ42.","author":[{"dropping-particle":"","family":"Som Chaudhury","given":"Sutapa","non-dropping-particle":"","parse-names":false,"suffix":""},{"dropping-particle":"","family":"Sannigrahi","given":"Achinta","non-dropping-particle":"","parse-names":false,"suffix":""},{"dropping-particle":"","family":"Nandi","given":"Mridula","non-dropping-particle":"","parse-names":false,"suffix":""},{"dropping-particle":"","family":"Mishra","given":"Vipin K","non-dropping-particle":"","parse-names":false,"suffix":""},{"dropping-particle":"","family":"De","given":"Priyadarsi","non-dropping-particle":"","parse-names":false,"suffix":""},{"dropping-particle":"","family":"Chattopadhyay","given":"Krishnananda","non-dropping-particle":"","parse-names":false,"suffix":""},{"dropping-particle":"","family":"Mishra","given":"Sabyashachi","non-dropping-particle":"","parse-names":false,"suffix":""},{"dropping-particle":"","family":"Sil","given":"Jaya","non-dropping-particle":"","parse-names":false,"suffix":""},{"dropping-particle":"","family":"Mukhopadhyay","given":"Chitrangada","non-dropping-particle":"Das","parse-names":false,"suffix":""}],"container-title":"Molecular Neurobiology","id":"ITEM-1","issue":"9","issued":{"date-parts":[["2019"]]},"page":"6551-6565","title":"A Novel PEGylated Block Copolymer in New Age Therapeutics for Alzheimer’s Disease","type":"article-journal","volume":"56"},"uris":["http://www.mendeley.com/documents/?uuid=d62e5a45-39c8-48f9-a636-0392c9a5dd88"]},{"id":"ITEM-2","itemData":{"DOI":"10.1039/C4PY00620H","abstract":"A strategy is documented that exploits the controlled synthesis of side-chain peptide based stimuli-responsive hybrid macromolecules inspired by amyloid based β-sheet forming peptides. Well-defined side-chain peptidic polymers have been synthesized via the reversible addition–fragmentation chain transfer (RAFT) polymerization technique using a representative methacrylate monomer with a short peptide segment (Leu-Val-Phe) corresponding to the amyloid β-peptide Aβ1–42. Furthermore{,} the monomethoxy poly(ethylene glycol) (mPEG) macro-chain transfer agent is employed for RAFT polymerization of this peptidic monomer to prepare peptide based amphiphilic nano-carriers{,} a promising reservoir for hydrophobic Nile red dye or doxorubicin based anticancer drug molecules. These hybrid materials can easily produce primary amino groups in terminals of side-chains that can be protonated or deprotonated by changing the pH of the aqueous medium{,} thus providing “smart” pH-responsiveness{,} cationic characteristics and complexation capabilities with DNA to form polyplexes. Circular dichroism (CD) spectroscopy demonstrates the formation of a secondary structure from these peptidic polymers and they adopted the β-sheet conformation{,} which were stable against heat in the experimental temperature range and solvent polarity. Solid-state FT-IR spectroscopy has been performed to understand the formation of β-sheets as well as to distinguish between their parallel and antiparallel propensity. In vitro cytotoxicity testing indicates the biocompatible nature of these peptidic materials{,} and confocal laser scanning microscopy (CLSM) images revealed cellular uptake of their drug/dye loaded micelles{,} which potentially offers them as a suitable candidate with dual bioapplications for drug delivery as well as gene transfer.","author":[{"dropping-particle":"","family":"Kumar","given":"Sonu","non-dropping-particle":"","parse-names":false,"suffix":""},{"dropping-particle":"","family":"Acharya","given":"Rituparna","non-dropping-particle":"","parse-names":false,"suffix":""},{"dropping-particle":"","family":"Chatterji","given":"Urmi","non-dropping-particle":"","parse-names":false,"suffix":""},{"dropping-particle":"","family":"De","given":"Priyadarsi","non-dropping-particle":"","parse-names":false,"suffix":""}],"container-title":"Polym. Chem.","id":"ITEM-2","issue":"20","issued":{"date-parts":[["2014"]]},"page":"6039-6050","publisher":"The Royal Society of Chemistry","title":"Controlled synthesis of β-sheet polymers based on side-chain amyloidogenic short peptide segments via RAFT polymerization","type":"article-journal","volume":"5"},"uris":["http://www.mendeley.com/documents/?uuid=cffdd5dc-cbee-4ecf-8c69-3bd95cd6ca8a"]}],"mendeley":{"formattedCitation":"[2, 3]","plainTextFormattedCitation":"[2, 3]","previouslyFormattedCitation":"[2, 3]"},"properties":{"noteIndex":0},"schema":"https://github.com/citation-style-language/schema/raw/master/csl-citation.json"}</w:instrText>
      </w:r>
      <w:r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[2, 3]</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 xml:space="preserve">. For the </w:t>
      </w:r>
      <w:proofErr w:type="spellStart"/>
      <w:r w:rsidRPr="00BE516E">
        <w:rPr>
          <w:rFonts w:ascii="Times New Roman" w:hAnsi="Times New Roman" w:cs="Times New Roman"/>
          <w:sz w:val="20"/>
          <w:szCs w:val="20"/>
        </w:rPr>
        <w:t>deprotection</w:t>
      </w:r>
      <w:proofErr w:type="spellEnd"/>
      <w:r w:rsidRPr="00BE516E">
        <w:rPr>
          <w:rFonts w:ascii="Times New Roman" w:hAnsi="Times New Roman" w:cs="Times New Roman"/>
          <w:sz w:val="20"/>
          <w:szCs w:val="20"/>
        </w:rPr>
        <w:t xml:space="preserve"> of the </w:t>
      </w:r>
      <w:proofErr w:type="spellStart"/>
      <w:r w:rsidRPr="00BE516E">
        <w:rPr>
          <w:rFonts w:ascii="Times New Roman" w:hAnsi="Times New Roman" w:cs="Times New Roman"/>
          <w:sz w:val="20"/>
          <w:szCs w:val="20"/>
        </w:rPr>
        <w:t>boc</w:t>
      </w:r>
      <w:proofErr w:type="spellEnd"/>
      <w:r w:rsidRPr="00BE516E">
        <w:rPr>
          <w:rFonts w:ascii="Times New Roman" w:hAnsi="Times New Roman" w:cs="Times New Roman"/>
          <w:sz w:val="20"/>
          <w:szCs w:val="20"/>
        </w:rPr>
        <w:t xml:space="preserve"> group, the resulting 1.02 g </w:t>
      </w:r>
      <w:proofErr w:type="spellStart"/>
      <w:r w:rsidRPr="00BE516E">
        <w:rPr>
          <w:rFonts w:ascii="Times New Roman" w:hAnsi="Times New Roman" w:cs="Times New Roman"/>
          <w:sz w:val="20"/>
          <w:szCs w:val="20"/>
        </w:rPr>
        <w:t>boc</w:t>
      </w:r>
      <w:proofErr w:type="spellEnd"/>
      <w:r w:rsidRPr="00BE516E">
        <w:rPr>
          <w:rFonts w:ascii="Times New Roman" w:hAnsi="Times New Roman" w:cs="Times New Roman"/>
          <w:sz w:val="20"/>
          <w:szCs w:val="20"/>
        </w:rPr>
        <w:t>-protected polymer PEG-</w:t>
      </w:r>
      <w:r w:rsidRPr="00BE516E">
        <w:rPr>
          <w:rFonts w:ascii="Times New Roman" w:hAnsi="Times New Roman" w:cs="Times New Roman"/>
          <w:i/>
          <w:sz w:val="20"/>
          <w:szCs w:val="20"/>
        </w:rPr>
        <w:t>b</w:t>
      </w:r>
      <w:r w:rsidRPr="00BE516E">
        <w:rPr>
          <w:rFonts w:ascii="Times New Roman" w:hAnsi="Times New Roman" w:cs="Times New Roman"/>
          <w:sz w:val="20"/>
          <w:szCs w:val="20"/>
        </w:rPr>
        <w:t>-</w:t>
      </w:r>
      <w:proofErr w:type="gramStart"/>
      <w:r w:rsidRPr="00BE516E">
        <w:rPr>
          <w:rFonts w:ascii="Times New Roman" w:hAnsi="Times New Roman" w:cs="Times New Roman"/>
          <w:sz w:val="20"/>
          <w:szCs w:val="20"/>
        </w:rPr>
        <w:t>P(</w:t>
      </w:r>
      <w:proofErr w:type="spellStart"/>
      <w:proofErr w:type="gramEnd"/>
      <w:r w:rsidRPr="00BE516E">
        <w:rPr>
          <w:rFonts w:ascii="Times New Roman" w:hAnsi="Times New Roman" w:cs="Times New Roman"/>
          <w:sz w:val="20"/>
          <w:szCs w:val="20"/>
        </w:rPr>
        <w:t>Boc</w:t>
      </w:r>
      <w:proofErr w:type="spellEnd"/>
      <w:r w:rsidRPr="00BE516E">
        <w:rPr>
          <w:rFonts w:ascii="Times New Roman" w:hAnsi="Times New Roman" w:cs="Times New Roman"/>
          <w:sz w:val="20"/>
          <w:szCs w:val="20"/>
        </w:rPr>
        <w:t xml:space="preserve">-LVF-EMA) was dissolved in 10 ml dichloromethane (DCM) with 9 ml </w:t>
      </w:r>
      <w:proofErr w:type="spellStart"/>
      <w:r w:rsidRPr="00BE516E">
        <w:rPr>
          <w:rFonts w:ascii="Times New Roman" w:hAnsi="Times New Roman" w:cs="Times New Roman"/>
          <w:sz w:val="20"/>
          <w:szCs w:val="20"/>
        </w:rPr>
        <w:t>trifluoroacetic</w:t>
      </w:r>
      <w:proofErr w:type="spellEnd"/>
      <w:r w:rsidRPr="00BE516E">
        <w:rPr>
          <w:rFonts w:ascii="Times New Roman" w:hAnsi="Times New Roman" w:cs="Times New Roman"/>
          <w:sz w:val="20"/>
          <w:szCs w:val="20"/>
        </w:rPr>
        <w:t xml:space="preserve"> acid (TFA) slowly added to it in stirring condition for 5 h at room temperature. The </w:t>
      </w:r>
      <w:proofErr w:type="spellStart"/>
      <w:r w:rsidRPr="00BE516E">
        <w:rPr>
          <w:rFonts w:ascii="Times New Roman" w:hAnsi="Times New Roman" w:cs="Times New Roman"/>
          <w:sz w:val="20"/>
          <w:szCs w:val="20"/>
        </w:rPr>
        <w:t>deprotected</w:t>
      </w:r>
      <w:proofErr w:type="spellEnd"/>
      <w:r w:rsidRPr="00BE516E">
        <w:rPr>
          <w:rFonts w:ascii="Times New Roman" w:hAnsi="Times New Roman" w:cs="Times New Roman"/>
          <w:sz w:val="20"/>
          <w:szCs w:val="20"/>
        </w:rPr>
        <w:t xml:space="preserve"> polymer PEG-</w:t>
      </w:r>
      <w:r w:rsidRPr="00BE516E">
        <w:rPr>
          <w:rFonts w:ascii="Times New Roman" w:hAnsi="Times New Roman" w:cs="Times New Roman"/>
          <w:i/>
          <w:sz w:val="20"/>
          <w:szCs w:val="20"/>
        </w:rPr>
        <w:t>b</w:t>
      </w:r>
      <w:r w:rsidRPr="00BE516E">
        <w:rPr>
          <w:rFonts w:ascii="Times New Roman" w:hAnsi="Times New Roman" w:cs="Times New Roman"/>
          <w:sz w:val="20"/>
          <w:szCs w:val="20"/>
        </w:rPr>
        <w:t>-</w:t>
      </w:r>
      <w:proofErr w:type="gramStart"/>
      <w:r w:rsidRPr="00BE516E">
        <w:rPr>
          <w:rFonts w:ascii="Times New Roman" w:hAnsi="Times New Roman" w:cs="Times New Roman"/>
          <w:sz w:val="20"/>
          <w:szCs w:val="20"/>
        </w:rPr>
        <w:t>P(</w:t>
      </w:r>
      <w:proofErr w:type="gramEnd"/>
      <w:r w:rsidRPr="00BE516E">
        <w:rPr>
          <w:rFonts w:ascii="Times New Roman" w:hAnsi="Times New Roman" w:cs="Times New Roman"/>
          <w:sz w:val="20"/>
          <w:szCs w:val="20"/>
        </w:rPr>
        <w:t>LVF-EMA) was finally precipitated in cold diethyl ether and dried under vacuum for 8 h at 35°C. Then, functionalization of –NH</w:t>
      </w:r>
      <w:r w:rsidRPr="00BE516E">
        <w:rPr>
          <w:rFonts w:ascii="Times New Roman" w:hAnsi="Times New Roman" w:cs="Times New Roman"/>
          <w:sz w:val="20"/>
          <w:szCs w:val="20"/>
          <w:vertAlign w:val="subscript"/>
        </w:rPr>
        <w:t>2</w:t>
      </w:r>
      <w:r w:rsidRPr="00BE516E">
        <w:rPr>
          <w:rFonts w:ascii="Times New Roman" w:hAnsi="Times New Roman" w:cs="Times New Roman"/>
          <w:sz w:val="20"/>
          <w:szCs w:val="20"/>
        </w:rPr>
        <w:t xml:space="preserve"> containing copolymers by </w:t>
      </w:r>
      <w:r w:rsidR="005A2302">
        <w:rPr>
          <w:rFonts w:ascii="Times New Roman" w:hAnsi="Times New Roman" w:cs="Times New Roman"/>
          <w:sz w:val="20"/>
          <w:szCs w:val="20"/>
        </w:rPr>
        <w:t>FITC</w:t>
      </w:r>
      <w:r w:rsidRPr="00BE516E">
        <w:rPr>
          <w:rFonts w:ascii="Times New Roman" w:hAnsi="Times New Roman" w:cs="Times New Roman"/>
          <w:sz w:val="20"/>
          <w:szCs w:val="20"/>
        </w:rPr>
        <w:t xml:space="preserve"> was done following a previously reported procedure </w:t>
      </w:r>
      <w:r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DOI":"10.1021/acs.langmuir.5b02245","ISSN":"0743-7463","author":[{"dropping-particle":"","family":"Kumar","given":"Sonu","non-dropping-particle":"","parse-names":false,"suffix":""},{"dropping-particle":"","family":"Maiti","given":"Binoy","non-dropping-particle":"","parse-names":false,"suffix":""},{"dropping-particle":"","family":"De","given":"Priyadarsi","non-dropping-particle":"","parse-names":false,"suffix":""}],"container-title":"Langmuir","id":"ITEM-1","issue":"34","issued":{"date-parts":[["2015","9","1"]]},"note":"doi: 10.1021/acs.langmuir.5b02245","page":"9422-9431","publisher":"American Chemical Society","title":"Carbohydrate-Conjugated Amino Acid-Based Fluorescent Block Copolymers: Their Self-Assembly, pH Responsiveness, and/or Lectin Recognition","type":"article-journal","volume":"31"},"uris":["http://www.mendeley.com/documents/?uuid=bef6e1b6-fb85-4068-bda3-dfe31d15dee0"]}],"mendeley":{"formattedCitation":"[4]","plainTextFormattedCitation":"[4]","previouslyFormattedCitation":"[4]"},"properties":{"noteIndex":0},"schema":"https://github.com/citation-style-language/schema/raw/master/csl-citation.json"}</w:instrText>
      </w:r>
      <w:r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[4]</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 Briefly, the copolymer PEG-</w:t>
      </w:r>
      <w:r w:rsidRPr="00BE516E">
        <w:rPr>
          <w:rFonts w:ascii="Times New Roman" w:hAnsi="Times New Roman" w:cs="Times New Roman"/>
          <w:i/>
          <w:sz w:val="20"/>
          <w:szCs w:val="20"/>
        </w:rPr>
        <w:t>b</w:t>
      </w:r>
      <w:r w:rsidRPr="00BE516E">
        <w:rPr>
          <w:rFonts w:ascii="Times New Roman" w:hAnsi="Times New Roman" w:cs="Times New Roman"/>
          <w:sz w:val="20"/>
          <w:szCs w:val="20"/>
        </w:rPr>
        <w:t xml:space="preserve">-P(LVF-EMA) (0.610 g, 0.10 </w:t>
      </w:r>
      <w:proofErr w:type="spellStart"/>
      <w:r w:rsidRPr="00BE516E">
        <w:rPr>
          <w:rFonts w:ascii="Times New Roman" w:hAnsi="Times New Roman" w:cs="Times New Roman"/>
          <w:sz w:val="20"/>
          <w:szCs w:val="20"/>
        </w:rPr>
        <w:t>mmol</w:t>
      </w:r>
      <w:proofErr w:type="spellEnd"/>
      <w:r w:rsidRPr="00BE516E">
        <w:rPr>
          <w:rFonts w:ascii="Times New Roman" w:hAnsi="Times New Roman" w:cs="Times New Roman"/>
          <w:sz w:val="20"/>
          <w:szCs w:val="20"/>
        </w:rPr>
        <w:t xml:space="preserve">) was dissolved in 25 ml methanol, and to this solution, </w:t>
      </w:r>
      <w:proofErr w:type="spellStart"/>
      <w:r w:rsidRPr="00BE516E">
        <w:rPr>
          <w:rFonts w:ascii="Times New Roman" w:hAnsi="Times New Roman" w:cs="Times New Roman"/>
          <w:sz w:val="20"/>
          <w:szCs w:val="20"/>
        </w:rPr>
        <w:t>triethylamine</w:t>
      </w:r>
      <w:proofErr w:type="spellEnd"/>
      <w:r w:rsidRPr="00BE516E">
        <w:rPr>
          <w:rFonts w:ascii="Times New Roman" w:hAnsi="Times New Roman" w:cs="Times New Roman"/>
          <w:sz w:val="20"/>
          <w:szCs w:val="20"/>
        </w:rPr>
        <w:t xml:space="preserve"> (Et</w:t>
      </w:r>
      <w:r w:rsidRPr="00BE516E">
        <w:rPr>
          <w:rFonts w:ascii="Times New Roman" w:hAnsi="Times New Roman" w:cs="Times New Roman"/>
          <w:sz w:val="20"/>
          <w:szCs w:val="20"/>
          <w:vertAlign w:val="subscript"/>
        </w:rPr>
        <w:t>3</w:t>
      </w:r>
      <w:r w:rsidRPr="00BE516E">
        <w:rPr>
          <w:rFonts w:ascii="Times New Roman" w:hAnsi="Times New Roman" w:cs="Times New Roman"/>
          <w:sz w:val="20"/>
          <w:szCs w:val="20"/>
        </w:rPr>
        <w:t xml:space="preserve">N) (5.2 mg, 0.05mmol) was added drop wise and stirred for 30 min. FITC (20 mg, 0.05mmol) was then added to the reaction mixture and was stirred for 24 h at room temperature (Scheme </w:t>
      </w:r>
      <w:r w:rsidR="00F51502" w:rsidRPr="00BE516E">
        <w:rPr>
          <w:rFonts w:ascii="Times New Roman" w:hAnsi="Times New Roman" w:cs="Times New Roman"/>
          <w:sz w:val="20"/>
          <w:szCs w:val="20"/>
        </w:rPr>
        <w:t>S</w:t>
      </w:r>
      <w:r w:rsidRPr="00BE516E">
        <w:rPr>
          <w:rFonts w:ascii="Times New Roman" w:hAnsi="Times New Roman" w:cs="Times New Roman"/>
          <w:sz w:val="20"/>
          <w:szCs w:val="20"/>
        </w:rPr>
        <w:t xml:space="preserve">1). The organic solvent was reduced under pressure and precipitated from methanol. The precipitate was dissolved in </w:t>
      </w:r>
      <w:r w:rsidRPr="00BE516E">
        <w:rPr>
          <w:rFonts w:ascii="Times New Roman" w:hAnsi="Times New Roman" w:cs="Times New Roman"/>
          <w:sz w:val="20"/>
          <w:szCs w:val="20"/>
        </w:rPr>
        <w:lastRenderedPageBreak/>
        <w:t xml:space="preserve">acetone and </w:t>
      </w:r>
      <w:proofErr w:type="spellStart"/>
      <w:r w:rsidRPr="00BE516E">
        <w:rPr>
          <w:rFonts w:ascii="Times New Roman" w:hAnsi="Times New Roman" w:cs="Times New Roman"/>
          <w:sz w:val="20"/>
          <w:szCs w:val="20"/>
        </w:rPr>
        <w:t>reprecipitated</w:t>
      </w:r>
      <w:proofErr w:type="spellEnd"/>
      <w:r w:rsidRPr="00BE516E">
        <w:rPr>
          <w:rFonts w:ascii="Times New Roman" w:hAnsi="Times New Roman" w:cs="Times New Roman"/>
          <w:sz w:val="20"/>
          <w:szCs w:val="20"/>
        </w:rPr>
        <w:t xml:space="preserve"> from methanol. The FITC functionalized block copolymer (inhibitor, I</w:t>
      </w:r>
      <w:r w:rsidR="00DA7D0A">
        <w:rPr>
          <w:rFonts w:ascii="Times New Roman" w:hAnsi="Times New Roman" w:cs="Times New Roman"/>
          <w:sz w:val="20"/>
          <w:szCs w:val="20"/>
        </w:rPr>
        <w:t>NH</w:t>
      </w:r>
      <w:r w:rsidRPr="00BE516E">
        <w:rPr>
          <w:rFonts w:ascii="Times New Roman" w:hAnsi="Times New Roman" w:cs="Times New Roman"/>
          <w:sz w:val="20"/>
          <w:szCs w:val="20"/>
        </w:rPr>
        <w:t xml:space="preserve">) was </w:t>
      </w:r>
      <w:proofErr w:type="spellStart"/>
      <w:r w:rsidRPr="00BE516E">
        <w:rPr>
          <w:rFonts w:ascii="Times New Roman" w:hAnsi="Times New Roman" w:cs="Times New Roman"/>
          <w:sz w:val="20"/>
          <w:szCs w:val="20"/>
        </w:rPr>
        <w:t>reprecipitated</w:t>
      </w:r>
      <w:proofErr w:type="spellEnd"/>
      <w:r w:rsidRPr="00BE516E">
        <w:rPr>
          <w:rFonts w:ascii="Times New Roman" w:hAnsi="Times New Roman" w:cs="Times New Roman"/>
          <w:sz w:val="20"/>
          <w:szCs w:val="20"/>
        </w:rPr>
        <w:t xml:space="preserve"> four times from acetone/hexanes and dried under vacuum at 35°C.</w:t>
      </w:r>
    </w:p>
    <w:p w:rsidR="00103866" w:rsidRPr="00BE516E" w:rsidRDefault="00103866" w:rsidP="00103866">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The FITC tagging of the block copolymers was confirmed by </w:t>
      </w:r>
      <w:r w:rsidRPr="00BE516E">
        <w:rPr>
          <w:rFonts w:ascii="Times New Roman" w:hAnsi="Times New Roman" w:cs="Times New Roman"/>
          <w:sz w:val="20"/>
          <w:szCs w:val="20"/>
          <w:vertAlign w:val="superscript"/>
          <w:lang w:val="en-IN"/>
        </w:rPr>
        <w:t>1</w:t>
      </w:r>
      <w:r w:rsidRPr="00BE516E">
        <w:rPr>
          <w:rFonts w:ascii="Times New Roman" w:hAnsi="Times New Roman" w:cs="Times New Roman"/>
          <w:sz w:val="20"/>
          <w:szCs w:val="20"/>
          <w:lang w:val="en-IN"/>
        </w:rPr>
        <w:t>H NMR spectra (</w:t>
      </w:r>
      <w:proofErr w:type="spellStart"/>
      <w:r w:rsidRPr="00BE516E">
        <w:rPr>
          <w:rFonts w:ascii="Times New Roman" w:hAnsi="Times New Roman" w:cs="Times New Roman"/>
          <w:sz w:val="20"/>
          <w:szCs w:val="20"/>
          <w:lang w:val="en-IN"/>
        </w:rPr>
        <w:t>Bruker</w:t>
      </w:r>
      <w:proofErr w:type="spellEnd"/>
      <w:r w:rsidRPr="00BE516E">
        <w:rPr>
          <w:rFonts w:ascii="Times New Roman" w:hAnsi="Times New Roman" w:cs="Times New Roman"/>
          <w:sz w:val="20"/>
          <w:szCs w:val="20"/>
          <w:lang w:val="en-IN"/>
        </w:rPr>
        <w:t xml:space="preserve"> </w:t>
      </w:r>
      <w:proofErr w:type="spellStart"/>
      <w:r w:rsidRPr="00BE516E">
        <w:rPr>
          <w:rFonts w:ascii="Times New Roman" w:hAnsi="Times New Roman" w:cs="Times New Roman"/>
          <w:sz w:val="20"/>
          <w:szCs w:val="20"/>
          <w:lang w:val="en-IN"/>
        </w:rPr>
        <w:t>Avance</w:t>
      </w:r>
      <w:proofErr w:type="spellEnd"/>
      <w:r w:rsidRPr="00BE516E">
        <w:rPr>
          <w:rFonts w:ascii="Times New Roman" w:hAnsi="Times New Roman" w:cs="Times New Roman"/>
          <w:sz w:val="20"/>
          <w:szCs w:val="20"/>
          <w:lang w:val="en-IN"/>
        </w:rPr>
        <w:t xml:space="preserve"> III 500 MHz spectrometer), UV-visible spectroscopic measurements (Perkin-Elmer Lambda35 spectrophotometer), and fluorescence measurements (Fluoromax-3 </w:t>
      </w:r>
      <w:proofErr w:type="spellStart"/>
      <w:r w:rsidRPr="00BE516E">
        <w:rPr>
          <w:rFonts w:ascii="Times New Roman" w:hAnsi="Times New Roman" w:cs="Times New Roman"/>
          <w:sz w:val="20"/>
          <w:szCs w:val="20"/>
          <w:lang w:val="en-IN"/>
        </w:rPr>
        <w:t>spectrofluorimeter</w:t>
      </w:r>
      <w:proofErr w:type="spellEnd"/>
      <w:r w:rsidRPr="00BE516E">
        <w:rPr>
          <w:rFonts w:ascii="Times New Roman" w:hAnsi="Times New Roman" w:cs="Times New Roman"/>
          <w:sz w:val="20"/>
          <w:szCs w:val="20"/>
          <w:lang w:val="en-IN"/>
        </w:rPr>
        <w:t xml:space="preserve"> from Horiba </w:t>
      </w:r>
      <w:proofErr w:type="spellStart"/>
      <w:r w:rsidRPr="00BE516E">
        <w:rPr>
          <w:rFonts w:ascii="Times New Roman" w:hAnsi="Times New Roman" w:cs="Times New Roman"/>
          <w:sz w:val="20"/>
          <w:szCs w:val="20"/>
          <w:lang w:val="en-IN"/>
        </w:rPr>
        <w:t>JobinYvon</w:t>
      </w:r>
      <w:proofErr w:type="spellEnd"/>
      <w:r w:rsidRPr="00BE516E">
        <w:rPr>
          <w:rFonts w:ascii="Times New Roman" w:hAnsi="Times New Roman" w:cs="Times New Roman"/>
          <w:sz w:val="20"/>
          <w:szCs w:val="20"/>
          <w:lang w:val="en-IN"/>
        </w:rPr>
        <w:t>). The phase transition pH of I</w:t>
      </w:r>
      <w:r w:rsidR="00DA7D0A">
        <w:rPr>
          <w:rFonts w:ascii="Times New Roman" w:hAnsi="Times New Roman" w:cs="Times New Roman"/>
          <w:sz w:val="20"/>
          <w:szCs w:val="20"/>
          <w:lang w:val="en-IN"/>
        </w:rPr>
        <w:t>NH</w:t>
      </w:r>
      <w:r w:rsidRPr="00BE516E">
        <w:rPr>
          <w:rFonts w:ascii="Times New Roman" w:hAnsi="Times New Roman" w:cs="Times New Roman"/>
          <w:sz w:val="20"/>
          <w:szCs w:val="20"/>
          <w:lang w:val="en-IN"/>
        </w:rPr>
        <w:t xml:space="preserve"> was determined by turbidity measurements using UV-visible spectroscopy. The toxicity of I</w:t>
      </w:r>
      <w:r w:rsidR="00DA7D0A">
        <w:rPr>
          <w:rFonts w:ascii="Times New Roman" w:hAnsi="Times New Roman" w:cs="Times New Roman"/>
          <w:sz w:val="20"/>
          <w:szCs w:val="20"/>
          <w:lang w:val="en-IN"/>
        </w:rPr>
        <w:t>NH</w:t>
      </w:r>
      <w:r w:rsidRPr="00BE516E">
        <w:rPr>
          <w:rFonts w:ascii="Times New Roman" w:hAnsi="Times New Roman" w:cs="Times New Roman"/>
          <w:sz w:val="20"/>
          <w:szCs w:val="20"/>
          <w:lang w:val="en-IN"/>
        </w:rPr>
        <w:t xml:space="preserve"> was checked at the cellular level (in SHSY5Y and U87 cells) with the aid of 3-(4</w:t>
      </w:r>
      <w:proofErr w:type="gramStart"/>
      <w:r w:rsidRPr="00BE516E">
        <w:rPr>
          <w:rFonts w:ascii="Times New Roman" w:hAnsi="Times New Roman" w:cs="Times New Roman"/>
          <w:sz w:val="20"/>
          <w:szCs w:val="20"/>
          <w:lang w:val="en-IN"/>
        </w:rPr>
        <w:t>,5</w:t>
      </w:r>
      <w:proofErr w:type="gramEnd"/>
      <w:r w:rsidRPr="00BE516E">
        <w:rPr>
          <w:rFonts w:ascii="Times New Roman" w:hAnsi="Times New Roman" w:cs="Times New Roman"/>
          <w:sz w:val="20"/>
          <w:szCs w:val="20"/>
          <w:lang w:val="en-IN"/>
        </w:rPr>
        <w:t>-dimethylthiazol-2-yl)-2,5-diphenyltetrazolium bromide (MTT) reduction assay</w:t>
      </w:r>
      <w:r w:rsidRPr="00BE516E">
        <w:rPr>
          <w:rFonts w:ascii="Times New Roman" w:hAnsi="Times New Roman" w:cs="Times New Roman"/>
          <w:sz w:val="20"/>
          <w:szCs w:val="20"/>
        </w:rPr>
        <w:t>.</w:t>
      </w:r>
    </w:p>
    <w:p w:rsidR="00097C68" w:rsidRPr="00BE516E" w:rsidRDefault="00097C68" w:rsidP="00097C68">
      <w:pPr>
        <w:autoSpaceDE w:val="0"/>
        <w:autoSpaceDN w:val="0"/>
        <w:adjustRightInd w:val="0"/>
        <w:spacing w:before="100" w:beforeAutospacing="1" w:after="100" w:afterAutospacing="1" w:line="360" w:lineRule="auto"/>
        <w:jc w:val="both"/>
        <w:rPr>
          <w:rFonts w:ascii="Times New Roman" w:hAnsi="Times New Roman"/>
          <w:b/>
          <w:sz w:val="20"/>
          <w:szCs w:val="20"/>
        </w:rPr>
      </w:pPr>
      <w:r w:rsidRPr="00BE516E">
        <w:rPr>
          <w:rFonts w:ascii="Times New Roman" w:hAnsi="Times New Roman"/>
          <w:b/>
          <w:sz w:val="20"/>
          <w:szCs w:val="20"/>
        </w:rPr>
        <w:t>Determination of phase transition pH</w:t>
      </w:r>
    </w:p>
    <w:p w:rsidR="00097C68" w:rsidRPr="00BE516E" w:rsidRDefault="00097C68" w:rsidP="00097C68">
      <w:pPr>
        <w:spacing w:before="100" w:beforeAutospacing="1" w:after="100" w:afterAutospacing="1" w:line="360" w:lineRule="auto"/>
        <w:jc w:val="both"/>
        <w:rPr>
          <w:rFonts w:ascii="Times New Roman" w:hAnsi="Times New Roman" w:cs="Times New Roman"/>
          <w:sz w:val="20"/>
          <w:szCs w:val="20"/>
          <w:lang w:val="en-IN"/>
        </w:rPr>
      </w:pPr>
      <w:r w:rsidRPr="00BE516E">
        <w:rPr>
          <w:rFonts w:ascii="Times New Roman" w:hAnsi="Times New Roman"/>
          <w:sz w:val="20"/>
          <w:szCs w:val="20"/>
        </w:rPr>
        <w:t xml:space="preserve">After </w:t>
      </w:r>
      <w:proofErr w:type="spellStart"/>
      <w:r w:rsidRPr="00BE516E">
        <w:rPr>
          <w:rFonts w:ascii="Times New Roman" w:hAnsi="Times New Roman"/>
          <w:sz w:val="20"/>
          <w:szCs w:val="20"/>
        </w:rPr>
        <w:t>Boc</w:t>
      </w:r>
      <w:proofErr w:type="spellEnd"/>
      <w:r w:rsidRPr="00BE516E">
        <w:rPr>
          <w:rFonts w:ascii="Times New Roman" w:hAnsi="Times New Roman"/>
          <w:sz w:val="20"/>
          <w:szCs w:val="20"/>
        </w:rPr>
        <w:t xml:space="preserve">-group </w:t>
      </w:r>
      <w:proofErr w:type="spellStart"/>
      <w:r w:rsidRPr="00BE516E">
        <w:rPr>
          <w:rFonts w:ascii="Times New Roman" w:hAnsi="Times New Roman"/>
          <w:sz w:val="20"/>
          <w:szCs w:val="20"/>
        </w:rPr>
        <w:t>deprotection</w:t>
      </w:r>
      <w:proofErr w:type="spellEnd"/>
      <w:r w:rsidRPr="00BE516E">
        <w:rPr>
          <w:rFonts w:ascii="Times New Roman" w:hAnsi="Times New Roman"/>
          <w:sz w:val="20"/>
          <w:szCs w:val="20"/>
        </w:rPr>
        <w:t xml:space="preserve"> the block copolymer PEG-</w:t>
      </w:r>
      <w:r w:rsidRPr="00BE516E">
        <w:rPr>
          <w:rFonts w:ascii="Times New Roman" w:hAnsi="Times New Roman"/>
          <w:i/>
          <w:sz w:val="20"/>
          <w:szCs w:val="20"/>
        </w:rPr>
        <w:t>b</w:t>
      </w:r>
      <w:r w:rsidRPr="00BE516E">
        <w:rPr>
          <w:rFonts w:ascii="Times New Roman" w:hAnsi="Times New Roman"/>
          <w:sz w:val="20"/>
          <w:szCs w:val="20"/>
        </w:rPr>
        <w:t>-P(LVF-HEMA) is expected to be pH responsive on account of the reversible protonation/</w:t>
      </w:r>
      <w:proofErr w:type="spellStart"/>
      <w:r w:rsidRPr="00BE516E">
        <w:rPr>
          <w:rFonts w:ascii="Times New Roman" w:hAnsi="Times New Roman"/>
          <w:sz w:val="20"/>
          <w:szCs w:val="20"/>
        </w:rPr>
        <w:t>deprotonation</w:t>
      </w:r>
      <w:proofErr w:type="spellEnd"/>
      <w:r w:rsidRPr="00BE516E">
        <w:rPr>
          <w:rFonts w:ascii="Times New Roman" w:hAnsi="Times New Roman"/>
          <w:sz w:val="20"/>
          <w:szCs w:val="20"/>
        </w:rPr>
        <w:t xml:space="preserve"> of the side chain primary amino group </w:t>
      </w:r>
      <w:r w:rsidRPr="00BE516E">
        <w:rPr>
          <w:rFonts w:ascii="Times New Roman" w:hAnsi="Times New Roman"/>
          <w:sz w:val="20"/>
          <w:szCs w:val="20"/>
        </w:rPr>
        <w:fldChar w:fldCharType="begin" w:fldLock="1"/>
      </w:r>
      <w:r w:rsidR="00F6328C">
        <w:rPr>
          <w:rFonts w:ascii="Times New Roman" w:hAnsi="Times New Roman"/>
          <w:sz w:val="20"/>
          <w:szCs w:val="20"/>
        </w:rPr>
        <w:instrText>ADDIN CSL_CITATION {"citationItems":[{"id":"ITEM-1","itemData":{"DOI":"10.1021/acs.langmuir.7b02431","ISSN":"0743-7463","author":[{"dropping-particle":"","family":"Nandi","given":"Mridula","non-dropping-particle":"","parse-names":false,"suffix":""},{"dropping-particle":"","family":"Maiti","given":"Binoy","non-dropping-particle":"","parse-names":false,"suffix":""},{"dropping-particle":"","family":"Srikanth","given":"Kambalapalli","non-dropping-particle":"","parse-names":false,"suffix":""},{"dropping-particle":"","family":"De","given":"Priyadarsi","non-dropping-particle":"","parse-names":false,"suffix":""}],"container-title":"Langmuir","id":"ITEM-1","issue":"40","issued":{"date-parts":[["2017","10","10"]]},"note":"doi: 10.1021/acs.langmuir.7b02431","page":"10588-10597","publisher":"American Chemical Society","title":"Supramolecular Interaction-Assisted Fluorescence and Tunable Stimuli-Responsiveness of l-Phenylalanine-Based Polymers","type":"article-journal","volume":"33"},"uris":["http://www.mendeley.com/documents/?uuid=14470096-037b-4ef4-96b6-c87b3b3d1b49"]}],"mendeley":{"formattedCitation":"[5]","plainTextFormattedCitation":"[5]","previouslyFormattedCitation":"[5]"},"properties":{"noteIndex":0},"schema":"https://github.com/citation-style-language/schema/raw/master/csl-citation.json"}</w:instrText>
      </w:r>
      <w:r w:rsidRPr="00BE516E">
        <w:rPr>
          <w:rFonts w:ascii="Times New Roman" w:hAnsi="Times New Roman"/>
          <w:sz w:val="20"/>
          <w:szCs w:val="20"/>
        </w:rPr>
        <w:fldChar w:fldCharType="separate"/>
      </w:r>
      <w:r w:rsidR="00F6328C" w:rsidRPr="00F6328C">
        <w:rPr>
          <w:rFonts w:ascii="Times New Roman" w:hAnsi="Times New Roman"/>
          <w:noProof/>
          <w:sz w:val="20"/>
          <w:szCs w:val="20"/>
        </w:rPr>
        <w:t>[5]</w:t>
      </w:r>
      <w:r w:rsidRPr="00BE516E">
        <w:rPr>
          <w:rFonts w:ascii="Times New Roman" w:hAnsi="Times New Roman"/>
          <w:sz w:val="20"/>
          <w:szCs w:val="20"/>
        </w:rPr>
        <w:fldChar w:fldCharType="end"/>
      </w:r>
      <w:r w:rsidRPr="00BE516E">
        <w:rPr>
          <w:rFonts w:ascii="Times New Roman" w:hAnsi="Times New Roman"/>
          <w:sz w:val="20"/>
          <w:szCs w:val="20"/>
        </w:rPr>
        <w:t>. For measurement of phase transition pH, the % transmittance (%</w:t>
      </w:r>
      <w:r w:rsidRPr="00BE516E">
        <w:rPr>
          <w:rFonts w:ascii="Times New Roman" w:hAnsi="Times New Roman"/>
          <w:i/>
          <w:sz w:val="20"/>
          <w:szCs w:val="20"/>
        </w:rPr>
        <w:t>T</w:t>
      </w:r>
      <w:r w:rsidRPr="00BE516E">
        <w:rPr>
          <w:rFonts w:ascii="Times New Roman" w:hAnsi="Times New Roman"/>
          <w:sz w:val="20"/>
          <w:szCs w:val="20"/>
        </w:rPr>
        <w:t>) of aqueous solution of block copolymer (2.0 mg/ml) was recorded at wavelength (</w:t>
      </w:r>
      <w:r w:rsidRPr="00BE516E">
        <w:rPr>
          <w:rFonts w:ascii="Times New Roman" w:hAnsi="Times New Roman"/>
          <w:i/>
          <w:sz w:val="20"/>
          <w:szCs w:val="20"/>
        </w:rPr>
        <w:t>λ</w:t>
      </w:r>
      <w:r w:rsidRPr="00BE516E">
        <w:rPr>
          <w:rFonts w:ascii="Times New Roman" w:hAnsi="Times New Roman"/>
          <w:sz w:val="20"/>
          <w:szCs w:val="20"/>
        </w:rPr>
        <w:t>) = 500 nm within the pH range 3-8 at 25</w:t>
      </w:r>
      <w:r w:rsidRPr="00BE516E">
        <w:rPr>
          <w:rFonts w:ascii="Times New Roman" w:hAnsi="Times New Roman" w:cs="Times New Roman"/>
          <w:sz w:val="20"/>
          <w:szCs w:val="20"/>
        </w:rPr>
        <w:t xml:space="preserve">°C. </w:t>
      </w:r>
      <w:r w:rsidRPr="00BE516E">
        <w:rPr>
          <w:rFonts w:ascii="Times New Roman" w:hAnsi="Times New Roman" w:cs="Times New Roman"/>
          <w:sz w:val="20"/>
          <w:szCs w:val="20"/>
          <w:lang w:val="en-IN"/>
        </w:rPr>
        <w:t xml:space="preserve">The initial pH of copolymer solution in HPLC water was recorded and then pH was gradually increased using 0.1 M </w:t>
      </w:r>
      <w:proofErr w:type="spellStart"/>
      <w:r w:rsidRPr="00BE516E">
        <w:rPr>
          <w:rFonts w:ascii="Times New Roman" w:hAnsi="Times New Roman" w:cs="Times New Roman"/>
          <w:sz w:val="20"/>
          <w:szCs w:val="20"/>
          <w:lang w:val="en-IN"/>
        </w:rPr>
        <w:t>NaOH</w:t>
      </w:r>
      <w:proofErr w:type="spellEnd"/>
      <w:r w:rsidRPr="00BE516E">
        <w:rPr>
          <w:rFonts w:ascii="Times New Roman" w:hAnsi="Times New Roman" w:cs="Times New Roman"/>
          <w:sz w:val="20"/>
          <w:szCs w:val="20"/>
          <w:lang w:val="en-IN"/>
        </w:rPr>
        <w:t xml:space="preserve"> solution. The % </w:t>
      </w:r>
      <w:r w:rsidRPr="00BE516E">
        <w:rPr>
          <w:rFonts w:ascii="Times New Roman" w:hAnsi="Times New Roman" w:cs="Times New Roman"/>
          <w:i/>
          <w:sz w:val="20"/>
          <w:szCs w:val="20"/>
          <w:lang w:val="en-IN"/>
        </w:rPr>
        <w:t>T</w:t>
      </w:r>
      <w:r w:rsidRPr="00BE516E">
        <w:rPr>
          <w:rFonts w:ascii="Times New Roman" w:hAnsi="Times New Roman" w:cs="Times New Roman"/>
          <w:sz w:val="20"/>
          <w:szCs w:val="20"/>
          <w:lang w:val="en-IN"/>
        </w:rPr>
        <w:t xml:space="preserve"> was recorded at 500 nm for all the solutions adjusted to different pH values. The pH at which % </w:t>
      </w:r>
      <w:r w:rsidRPr="00BE516E">
        <w:rPr>
          <w:rFonts w:ascii="Times New Roman" w:hAnsi="Times New Roman" w:cs="Times New Roman"/>
          <w:i/>
          <w:sz w:val="20"/>
          <w:szCs w:val="20"/>
          <w:lang w:val="en-IN"/>
        </w:rPr>
        <w:t>T</w:t>
      </w:r>
      <w:r w:rsidRPr="00BE516E">
        <w:rPr>
          <w:rFonts w:ascii="Times New Roman" w:hAnsi="Times New Roman" w:cs="Times New Roman"/>
          <w:sz w:val="20"/>
          <w:szCs w:val="20"/>
          <w:lang w:val="en-IN"/>
        </w:rPr>
        <w:t xml:space="preserve"> reduced to 50% is considered the transition </w:t>
      </w:r>
      <w:proofErr w:type="spellStart"/>
      <w:r w:rsidRPr="00BE516E">
        <w:rPr>
          <w:rFonts w:ascii="Times New Roman" w:hAnsi="Times New Roman" w:cs="Times New Roman"/>
          <w:sz w:val="20"/>
          <w:szCs w:val="20"/>
          <w:lang w:val="en-IN"/>
        </w:rPr>
        <w:t>pH.</w:t>
      </w:r>
      <w:proofErr w:type="spellEnd"/>
    </w:p>
    <w:p w:rsidR="00097C68" w:rsidRPr="00BE516E" w:rsidRDefault="00097C68" w:rsidP="00097C68">
      <w:pPr>
        <w:spacing w:before="100" w:beforeAutospacing="1" w:after="100" w:afterAutospacing="1" w:line="360" w:lineRule="auto"/>
        <w:jc w:val="both"/>
        <w:rPr>
          <w:rFonts w:ascii="Times New Roman" w:hAnsi="Times New Roman" w:cs="Times New Roman"/>
          <w:b/>
          <w:sz w:val="20"/>
          <w:szCs w:val="20"/>
          <w:lang w:val="en-IN"/>
        </w:rPr>
      </w:pPr>
      <w:r w:rsidRPr="00BE516E">
        <w:rPr>
          <w:rFonts w:ascii="Times New Roman" w:hAnsi="Times New Roman" w:cs="Times New Roman"/>
          <w:b/>
          <w:sz w:val="20"/>
          <w:szCs w:val="20"/>
          <w:lang w:val="en-IN"/>
        </w:rPr>
        <w:t>MTT assay</w:t>
      </w:r>
    </w:p>
    <w:p w:rsidR="00097C68" w:rsidRPr="00BE516E" w:rsidRDefault="00097C68" w:rsidP="00097C68">
      <w:pPr>
        <w:spacing w:before="100" w:beforeAutospacing="1" w:after="100" w:afterAutospacing="1" w:line="360" w:lineRule="auto"/>
        <w:jc w:val="both"/>
        <w:rPr>
          <w:rFonts w:ascii="Times New Roman" w:hAnsi="Times New Roman" w:cs="Times New Roman"/>
          <w:sz w:val="20"/>
          <w:szCs w:val="20"/>
          <w:lang w:val="en-GB"/>
        </w:rPr>
      </w:pPr>
      <w:r w:rsidRPr="00BE516E">
        <w:rPr>
          <w:rFonts w:ascii="Times New Roman" w:hAnsi="Times New Roman" w:cs="Times New Roman"/>
          <w:sz w:val="20"/>
          <w:szCs w:val="20"/>
          <w:lang w:val="en-IN"/>
        </w:rPr>
        <w:t>The cellular toxicity of I</w:t>
      </w:r>
      <w:r w:rsidR="00DA7D0A">
        <w:rPr>
          <w:rFonts w:ascii="Times New Roman" w:hAnsi="Times New Roman" w:cs="Times New Roman"/>
          <w:sz w:val="20"/>
          <w:szCs w:val="20"/>
          <w:lang w:val="en-IN"/>
        </w:rPr>
        <w:t>NH</w:t>
      </w:r>
      <w:r w:rsidRPr="00BE516E">
        <w:rPr>
          <w:rFonts w:ascii="Times New Roman" w:hAnsi="Times New Roman" w:cs="Times New Roman"/>
          <w:sz w:val="20"/>
          <w:szCs w:val="20"/>
          <w:lang w:val="en-IN"/>
        </w:rPr>
        <w:t xml:space="preserve"> was tested via the reduction of 3-(4</w:t>
      </w:r>
      <w:proofErr w:type="gramStart"/>
      <w:r w:rsidRPr="00BE516E">
        <w:rPr>
          <w:rFonts w:ascii="Times New Roman" w:hAnsi="Times New Roman" w:cs="Times New Roman"/>
          <w:sz w:val="20"/>
          <w:szCs w:val="20"/>
          <w:lang w:val="en-IN"/>
        </w:rPr>
        <w:t>,5</w:t>
      </w:r>
      <w:proofErr w:type="gramEnd"/>
      <w:r w:rsidRPr="00BE516E">
        <w:rPr>
          <w:rFonts w:ascii="Times New Roman" w:hAnsi="Times New Roman" w:cs="Times New Roman"/>
          <w:sz w:val="20"/>
          <w:szCs w:val="20"/>
          <w:lang w:val="en-IN"/>
        </w:rPr>
        <w:t xml:space="preserve">-dimethylthiazol-2-yl)-2,5-diphenyltetrazolium bromide (MTT) dye at a concentration range from 10-100 µM. Briefly, </w:t>
      </w:r>
      <w:r w:rsidRPr="00BE516E">
        <w:rPr>
          <w:rFonts w:ascii="Times New Roman" w:hAnsi="Times New Roman" w:cs="Times New Roman"/>
          <w:sz w:val="20"/>
          <w:szCs w:val="20"/>
          <w:lang w:val="en-GB"/>
        </w:rPr>
        <w:t>cells were seeded in 96 well plates at a density of 10,000 cells per well in 100 µl high glucose complete DMEM media and allowed to grow for 24 h under 5% CO</w:t>
      </w:r>
      <w:r w:rsidRPr="00BE516E">
        <w:rPr>
          <w:rFonts w:ascii="Times New Roman" w:hAnsi="Times New Roman" w:cs="Times New Roman"/>
          <w:sz w:val="20"/>
          <w:szCs w:val="20"/>
          <w:vertAlign w:val="subscript"/>
          <w:lang w:val="en-GB"/>
        </w:rPr>
        <w:t>2</w:t>
      </w:r>
      <w:r w:rsidRPr="00BE516E">
        <w:rPr>
          <w:rFonts w:ascii="Times New Roman" w:hAnsi="Times New Roman" w:cs="Times New Roman"/>
          <w:sz w:val="20"/>
          <w:szCs w:val="20"/>
          <w:lang w:val="en-GB"/>
        </w:rPr>
        <w:t xml:space="preserve"> at 37 °C. After 24 h the medium was replaced with that containing the pre-incubated treatment as stated above. Again after 24 h incubation in the same condition, 10 µl MTT reagent (5 mg/ml in PBS) was added in each well and allowed to incubate for 4 h at 5% CO</w:t>
      </w:r>
      <w:r w:rsidRPr="00BE516E">
        <w:rPr>
          <w:rFonts w:ascii="Times New Roman" w:hAnsi="Times New Roman" w:cs="Times New Roman"/>
          <w:sz w:val="20"/>
          <w:szCs w:val="20"/>
          <w:vertAlign w:val="subscript"/>
          <w:lang w:val="en-GB"/>
        </w:rPr>
        <w:t>2</w:t>
      </w:r>
      <w:r w:rsidRPr="00BE516E">
        <w:rPr>
          <w:rFonts w:ascii="Times New Roman" w:hAnsi="Times New Roman" w:cs="Times New Roman"/>
          <w:sz w:val="20"/>
          <w:szCs w:val="20"/>
          <w:lang w:val="en-GB"/>
        </w:rPr>
        <w:t xml:space="preserve"> at 37 °C. Then 85 µl medium was removed from each well and the resulting insoluble </w:t>
      </w:r>
      <w:proofErr w:type="spellStart"/>
      <w:r w:rsidRPr="00BE516E">
        <w:rPr>
          <w:rFonts w:ascii="Times New Roman" w:hAnsi="Times New Roman" w:cs="Times New Roman"/>
          <w:sz w:val="20"/>
          <w:szCs w:val="20"/>
          <w:lang w:val="en-GB"/>
        </w:rPr>
        <w:t>formazan</w:t>
      </w:r>
      <w:proofErr w:type="spellEnd"/>
      <w:r w:rsidRPr="00BE516E">
        <w:rPr>
          <w:rFonts w:ascii="Times New Roman" w:hAnsi="Times New Roman" w:cs="Times New Roman"/>
          <w:sz w:val="20"/>
          <w:szCs w:val="20"/>
          <w:lang w:val="en-GB"/>
        </w:rPr>
        <w:t xml:space="preserve"> was dissolved in 50 µl DMSO. This was allowed to stand for 10 minutes at the CO</w:t>
      </w:r>
      <w:r w:rsidRPr="00BE516E">
        <w:rPr>
          <w:rFonts w:ascii="Times New Roman" w:hAnsi="Times New Roman" w:cs="Times New Roman"/>
          <w:sz w:val="20"/>
          <w:szCs w:val="20"/>
          <w:vertAlign w:val="subscript"/>
          <w:lang w:val="en-GB"/>
        </w:rPr>
        <w:t>2</w:t>
      </w:r>
      <w:r w:rsidRPr="00BE516E">
        <w:rPr>
          <w:rFonts w:ascii="Times New Roman" w:hAnsi="Times New Roman" w:cs="Times New Roman"/>
          <w:sz w:val="20"/>
          <w:szCs w:val="20"/>
          <w:lang w:val="en-GB"/>
        </w:rPr>
        <w:t xml:space="preserve"> incubator at 37 °C and the absorbance was measured with the aid of a spectrophotometric </w:t>
      </w:r>
      <w:proofErr w:type="spellStart"/>
      <w:r w:rsidRPr="00BE516E">
        <w:rPr>
          <w:rFonts w:ascii="Times New Roman" w:hAnsi="Times New Roman" w:cs="Times New Roman"/>
          <w:sz w:val="20"/>
          <w:szCs w:val="20"/>
          <w:lang w:val="en-GB"/>
        </w:rPr>
        <w:t>microplate</w:t>
      </w:r>
      <w:proofErr w:type="spellEnd"/>
      <w:r w:rsidRPr="00BE516E">
        <w:rPr>
          <w:rFonts w:ascii="Times New Roman" w:hAnsi="Times New Roman" w:cs="Times New Roman"/>
          <w:sz w:val="20"/>
          <w:szCs w:val="20"/>
          <w:lang w:val="en-GB"/>
        </w:rPr>
        <w:t xml:space="preserve"> reader at 570 nm </w:t>
      </w:r>
      <w:proofErr w:type="gramStart"/>
      <w:r w:rsidRPr="00BE516E">
        <w:rPr>
          <w:rFonts w:ascii="Times New Roman" w:hAnsi="Times New Roman" w:cs="Times New Roman"/>
          <w:sz w:val="20"/>
          <w:szCs w:val="20"/>
          <w:lang w:val="en-GB"/>
        </w:rPr>
        <w:t>wavelength</w:t>
      </w:r>
      <w:proofErr w:type="gramEnd"/>
      <w:r w:rsidRPr="00BE516E">
        <w:rPr>
          <w:rFonts w:ascii="Times New Roman" w:hAnsi="Times New Roman" w:cs="Times New Roman"/>
          <w:sz w:val="20"/>
          <w:szCs w:val="20"/>
          <w:lang w:val="en-GB"/>
        </w:rPr>
        <w:t>. The medium without cells was taken as a blank and subtracted as background from each sample. Absorbance spectra in 3-(4</w:t>
      </w:r>
      <w:proofErr w:type="gramStart"/>
      <w:r w:rsidRPr="00BE516E">
        <w:rPr>
          <w:rFonts w:ascii="Times New Roman" w:hAnsi="Times New Roman" w:cs="Times New Roman"/>
          <w:sz w:val="20"/>
          <w:szCs w:val="20"/>
          <w:lang w:val="en-GB"/>
        </w:rPr>
        <w:t>,5</w:t>
      </w:r>
      <w:proofErr w:type="gramEnd"/>
      <w:r w:rsidRPr="00BE516E">
        <w:rPr>
          <w:rFonts w:ascii="Times New Roman" w:hAnsi="Times New Roman" w:cs="Times New Roman"/>
          <w:sz w:val="20"/>
          <w:szCs w:val="20"/>
          <w:lang w:val="en-GB"/>
        </w:rPr>
        <w:t xml:space="preserve">-dimethylthiazol-2-yl)-2,5-diphenyltetrazolium Bromide (MTT) reduction assays were recorded using a </w:t>
      </w:r>
      <w:proofErr w:type="spellStart"/>
      <w:r w:rsidRPr="00BE516E">
        <w:rPr>
          <w:rFonts w:ascii="Times New Roman" w:hAnsi="Times New Roman" w:cs="Times New Roman"/>
          <w:sz w:val="20"/>
          <w:szCs w:val="20"/>
          <w:lang w:val="en-GB"/>
        </w:rPr>
        <w:t>BioRad</w:t>
      </w:r>
      <w:proofErr w:type="spellEnd"/>
      <w:r w:rsidRPr="00BE516E">
        <w:rPr>
          <w:rFonts w:ascii="Times New Roman" w:hAnsi="Times New Roman" w:cs="Times New Roman"/>
          <w:sz w:val="20"/>
          <w:szCs w:val="20"/>
          <w:lang w:val="en-GB"/>
        </w:rPr>
        <w:t xml:space="preserve"> </w:t>
      </w:r>
      <w:proofErr w:type="spellStart"/>
      <w:r w:rsidRPr="00BE516E">
        <w:rPr>
          <w:rFonts w:ascii="Times New Roman" w:hAnsi="Times New Roman" w:cs="Times New Roman"/>
          <w:sz w:val="20"/>
          <w:szCs w:val="20"/>
          <w:lang w:val="en-GB"/>
        </w:rPr>
        <w:t>iMark</w:t>
      </w:r>
      <w:r w:rsidRPr="00BE516E">
        <w:rPr>
          <w:rFonts w:ascii="Times New Roman" w:hAnsi="Times New Roman" w:cs="Times New Roman"/>
          <w:sz w:val="20"/>
          <w:szCs w:val="20"/>
          <w:vertAlign w:val="superscript"/>
          <w:lang w:val="en-GB"/>
        </w:rPr>
        <w:t>TM</w:t>
      </w:r>
      <w:proofErr w:type="spellEnd"/>
      <w:r w:rsidRPr="00BE516E">
        <w:rPr>
          <w:rFonts w:ascii="Times New Roman" w:hAnsi="Times New Roman" w:cs="Times New Roman"/>
          <w:sz w:val="20"/>
          <w:szCs w:val="20"/>
          <w:lang w:val="en-GB"/>
        </w:rPr>
        <w:t xml:space="preserve"> </w:t>
      </w:r>
      <w:proofErr w:type="spellStart"/>
      <w:r w:rsidRPr="00BE516E">
        <w:rPr>
          <w:rFonts w:ascii="Times New Roman" w:hAnsi="Times New Roman" w:cs="Times New Roman"/>
          <w:sz w:val="20"/>
          <w:szCs w:val="20"/>
          <w:lang w:val="en-GB"/>
        </w:rPr>
        <w:t>microplate</w:t>
      </w:r>
      <w:proofErr w:type="spellEnd"/>
      <w:r w:rsidRPr="00BE516E">
        <w:rPr>
          <w:rFonts w:ascii="Times New Roman" w:hAnsi="Times New Roman" w:cs="Times New Roman"/>
          <w:sz w:val="20"/>
          <w:szCs w:val="20"/>
          <w:lang w:val="en-GB"/>
        </w:rPr>
        <w:t xml:space="preserve"> reader.</w:t>
      </w:r>
    </w:p>
    <w:p w:rsidR="00097C68" w:rsidRPr="00BE516E" w:rsidRDefault="00097C68" w:rsidP="00097C68">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Animal maintenance</w:t>
      </w:r>
    </w:p>
    <w:p w:rsidR="00097C68" w:rsidRPr="00BE516E" w:rsidRDefault="00097C68" w:rsidP="00097C68">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sz w:val="20"/>
          <w:szCs w:val="20"/>
        </w:rPr>
        <w:t>All the animals were maintained thoroughly accordance to the animal welfare guidelines briefly as follows.</w:t>
      </w:r>
    </w:p>
    <w:p w:rsidR="00097C68" w:rsidRPr="00BE516E" w:rsidRDefault="00097C68" w:rsidP="00097C68">
      <w:pPr>
        <w:pStyle w:val="NoSpacing"/>
        <w:spacing w:before="100" w:beforeAutospacing="1" w:after="100" w:afterAutospacing="1" w:line="360" w:lineRule="auto"/>
        <w:jc w:val="both"/>
        <w:rPr>
          <w:rFonts w:ascii="Times New Roman" w:eastAsia="Calibri" w:hAnsi="Times New Roman" w:cs="Times New Roman"/>
          <w:sz w:val="20"/>
          <w:szCs w:val="20"/>
        </w:rPr>
      </w:pPr>
      <w:r w:rsidRPr="00BE516E">
        <w:rPr>
          <w:rFonts w:ascii="Times New Roman" w:eastAsia="Calibri" w:hAnsi="Times New Roman" w:cs="Times New Roman"/>
          <w:b/>
          <w:sz w:val="20"/>
          <w:szCs w:val="20"/>
        </w:rPr>
        <w:t>Environmental conditions</w:t>
      </w:r>
    </w:p>
    <w:p w:rsidR="00097C68" w:rsidRPr="00BE516E" w:rsidRDefault="00097C68" w:rsidP="00097C68">
      <w:pPr>
        <w:pStyle w:val="NoSpacing"/>
        <w:spacing w:before="100" w:beforeAutospacing="1" w:after="100" w:afterAutospacing="1" w:line="360" w:lineRule="auto"/>
        <w:jc w:val="both"/>
        <w:rPr>
          <w:rFonts w:ascii="Times New Roman" w:eastAsia="Calibri" w:hAnsi="Times New Roman" w:cs="Times New Roman"/>
          <w:b/>
          <w:sz w:val="20"/>
          <w:szCs w:val="20"/>
        </w:rPr>
      </w:pPr>
      <w:r w:rsidRPr="00BE516E">
        <w:rPr>
          <w:rFonts w:ascii="Times New Roman" w:eastAsia="Calibri" w:hAnsi="Times New Roman" w:cs="Times New Roman"/>
          <w:sz w:val="20"/>
          <w:szCs w:val="20"/>
        </w:rPr>
        <w:lastRenderedPageBreak/>
        <w:t xml:space="preserve">Air conditioned rooms with 10-15 air change per hour, temperature between </w:t>
      </w:r>
      <w:r w:rsidRPr="00BE516E">
        <w:rPr>
          <w:rFonts w:ascii="Times New Roman" w:hAnsi="Times New Roman" w:cs="Times New Roman"/>
          <w:sz w:val="20"/>
          <w:szCs w:val="20"/>
        </w:rPr>
        <w:t>20-</w:t>
      </w:r>
      <w:r w:rsidRPr="00BE516E">
        <w:rPr>
          <w:rFonts w:ascii="Times New Roman" w:eastAsia="Calibri" w:hAnsi="Times New Roman" w:cs="Times New Roman"/>
          <w:sz w:val="20"/>
          <w:szCs w:val="20"/>
        </w:rPr>
        <w:t xml:space="preserve">25 </w:t>
      </w:r>
      <w:r w:rsidRPr="00BE516E">
        <w:rPr>
          <w:rFonts w:ascii="Times New Roman" w:hAnsi="Times New Roman" w:cs="Times New Roman"/>
          <w:sz w:val="20"/>
          <w:szCs w:val="20"/>
        </w:rPr>
        <w:t>º</w:t>
      </w:r>
      <w:r w:rsidRPr="00BE516E">
        <w:rPr>
          <w:rFonts w:ascii="Times New Roman" w:eastAsia="Calibri" w:hAnsi="Times New Roman" w:cs="Times New Roman"/>
          <w:sz w:val="20"/>
          <w:szCs w:val="20"/>
        </w:rPr>
        <w:t>C, relative humidity 30-</w:t>
      </w:r>
      <w:r w:rsidRPr="00BE516E">
        <w:rPr>
          <w:rFonts w:ascii="Times New Roman" w:hAnsi="Times New Roman" w:cs="Times New Roman"/>
          <w:sz w:val="20"/>
          <w:szCs w:val="20"/>
        </w:rPr>
        <w:t>65</w:t>
      </w:r>
      <w:r w:rsidRPr="00BE516E">
        <w:rPr>
          <w:rFonts w:ascii="Times New Roman" w:eastAsia="Calibri" w:hAnsi="Times New Roman" w:cs="Times New Roman"/>
          <w:sz w:val="20"/>
          <w:szCs w:val="20"/>
        </w:rPr>
        <w:t>% and artificial fluorescent illumination cycle set to 12 h light and 12 h dark.</w:t>
      </w:r>
    </w:p>
    <w:p w:rsidR="00097C68" w:rsidRPr="00BE516E" w:rsidRDefault="00B2174A" w:rsidP="00097C68">
      <w:pPr>
        <w:pStyle w:val="NoSpacing"/>
        <w:spacing w:before="100" w:beforeAutospacing="1" w:after="100" w:afterAutospacing="1" w:line="360" w:lineRule="auto"/>
        <w:jc w:val="both"/>
        <w:rPr>
          <w:rFonts w:ascii="Times New Roman" w:hAnsi="Times New Roman" w:cs="Times New Roman"/>
          <w:b/>
          <w:sz w:val="20"/>
          <w:szCs w:val="20"/>
        </w:rPr>
      </w:pPr>
      <w:r>
        <w:rPr>
          <w:rFonts w:ascii="Times New Roman" w:eastAsia="Calibri" w:hAnsi="Times New Roman" w:cs="Times New Roman"/>
          <w:b/>
          <w:sz w:val="20"/>
          <w:szCs w:val="20"/>
        </w:rPr>
        <w:t>Animal husbandry</w:t>
      </w:r>
    </w:p>
    <w:p w:rsidR="00097C68" w:rsidRPr="00B2174A" w:rsidRDefault="00097C68" w:rsidP="00097C68">
      <w:pPr>
        <w:pStyle w:val="NoSpacing"/>
        <w:spacing w:before="100" w:beforeAutospacing="1" w:after="100" w:afterAutospacing="1" w:line="360" w:lineRule="auto"/>
        <w:jc w:val="both"/>
        <w:rPr>
          <w:rFonts w:ascii="Times New Roman" w:eastAsia="Calibri" w:hAnsi="Times New Roman" w:cs="Times New Roman"/>
          <w:sz w:val="20"/>
          <w:szCs w:val="20"/>
        </w:rPr>
      </w:pPr>
      <w:r w:rsidRPr="00BE516E">
        <w:rPr>
          <w:rFonts w:ascii="Times New Roman" w:eastAsia="Calibri" w:hAnsi="Times New Roman" w:cs="Times New Roman"/>
          <w:sz w:val="20"/>
          <w:szCs w:val="20"/>
        </w:rPr>
        <w:t>Group housed in polypropylene cages with stainless steel grill top, facilities for food and water bottle, and bedding of clean paddy husk</w:t>
      </w:r>
      <w:r w:rsidR="00B2174A">
        <w:rPr>
          <w:rFonts w:ascii="Times New Roman" w:hAnsi="Times New Roman" w:cs="Times New Roman"/>
          <w:sz w:val="20"/>
          <w:szCs w:val="20"/>
        </w:rPr>
        <w:t xml:space="preserve"> for mice and rats. </w:t>
      </w:r>
      <w:r w:rsidRPr="00BE516E">
        <w:rPr>
          <w:rFonts w:ascii="Times New Roman" w:hAnsi="Times New Roman" w:cs="Times New Roman"/>
          <w:sz w:val="20"/>
          <w:szCs w:val="20"/>
        </w:rPr>
        <w:t xml:space="preserve">Standard pellet diet for mice and rats were maintained. Food supplied two times a day regularly with cleaned bottled hospital supplied drinking water. Food was withdrawn according to study protocol. </w:t>
      </w:r>
    </w:p>
    <w:p w:rsidR="00097C68" w:rsidRPr="00BE516E" w:rsidRDefault="00097C68" w:rsidP="00097C68">
      <w:pPr>
        <w:pStyle w:val="NoSpacing"/>
        <w:spacing w:before="100" w:beforeAutospacing="1" w:after="100" w:afterAutospacing="1" w:line="360" w:lineRule="auto"/>
        <w:jc w:val="both"/>
        <w:rPr>
          <w:rFonts w:ascii="Times New Roman" w:hAnsi="Times New Roman" w:cs="Times New Roman"/>
          <w:b/>
          <w:iCs/>
          <w:sz w:val="20"/>
          <w:szCs w:val="20"/>
        </w:rPr>
      </w:pPr>
      <w:r w:rsidRPr="00BE516E">
        <w:rPr>
          <w:rFonts w:ascii="Times New Roman" w:hAnsi="Times New Roman" w:cs="Times New Roman"/>
          <w:b/>
          <w:iCs/>
          <w:sz w:val="20"/>
          <w:szCs w:val="20"/>
        </w:rPr>
        <w:t>Acute toxicity study</w:t>
      </w:r>
    </w:p>
    <w:p w:rsidR="00097C68" w:rsidRPr="00BE516E" w:rsidRDefault="00097C68" w:rsidP="00097C68">
      <w:pPr>
        <w:pStyle w:val="NoSpacing"/>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iCs/>
          <w:sz w:val="20"/>
          <w:szCs w:val="20"/>
        </w:rPr>
        <w:t>Determination of the acute toxicity is the initial step to evaluate the toxic nature of a drug candidate. This test ensures the level of health hazard likely to arise from a short exposure of any drug in living system. To establish the dosage regimen of I</w:t>
      </w:r>
      <w:r w:rsidR="00F254C7">
        <w:rPr>
          <w:rFonts w:ascii="Times New Roman" w:hAnsi="Times New Roman" w:cs="Times New Roman"/>
          <w:iCs/>
          <w:sz w:val="20"/>
          <w:szCs w:val="20"/>
        </w:rPr>
        <w:t>NH</w:t>
      </w:r>
      <w:r w:rsidRPr="00BE516E">
        <w:rPr>
          <w:rFonts w:ascii="Times New Roman" w:hAnsi="Times New Roman" w:cs="Times New Roman"/>
          <w:iCs/>
          <w:sz w:val="20"/>
          <w:szCs w:val="20"/>
        </w:rPr>
        <w:t xml:space="preserve">, the female Swiss albino mice with body weight between 20-25 g were selected in 5 groups (N=3) and after acclimatization for 15 days at laboratory they were given the drug ranging from 10 µg/10 µl to </w:t>
      </w:r>
      <w:r w:rsidRPr="00BE516E">
        <w:rPr>
          <w:rFonts w:ascii="Times New Roman" w:hAnsi="Times New Roman" w:cs="Times New Roman"/>
          <w:sz w:val="20"/>
          <w:szCs w:val="20"/>
        </w:rPr>
        <w:t xml:space="preserve">150 µg/10 µl in each nostrils with the aid of a </w:t>
      </w:r>
      <w:proofErr w:type="spellStart"/>
      <w:r w:rsidRPr="00BE516E">
        <w:rPr>
          <w:rFonts w:ascii="Times New Roman" w:hAnsi="Times New Roman" w:cs="Times New Roman"/>
          <w:sz w:val="20"/>
          <w:szCs w:val="20"/>
        </w:rPr>
        <w:t>pipettor</w:t>
      </w:r>
      <w:proofErr w:type="spellEnd"/>
      <w:r w:rsidRPr="00BE516E">
        <w:rPr>
          <w:rFonts w:ascii="Times New Roman" w:hAnsi="Times New Roman" w:cs="Times New Roman"/>
          <w:sz w:val="20"/>
          <w:szCs w:val="20"/>
        </w:rPr>
        <w:t xml:space="preserve"> in a non-anesthetized mode as described below. </w:t>
      </w:r>
      <w:r w:rsidR="009043E0" w:rsidRPr="00BE516E">
        <w:rPr>
          <w:rFonts w:ascii="Times New Roman" w:hAnsi="Times New Roman" w:cs="Times New Roman"/>
          <w:sz w:val="20"/>
          <w:szCs w:val="20"/>
        </w:rPr>
        <w:t>The</w:t>
      </w:r>
      <w:r w:rsidRPr="00BE516E">
        <w:rPr>
          <w:rFonts w:ascii="Times New Roman" w:hAnsi="Times New Roman" w:cs="Times New Roman"/>
          <w:sz w:val="20"/>
          <w:szCs w:val="20"/>
        </w:rPr>
        <w:t xml:space="preserve"> animals were screened for the behavioral observation parameters related to clin</w:t>
      </w:r>
      <w:r w:rsidR="004A6919" w:rsidRPr="00BE516E">
        <w:rPr>
          <w:rFonts w:ascii="Times New Roman" w:hAnsi="Times New Roman" w:cs="Times New Roman"/>
          <w:sz w:val="20"/>
          <w:szCs w:val="20"/>
        </w:rPr>
        <w:t>ical signs of toxicity</w:t>
      </w:r>
      <w:r w:rsidR="009043E0" w:rsidRPr="00BE516E">
        <w:rPr>
          <w:rFonts w:ascii="Times New Roman" w:hAnsi="Times New Roman" w:cs="Times New Roman"/>
          <w:sz w:val="20"/>
          <w:szCs w:val="20"/>
        </w:rPr>
        <w:t>, incidence of mortality, and signs of intoxication for 14 days following the OECD guidelines</w:t>
      </w:r>
      <w:r w:rsidR="009043E0" w:rsidRPr="00BE516E">
        <w:rPr>
          <w:rFonts w:ascii="Times New Roman" w:hAnsi="Times New Roman" w:cs="Times New Roman"/>
          <w:i/>
          <w:sz w:val="20"/>
          <w:szCs w:val="20"/>
        </w:rPr>
        <w:t xml:space="preserve"> </w:t>
      </w:r>
      <w:r w:rsidR="009043E0"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DOI":"https://doi.org/https://doi.org/10.1787/9789264070608-en","author":[{"dropping-particle":"","family":"OECD","given":"","non-dropping-particle":"","parse-names":false,"suffix":""}],"id":"ITEM-1","issued":{"date-parts":[["2009"]]},"number-of-pages":"19","title":"Test No. 403: Acute Inhalation Toxicity","type":"book"},"uris":["http://www.mendeley.com/documents/?uuid=d5dc17af-da6a-430b-9f19-b1b8d51566ab"]}],"mendeley":{"formattedCitation":"[6]","plainTextFormattedCitation":"[6]","previouslyFormattedCitation":"[6]"},"properties":{"noteIndex":0},"schema":"https://github.com/citation-style-language/schema/raw/master/csl-citation.json"}</w:instrText>
      </w:r>
      <w:r w:rsidR="009043E0"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[6]</w:t>
      </w:r>
      <w:r w:rsidR="009043E0" w:rsidRPr="00BE516E">
        <w:rPr>
          <w:rFonts w:ascii="Times New Roman" w:hAnsi="Times New Roman" w:cs="Times New Roman"/>
          <w:sz w:val="20"/>
          <w:szCs w:val="20"/>
        </w:rPr>
        <w:fldChar w:fldCharType="end"/>
      </w:r>
      <w:r w:rsidR="004A6919" w:rsidRPr="00BE516E">
        <w:rPr>
          <w:rFonts w:ascii="Times New Roman" w:hAnsi="Times New Roman" w:cs="Times New Roman"/>
          <w:sz w:val="20"/>
          <w:szCs w:val="20"/>
        </w:rPr>
        <w:t xml:space="preserve"> (Table S4</w:t>
      </w:r>
      <w:r w:rsidRPr="00BE516E">
        <w:rPr>
          <w:rFonts w:ascii="Times New Roman" w:hAnsi="Times New Roman" w:cs="Times New Roman"/>
          <w:sz w:val="20"/>
          <w:szCs w:val="20"/>
        </w:rPr>
        <w:t xml:space="preserve">). </w:t>
      </w:r>
    </w:p>
    <w:tbl>
      <w:tblPr>
        <w:tblStyle w:val="LightShading"/>
        <w:tblW w:w="8930" w:type="dxa"/>
        <w:jc w:val="center"/>
        <w:tblLayout w:type="fixed"/>
        <w:tblLook w:val="06A0" w:firstRow="1" w:lastRow="0" w:firstColumn="1" w:lastColumn="0" w:noHBand="1" w:noVBand="1"/>
      </w:tblPr>
      <w:tblGrid>
        <w:gridCol w:w="468"/>
        <w:gridCol w:w="1355"/>
        <w:gridCol w:w="661"/>
        <w:gridCol w:w="628"/>
        <w:gridCol w:w="363"/>
        <w:gridCol w:w="450"/>
        <w:gridCol w:w="360"/>
        <w:gridCol w:w="449"/>
        <w:gridCol w:w="236"/>
        <w:gridCol w:w="270"/>
        <w:gridCol w:w="270"/>
        <w:gridCol w:w="360"/>
        <w:gridCol w:w="360"/>
        <w:gridCol w:w="270"/>
        <w:gridCol w:w="360"/>
        <w:gridCol w:w="270"/>
        <w:gridCol w:w="360"/>
        <w:gridCol w:w="360"/>
        <w:gridCol w:w="360"/>
        <w:gridCol w:w="360"/>
        <w:gridCol w:w="360"/>
      </w:tblGrid>
      <w:tr w:rsidR="00097C68" w:rsidRPr="00BE516E" w:rsidTr="00CA0D2C">
        <w:trPr>
          <w:cnfStyle w:val="100000000000" w:firstRow="1" w:lastRow="0" w:firstColumn="0" w:lastColumn="0" w:oddVBand="0" w:evenVBand="0" w:oddHBand="0"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jc w:val="both"/>
              <w:rPr>
                <w:rFonts w:ascii="Times New Roman" w:eastAsia="Times New Roman" w:hAnsi="Times New Roman" w:cs="Times New Roman"/>
                <w:b w:val="0"/>
                <w:sz w:val="20"/>
                <w:szCs w:val="20"/>
              </w:rPr>
            </w:pPr>
          </w:p>
        </w:tc>
        <w:tc>
          <w:tcPr>
            <w:tcW w:w="1355" w:type="dxa"/>
          </w:tcPr>
          <w:p w:rsidR="00097C68" w:rsidRPr="00BE516E" w:rsidRDefault="00097C68" w:rsidP="0022604A">
            <w:pPr>
              <w:spacing w:before="100" w:beforeAutospacing="1" w:after="100" w:afterAutospacing="1" w:line="360" w:lineRule="auto"/>
              <w:ind w:right="5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BE516E">
              <w:rPr>
                <w:rFonts w:ascii="Times New Roman" w:eastAsia="Times New Roman" w:hAnsi="Times New Roman" w:cs="Times New Roman"/>
                <w:sz w:val="20"/>
                <w:szCs w:val="20"/>
              </w:rPr>
              <w:t xml:space="preserve">Animal No: </w:t>
            </w:r>
          </w:p>
        </w:tc>
        <w:tc>
          <w:tcPr>
            <w:tcW w:w="2911" w:type="dxa"/>
            <w:gridSpan w:val="6"/>
          </w:tcPr>
          <w:p w:rsidR="00097C68" w:rsidRPr="00BE516E" w:rsidRDefault="00097C68" w:rsidP="0022604A">
            <w:pPr>
              <w:spacing w:before="100" w:beforeAutospacing="1" w:after="100" w:afterAutospacing="1" w:line="360" w:lineRule="auto"/>
              <w:ind w:right="38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BE516E">
              <w:rPr>
                <w:rFonts w:ascii="Times New Roman" w:hAnsi="Times New Roman" w:cs="Times New Roman"/>
                <w:sz w:val="20"/>
                <w:szCs w:val="20"/>
              </w:rPr>
              <w:t>Day 1</w:t>
            </w:r>
          </w:p>
        </w:tc>
        <w:tc>
          <w:tcPr>
            <w:tcW w:w="4196" w:type="dxa"/>
            <w:gridSpan w:val="13"/>
          </w:tcPr>
          <w:p w:rsidR="00097C68" w:rsidRPr="00BE516E" w:rsidRDefault="00097C68" w:rsidP="0022604A">
            <w:pPr>
              <w:spacing w:before="100" w:beforeAutospacing="1" w:after="100" w:afterAutospacing="1" w:line="360" w:lineRule="auto"/>
              <w:ind w:right="38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BE516E">
              <w:rPr>
                <w:rFonts w:ascii="Times New Roman" w:hAnsi="Times New Roman" w:cs="Times New Roman"/>
                <w:sz w:val="20"/>
                <w:szCs w:val="20"/>
              </w:rPr>
              <w:t>Day</w:t>
            </w: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jc w:val="both"/>
              <w:rPr>
                <w:rFonts w:ascii="Times New Roman" w:eastAsia="Times New Roman" w:hAnsi="Times New Roman" w:cs="Times New Roman"/>
                <w:b w:val="0"/>
                <w:sz w:val="20"/>
                <w:szCs w:val="20"/>
              </w:rPr>
            </w:pPr>
          </w:p>
        </w:tc>
        <w:tc>
          <w:tcPr>
            <w:tcW w:w="1355" w:type="dxa"/>
          </w:tcPr>
          <w:p w:rsidR="00097C68" w:rsidRPr="00BE516E" w:rsidRDefault="00097C68" w:rsidP="0022604A">
            <w:pPr>
              <w:spacing w:before="100" w:beforeAutospacing="1" w:after="100" w:afterAutospacing="1" w:line="360" w:lineRule="auto"/>
              <w:ind w:right="5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661" w:type="dxa"/>
          </w:tcPr>
          <w:p w:rsidR="00097C68" w:rsidRPr="00BE516E" w:rsidRDefault="00097C68" w:rsidP="0022604A">
            <w:pPr>
              <w:spacing w:before="100" w:beforeAutospacing="1" w:after="100" w:afterAutospacing="1" w:line="360" w:lineRule="auto"/>
              <w:ind w:right="30" w:hanging="11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10min</w:t>
            </w:r>
          </w:p>
        </w:tc>
        <w:tc>
          <w:tcPr>
            <w:tcW w:w="628" w:type="dxa"/>
          </w:tcPr>
          <w:p w:rsidR="00097C68" w:rsidRPr="00BE516E" w:rsidRDefault="00097C68" w:rsidP="0022604A">
            <w:pPr>
              <w:spacing w:before="100" w:beforeAutospacing="1" w:after="100" w:afterAutospacing="1" w:line="360" w:lineRule="auto"/>
              <w:ind w:hanging="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30 min</w:t>
            </w:r>
          </w:p>
        </w:tc>
        <w:tc>
          <w:tcPr>
            <w:tcW w:w="363" w:type="dxa"/>
          </w:tcPr>
          <w:p w:rsidR="00097C68" w:rsidRPr="00BE516E" w:rsidRDefault="00097C68" w:rsidP="0022604A">
            <w:pPr>
              <w:spacing w:before="100" w:beforeAutospacing="1" w:after="100" w:afterAutospacing="1" w:line="360" w:lineRule="auto"/>
              <w:ind w:hanging="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1 h</w:t>
            </w:r>
          </w:p>
        </w:tc>
        <w:tc>
          <w:tcPr>
            <w:tcW w:w="450" w:type="dxa"/>
          </w:tcPr>
          <w:p w:rsidR="00097C68" w:rsidRPr="00BE516E" w:rsidRDefault="00097C68" w:rsidP="0022604A">
            <w:pPr>
              <w:spacing w:before="100" w:beforeAutospacing="1" w:after="100" w:afterAutospacing="1" w:line="360" w:lineRule="auto"/>
              <w:ind w:right="41" w:hanging="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2 h</w:t>
            </w:r>
          </w:p>
        </w:tc>
        <w:tc>
          <w:tcPr>
            <w:tcW w:w="360" w:type="dxa"/>
          </w:tcPr>
          <w:p w:rsidR="00097C68" w:rsidRPr="00BE516E" w:rsidRDefault="00097C68" w:rsidP="0022604A">
            <w:pPr>
              <w:spacing w:before="100" w:beforeAutospacing="1" w:after="100" w:afterAutospacing="1" w:line="360" w:lineRule="auto"/>
              <w:ind w:right="39" w:hanging="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4 h</w:t>
            </w:r>
          </w:p>
        </w:tc>
        <w:tc>
          <w:tcPr>
            <w:tcW w:w="449" w:type="dxa"/>
          </w:tcPr>
          <w:p w:rsidR="00097C68" w:rsidRPr="00BE516E" w:rsidRDefault="00097C68" w:rsidP="0022604A">
            <w:pPr>
              <w:spacing w:before="100" w:beforeAutospacing="1" w:after="100" w:afterAutospacing="1" w:line="360" w:lineRule="auto"/>
              <w:ind w:right="35" w:hanging="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6 h</w:t>
            </w:r>
          </w:p>
        </w:tc>
        <w:tc>
          <w:tcPr>
            <w:tcW w:w="236" w:type="dxa"/>
          </w:tcPr>
          <w:p w:rsidR="00097C68" w:rsidRPr="00BE516E" w:rsidRDefault="00097C68" w:rsidP="0022604A">
            <w:pPr>
              <w:spacing w:before="100" w:beforeAutospacing="1" w:after="100" w:afterAutospacing="1" w:line="360" w:lineRule="auto"/>
              <w:ind w:right="1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2</w:t>
            </w:r>
          </w:p>
        </w:tc>
        <w:tc>
          <w:tcPr>
            <w:tcW w:w="270" w:type="dxa"/>
          </w:tcPr>
          <w:p w:rsidR="00097C68" w:rsidRPr="00BE516E" w:rsidRDefault="00097C68" w:rsidP="0022604A">
            <w:pPr>
              <w:spacing w:before="100" w:beforeAutospacing="1" w:after="100" w:afterAutospacing="1" w:line="360" w:lineRule="auto"/>
              <w:ind w:right="6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3</w:t>
            </w:r>
          </w:p>
        </w:tc>
        <w:tc>
          <w:tcPr>
            <w:tcW w:w="270" w:type="dxa"/>
          </w:tcPr>
          <w:p w:rsidR="00097C68" w:rsidRPr="00BE516E" w:rsidRDefault="00097C68" w:rsidP="0022604A">
            <w:pPr>
              <w:spacing w:before="100" w:beforeAutospacing="1" w:after="100" w:afterAutospacing="1" w:line="360" w:lineRule="auto"/>
              <w:ind w:right="8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4</w:t>
            </w:r>
          </w:p>
        </w:tc>
        <w:tc>
          <w:tcPr>
            <w:tcW w:w="360" w:type="dxa"/>
          </w:tcPr>
          <w:p w:rsidR="00097C68" w:rsidRPr="00BE516E" w:rsidRDefault="00097C68" w:rsidP="0022604A">
            <w:pPr>
              <w:tabs>
                <w:tab w:val="left" w:pos="162"/>
              </w:tabs>
              <w:spacing w:before="100" w:beforeAutospacing="1" w:after="100" w:afterAutospacing="1" w:line="360" w:lineRule="auto"/>
              <w:ind w:right="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5</w:t>
            </w:r>
          </w:p>
        </w:tc>
        <w:tc>
          <w:tcPr>
            <w:tcW w:w="360" w:type="dxa"/>
          </w:tcPr>
          <w:p w:rsidR="00097C68" w:rsidRPr="00BE516E" w:rsidRDefault="00097C68" w:rsidP="0022604A">
            <w:pPr>
              <w:spacing w:before="100" w:beforeAutospacing="1" w:after="100" w:afterAutospacing="1" w:line="360" w:lineRule="auto"/>
              <w:ind w:right="76" w:hanging="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6</w:t>
            </w:r>
          </w:p>
        </w:tc>
        <w:tc>
          <w:tcPr>
            <w:tcW w:w="270" w:type="dxa"/>
          </w:tcPr>
          <w:p w:rsidR="00097C68" w:rsidRPr="00BE516E" w:rsidRDefault="00097C68" w:rsidP="0022604A">
            <w:pPr>
              <w:spacing w:before="100" w:beforeAutospacing="1" w:after="100" w:afterAutospacing="1" w:line="360" w:lineRule="auto"/>
              <w:ind w:right="8" w:hanging="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7</w:t>
            </w:r>
          </w:p>
        </w:tc>
        <w:tc>
          <w:tcPr>
            <w:tcW w:w="360" w:type="dxa"/>
          </w:tcPr>
          <w:p w:rsidR="00097C68" w:rsidRPr="00BE516E" w:rsidRDefault="00097C68" w:rsidP="0022604A">
            <w:pPr>
              <w:spacing w:before="100" w:beforeAutospacing="1" w:after="100" w:afterAutospacing="1" w:line="360" w:lineRule="auto"/>
              <w:ind w:hanging="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8</w:t>
            </w:r>
          </w:p>
        </w:tc>
        <w:tc>
          <w:tcPr>
            <w:tcW w:w="270" w:type="dxa"/>
          </w:tcPr>
          <w:p w:rsidR="00097C68" w:rsidRPr="00BE516E" w:rsidRDefault="00097C68" w:rsidP="0022604A">
            <w:pPr>
              <w:spacing w:before="100" w:beforeAutospacing="1" w:after="100" w:afterAutospacing="1" w:line="360" w:lineRule="auto"/>
              <w:ind w:hanging="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9</w:t>
            </w:r>
          </w:p>
        </w:tc>
        <w:tc>
          <w:tcPr>
            <w:tcW w:w="360" w:type="dxa"/>
          </w:tcPr>
          <w:p w:rsidR="00097C68" w:rsidRPr="00BE516E" w:rsidRDefault="00097C68" w:rsidP="0022604A">
            <w:pPr>
              <w:tabs>
                <w:tab w:val="left" w:pos="532"/>
              </w:tabs>
              <w:spacing w:before="100" w:beforeAutospacing="1" w:after="100" w:afterAutospacing="1" w:line="360" w:lineRule="auto"/>
              <w:ind w:right="34" w:hanging="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10</w:t>
            </w:r>
          </w:p>
        </w:tc>
        <w:tc>
          <w:tcPr>
            <w:tcW w:w="360" w:type="dxa"/>
          </w:tcPr>
          <w:p w:rsidR="00097C68" w:rsidRPr="00BE516E" w:rsidRDefault="00097C68" w:rsidP="0022604A">
            <w:pPr>
              <w:spacing w:before="100" w:beforeAutospacing="1" w:after="100" w:afterAutospacing="1" w:line="360" w:lineRule="auto"/>
              <w:ind w:right="14" w:hanging="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11</w:t>
            </w:r>
          </w:p>
        </w:tc>
        <w:tc>
          <w:tcPr>
            <w:tcW w:w="360" w:type="dxa"/>
          </w:tcPr>
          <w:p w:rsidR="00097C68" w:rsidRPr="00BE516E" w:rsidRDefault="00097C68" w:rsidP="0022604A">
            <w:pPr>
              <w:spacing w:before="100" w:beforeAutospacing="1" w:after="100" w:afterAutospacing="1" w:line="360" w:lineRule="auto"/>
              <w:ind w:hanging="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12</w:t>
            </w:r>
          </w:p>
        </w:tc>
        <w:tc>
          <w:tcPr>
            <w:tcW w:w="360" w:type="dxa"/>
          </w:tcPr>
          <w:p w:rsidR="00097C68" w:rsidRPr="00BE516E" w:rsidRDefault="00097C68" w:rsidP="0022604A">
            <w:pPr>
              <w:spacing w:before="100" w:beforeAutospacing="1" w:after="100" w:afterAutospacing="1" w:line="360" w:lineRule="auto"/>
              <w:ind w:right="10" w:hanging="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13</w:t>
            </w:r>
          </w:p>
        </w:tc>
        <w:tc>
          <w:tcPr>
            <w:tcW w:w="360" w:type="dxa"/>
          </w:tcPr>
          <w:p w:rsidR="00097C68" w:rsidRPr="00BE516E" w:rsidRDefault="00097C68" w:rsidP="0022604A">
            <w:pPr>
              <w:spacing w:before="100" w:beforeAutospacing="1" w:after="100" w:afterAutospacing="1" w:line="360" w:lineRule="auto"/>
              <w:ind w:right="-34" w:hanging="1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E516E">
              <w:rPr>
                <w:rFonts w:ascii="Times New Roman" w:hAnsi="Times New Roman" w:cs="Times New Roman"/>
                <w:b/>
                <w:sz w:val="20"/>
                <w:szCs w:val="20"/>
              </w:rPr>
              <w:t>14</w:t>
            </w: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1</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BE516E">
              <w:rPr>
                <w:rFonts w:ascii="Times New Roman" w:eastAsia="Times New Roman" w:hAnsi="Times New Roman" w:cs="Times New Roman"/>
                <w:sz w:val="20"/>
                <w:szCs w:val="20"/>
              </w:rPr>
              <w:t>Somatomotor</w:t>
            </w:r>
            <w:proofErr w:type="spellEnd"/>
            <w:r w:rsidRPr="00BE516E">
              <w:rPr>
                <w:rFonts w:ascii="Times New Roman" w:eastAsia="Times New Roman" w:hAnsi="Times New Roman" w:cs="Times New Roman"/>
                <w:sz w:val="20"/>
                <w:szCs w:val="20"/>
              </w:rPr>
              <w:t xml:space="preserve"> activity</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2</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Ataxia</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3</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Tremor</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4</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Convulsions</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5</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Writhing</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6</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Straub</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7</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Catalepsy</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8</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Inclined plane test</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9</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Pupils</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10</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Ptosis</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11</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Reaction to touch</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12</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BE516E">
              <w:rPr>
                <w:rFonts w:ascii="Times New Roman" w:eastAsia="Times New Roman" w:hAnsi="Times New Roman" w:cs="Times New Roman"/>
                <w:sz w:val="20"/>
                <w:szCs w:val="20"/>
              </w:rPr>
              <w:t>Pinnal</w:t>
            </w:r>
            <w:proofErr w:type="spellEnd"/>
            <w:r w:rsidRPr="00BE516E">
              <w:rPr>
                <w:rFonts w:ascii="Times New Roman" w:eastAsia="Times New Roman" w:hAnsi="Times New Roman" w:cs="Times New Roman"/>
                <w:sz w:val="20"/>
                <w:szCs w:val="20"/>
              </w:rPr>
              <w:t xml:space="preserve"> reflex</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lastRenderedPageBreak/>
              <w:t>13</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Corneal reflex</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14</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Righting reflex</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15</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BE516E">
              <w:rPr>
                <w:rFonts w:ascii="Times New Roman" w:eastAsia="Times New Roman" w:hAnsi="Times New Roman" w:cs="Times New Roman"/>
                <w:sz w:val="20"/>
                <w:szCs w:val="20"/>
              </w:rPr>
              <w:t>Piloerection</w:t>
            </w:r>
            <w:proofErr w:type="spellEnd"/>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16</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Cyanosis</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17</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Salivation</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18</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Analgesia</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19</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BE516E">
              <w:rPr>
                <w:rFonts w:ascii="Times New Roman" w:eastAsia="Times New Roman" w:hAnsi="Times New Roman" w:cs="Times New Roman"/>
                <w:sz w:val="20"/>
                <w:szCs w:val="20"/>
              </w:rPr>
              <w:t>Lacrymation</w:t>
            </w:r>
            <w:proofErr w:type="spellEnd"/>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20</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BE516E">
              <w:rPr>
                <w:rFonts w:ascii="Times New Roman" w:eastAsia="Times New Roman" w:hAnsi="Times New Roman" w:cs="Times New Roman"/>
                <w:sz w:val="20"/>
                <w:szCs w:val="20"/>
              </w:rPr>
              <w:t>Diarrhoea</w:t>
            </w:r>
            <w:proofErr w:type="spellEnd"/>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21</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Stereotypy</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22</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BE516E">
              <w:rPr>
                <w:rFonts w:ascii="Times New Roman" w:eastAsia="Times New Roman" w:hAnsi="Times New Roman" w:cs="Times New Roman"/>
                <w:sz w:val="20"/>
                <w:szCs w:val="20"/>
              </w:rPr>
              <w:t>Muricidal</w:t>
            </w:r>
            <w:proofErr w:type="spellEnd"/>
            <w:r w:rsidRPr="00BE516E">
              <w:rPr>
                <w:rFonts w:ascii="Times New Roman" w:eastAsia="Times New Roman" w:hAnsi="Times New Roman" w:cs="Times New Roman"/>
                <w:sz w:val="20"/>
                <w:szCs w:val="20"/>
              </w:rPr>
              <w:t xml:space="preserve"> activity</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23</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Respiration</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24</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Coma</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97C68" w:rsidRPr="00BE516E" w:rsidTr="00CA0D2C">
        <w:trPr>
          <w:jc w:val="center"/>
        </w:trPr>
        <w:tc>
          <w:tcPr>
            <w:cnfStyle w:val="001000000000" w:firstRow="0" w:lastRow="0" w:firstColumn="1" w:lastColumn="0" w:oddVBand="0" w:evenVBand="0" w:oddHBand="0" w:evenHBand="0" w:firstRowFirstColumn="0" w:firstRowLastColumn="0" w:lastRowFirstColumn="0" w:lastRowLastColumn="0"/>
            <w:tcW w:w="468" w:type="dxa"/>
          </w:tcPr>
          <w:p w:rsidR="00097C68" w:rsidRPr="00BE516E" w:rsidRDefault="00097C68" w:rsidP="0022604A">
            <w:pPr>
              <w:spacing w:before="100" w:beforeAutospacing="1" w:after="100" w:afterAutospacing="1" w:line="360" w:lineRule="auto"/>
              <w:ind w:right="-44"/>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25</w:t>
            </w:r>
          </w:p>
        </w:tc>
        <w:tc>
          <w:tcPr>
            <w:tcW w:w="1355" w:type="dxa"/>
          </w:tcPr>
          <w:p w:rsidR="00097C68" w:rsidRPr="00BE516E" w:rsidRDefault="00097C68" w:rsidP="0022604A">
            <w:pPr>
              <w:spacing w:before="100" w:beforeAutospacing="1" w:after="100" w:afterAutospacing="1" w:line="360" w:lineRule="auto"/>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E516E">
              <w:rPr>
                <w:rFonts w:ascii="Times New Roman" w:eastAsia="Times New Roman" w:hAnsi="Times New Roman" w:cs="Times New Roman"/>
                <w:sz w:val="20"/>
                <w:szCs w:val="20"/>
              </w:rPr>
              <w:t>Mortality</w:t>
            </w:r>
          </w:p>
        </w:tc>
        <w:tc>
          <w:tcPr>
            <w:tcW w:w="661"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28"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3"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49"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6"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7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dxa"/>
          </w:tcPr>
          <w:p w:rsidR="00097C68" w:rsidRPr="00BE516E" w:rsidRDefault="00097C68" w:rsidP="0022604A">
            <w:pPr>
              <w:spacing w:before="100" w:beforeAutospacing="1" w:after="100" w:afterAutospacing="1" w:line="360" w:lineRule="auto"/>
              <w:ind w:right="3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rsidR="00097C68" w:rsidRPr="00BE516E" w:rsidRDefault="00392453" w:rsidP="00097C68">
      <w:pPr>
        <w:pStyle w:val="NoSpacing"/>
        <w:spacing w:before="100" w:beforeAutospacing="1" w:after="100" w:afterAutospacing="1" w:line="360" w:lineRule="auto"/>
        <w:jc w:val="both"/>
        <w:rPr>
          <w:rFonts w:ascii="Times New Roman" w:hAnsi="Times New Roman" w:cs="Times New Roman"/>
          <w:iCs/>
          <w:sz w:val="20"/>
          <w:szCs w:val="20"/>
        </w:rPr>
      </w:pPr>
      <w:r w:rsidRPr="00BE516E">
        <w:rPr>
          <w:rFonts w:ascii="Times New Roman" w:hAnsi="Times New Roman" w:cs="Times New Roman"/>
          <w:b/>
          <w:iCs/>
          <w:sz w:val="20"/>
          <w:szCs w:val="20"/>
        </w:rPr>
        <w:t>Table S5</w:t>
      </w:r>
      <w:r w:rsidR="00097C68" w:rsidRPr="00BE516E">
        <w:rPr>
          <w:rFonts w:ascii="Times New Roman" w:hAnsi="Times New Roman" w:cs="Times New Roman"/>
          <w:b/>
          <w:iCs/>
          <w:sz w:val="20"/>
          <w:szCs w:val="20"/>
        </w:rPr>
        <w:t xml:space="preserve">. </w:t>
      </w:r>
      <w:r w:rsidR="00097C68" w:rsidRPr="00BE516E">
        <w:rPr>
          <w:rFonts w:ascii="Times New Roman" w:hAnsi="Times New Roman" w:cs="Times New Roman"/>
          <w:iCs/>
          <w:sz w:val="20"/>
          <w:szCs w:val="20"/>
        </w:rPr>
        <w:t>Behavioral observation parameters related to clinical signs of toxicity: standard flow sheet. N=3; Observing criteria were scored as: present / absent or as increase/decrease.</w:t>
      </w:r>
    </w:p>
    <w:p w:rsidR="00097C68" w:rsidRPr="00BE516E" w:rsidRDefault="00097C68" w:rsidP="00097C68">
      <w:pPr>
        <w:pStyle w:val="NoSpacing"/>
        <w:spacing w:before="100" w:beforeAutospacing="1" w:after="100" w:afterAutospacing="1" w:line="360" w:lineRule="auto"/>
        <w:jc w:val="both"/>
        <w:rPr>
          <w:rFonts w:ascii="Times New Roman" w:hAnsi="Times New Roman" w:cs="Times New Roman"/>
          <w:b/>
          <w:iCs/>
          <w:sz w:val="20"/>
          <w:szCs w:val="20"/>
        </w:rPr>
      </w:pPr>
      <w:proofErr w:type="spellStart"/>
      <w:r w:rsidRPr="00BE516E">
        <w:rPr>
          <w:rFonts w:ascii="Times New Roman" w:hAnsi="Times New Roman" w:cs="Times New Roman"/>
          <w:b/>
          <w:iCs/>
          <w:sz w:val="20"/>
          <w:szCs w:val="20"/>
        </w:rPr>
        <w:t>Intracerebroventricular</w:t>
      </w:r>
      <w:proofErr w:type="spellEnd"/>
      <w:r w:rsidRPr="00BE516E">
        <w:rPr>
          <w:rFonts w:ascii="Times New Roman" w:hAnsi="Times New Roman" w:cs="Times New Roman"/>
          <w:b/>
          <w:iCs/>
          <w:sz w:val="20"/>
          <w:szCs w:val="20"/>
        </w:rPr>
        <w:t xml:space="preserve"> (ICV) administration of colchicine</w:t>
      </w:r>
    </w:p>
    <w:p w:rsidR="00097C68" w:rsidRPr="00BE516E" w:rsidRDefault="00097C68" w:rsidP="00097C68">
      <w:pPr>
        <w:pStyle w:val="NoSpacing"/>
        <w:spacing w:before="100" w:beforeAutospacing="1" w:after="100" w:afterAutospacing="1" w:line="360" w:lineRule="auto"/>
        <w:jc w:val="both"/>
        <w:rPr>
          <w:rFonts w:ascii="Times New Roman" w:hAnsi="Times New Roman" w:cs="Times New Roman"/>
          <w:iCs/>
          <w:sz w:val="20"/>
          <w:szCs w:val="20"/>
        </w:rPr>
      </w:pPr>
      <w:r w:rsidRPr="00BE516E">
        <w:rPr>
          <w:rFonts w:ascii="Times New Roman" w:hAnsi="Times New Roman" w:cs="Times New Roman"/>
          <w:iCs/>
          <w:sz w:val="20"/>
          <w:szCs w:val="20"/>
        </w:rPr>
        <w:t xml:space="preserve">Test groups of animals were induced chemically to develop AD by an ICV administration of colchicine (15 µg/5 µl solution of artificial cerebrospinal fluid, ACSF) following surgery with stereotaxic apparatus (Harvard Apparatus, USA). For this purpose, the rats were anesthetized with thiopental sodium (45 mg/kg, </w:t>
      </w:r>
      <w:proofErr w:type="spellStart"/>
      <w:r w:rsidRPr="00BE516E">
        <w:rPr>
          <w:rFonts w:ascii="Times New Roman" w:hAnsi="Times New Roman" w:cs="Times New Roman"/>
          <w:iCs/>
          <w:sz w:val="20"/>
          <w:szCs w:val="20"/>
        </w:rPr>
        <w:t>i.p</w:t>
      </w:r>
      <w:proofErr w:type="spellEnd"/>
      <w:r w:rsidRPr="00BE516E">
        <w:rPr>
          <w:rFonts w:ascii="Times New Roman" w:hAnsi="Times New Roman" w:cs="Times New Roman"/>
          <w:iCs/>
          <w:sz w:val="20"/>
          <w:szCs w:val="20"/>
        </w:rPr>
        <w:t xml:space="preserve"> injection) and positioning the head in the stereotaxic frame, a midline sagittal incision was made in the scalp </w:t>
      </w:r>
      <w:r w:rsidRPr="00BE516E">
        <w:rPr>
          <w:rFonts w:ascii="Times New Roman" w:hAnsi="Times New Roman" w:cs="Times New Roman"/>
          <w:iCs/>
          <w:sz w:val="20"/>
          <w:szCs w:val="20"/>
        </w:rPr>
        <w:fldChar w:fldCharType="begin" w:fldLock="1"/>
      </w:r>
      <w:r w:rsidR="00F6328C">
        <w:rPr>
          <w:rFonts w:ascii="Times New Roman" w:hAnsi="Times New Roman" w:cs="Times New Roman"/>
          <w:iCs/>
          <w:sz w:val="20"/>
          <w:szCs w:val="20"/>
        </w:rPr>
        <w:instrText>ADDIN CSL_CITATION {"citationItems":[{"id":"ITEM-1","itemData":{"DOI":"10.1016/s0091-3057(02)00838-9","ISSN":"0091-3057 (Print)","PMID":"12151031","abstract":"Oxidative stress has been implicated in neurodegenerative disorders including the  Alzheimer's disease (AD). Central administration of colchicine is known to cause cognitive impairment in rats and is likened to sporadic AD in humans. However, it is not known whether this cognitive impairment is associated with free radical generation. Therefore, in the present study, the effect of intracerebroventricular colchicine was studied on paradigms of learning and memory behavior and the markers of oxidative stress in rats. Adult male Wistar rats (200-250 g) were injected with colchicine (intracerebroventricular) bilaterally (15 microg/rat; 7.5 microg/site) on the first day. The learning and memory behavior was assessed using passive avoidance paradigm, elevated plus maze and closed field activity test on Days 13, 14 and 21. The parameters of oxidative stress were assessed by measuring the malondialdehyde (MDA), glutathione, superoxide dismutase (SOD) and catalase levels in brain tissue on Day 21 of the colchicine injection. The rats developed significant learning and memory impairment as indicated by deficit in behavioral paradigms. There was a significant elevation in MDA levels and decrease in levels of glutathione. No significant difference was observed in SOD and catalase levels. Thus, the study demonstrates that central administration of colchicine causes impairment in learning and memory with associated increase in oxidative stress.","author":[{"dropping-particle":"","family":"Veerendra Kumar","given":"M H","non-dropping-particle":"","parse-names":false,"suffix":""},{"dropping-particle":"","family":"Gupta","given":"Y K","non-dropping-particle":"","parse-names":false,"suffix":""}],"container-title":"Pharmacology, biochemistry, and behavior","id":"ITEM-1","issue":"3","issued":{"date-parts":[["2002","10"]]},"language":"eng","page":"565-571","publisher-place":"United States","title":"Intracerebroventricular administration of colchicine produces cognitive impairment  associated with oxidative stress in rats.","type":"article-journal","volume":"73"},"uris":["http://www.mendeley.com/documents/?uuid=1161eab5-04b2-4f21-92f1-443d2f2c4fc6"]}],"mendeley":{"formattedCitation":"[7]","plainTextFormattedCitation":"[7]","previouslyFormattedCitation":"[7]"},"properties":{"noteIndex":0},"schema":"https://github.com/citation-style-language/schema/raw/master/csl-citation.json"}</w:instrText>
      </w:r>
      <w:r w:rsidRPr="00BE516E">
        <w:rPr>
          <w:rFonts w:ascii="Times New Roman" w:hAnsi="Times New Roman" w:cs="Times New Roman"/>
          <w:iCs/>
          <w:sz w:val="20"/>
          <w:szCs w:val="20"/>
        </w:rPr>
        <w:fldChar w:fldCharType="separate"/>
      </w:r>
      <w:r w:rsidR="00F6328C" w:rsidRPr="00F6328C">
        <w:rPr>
          <w:rFonts w:ascii="Times New Roman" w:hAnsi="Times New Roman" w:cs="Times New Roman"/>
          <w:iCs/>
          <w:noProof/>
          <w:sz w:val="20"/>
          <w:szCs w:val="20"/>
        </w:rPr>
        <w:t>[7]</w:t>
      </w:r>
      <w:r w:rsidRPr="00BE516E">
        <w:rPr>
          <w:rFonts w:ascii="Times New Roman" w:hAnsi="Times New Roman" w:cs="Times New Roman"/>
          <w:iCs/>
          <w:sz w:val="20"/>
          <w:szCs w:val="20"/>
        </w:rPr>
        <w:fldChar w:fldCharType="end"/>
      </w:r>
      <w:r w:rsidRPr="00BE516E">
        <w:rPr>
          <w:rFonts w:ascii="Times New Roman" w:hAnsi="Times New Roman" w:cs="Times New Roman"/>
          <w:iCs/>
          <w:sz w:val="20"/>
          <w:szCs w:val="20"/>
        </w:rPr>
        <w:t xml:space="preserve">. Following this, two holes were drilled in the skull for the placement of the injection cannula into both the lateral cerebral ventricles. A Hamilton micro syringe was positioned in this injection cannula and kept in place for 2 min for the complete diffusion of the injected solution and to prevent pressure-induced damage. The coordinates for the ICV cannula implants were 0.8 mm posterior to </w:t>
      </w:r>
      <w:proofErr w:type="spellStart"/>
      <w:r w:rsidRPr="00BE516E">
        <w:rPr>
          <w:rFonts w:ascii="Times New Roman" w:hAnsi="Times New Roman" w:cs="Times New Roman"/>
          <w:iCs/>
          <w:sz w:val="20"/>
          <w:szCs w:val="20"/>
        </w:rPr>
        <w:t>bregma</w:t>
      </w:r>
      <w:proofErr w:type="spellEnd"/>
      <w:r w:rsidRPr="00BE516E">
        <w:rPr>
          <w:rFonts w:ascii="Times New Roman" w:hAnsi="Times New Roman" w:cs="Times New Roman"/>
          <w:iCs/>
          <w:sz w:val="20"/>
          <w:szCs w:val="20"/>
        </w:rPr>
        <w:t xml:space="preserve">, 1.8 mm lateral to the sagittal suture and 3.6 mm beneath the cortical surface </w:t>
      </w:r>
      <w:r w:rsidRPr="00BE516E">
        <w:rPr>
          <w:rFonts w:ascii="Times New Roman" w:hAnsi="Times New Roman" w:cs="Times New Roman"/>
          <w:iCs/>
          <w:sz w:val="20"/>
          <w:szCs w:val="20"/>
        </w:rPr>
        <w:fldChar w:fldCharType="begin" w:fldLock="1"/>
      </w:r>
      <w:r w:rsidR="00F6328C">
        <w:rPr>
          <w:rFonts w:ascii="Times New Roman" w:hAnsi="Times New Roman" w:cs="Times New Roman"/>
          <w:iCs/>
          <w:sz w:val="20"/>
          <w:szCs w:val="20"/>
        </w:rPr>
        <w:instrText>ADDIN CSL_CITATION {"citationItems":[{"id":"ITEM-1","itemData":{"DOI":"https://doi.org/10.1016/0165-0270(80)90021-7","ISSN":"0165-0270","abstract":"This paper presents an atlas of the rat brain based on horizontal sections stained for acetylcholinesterase (AChE). Fourteen labeled photographs from sections at 0.5 mm intervals are presented. The atlas is intended for use with male rats 250–300 g in weight. It was constructed using the flat-skull position (lambda and bregma in same horizontal plane). Either the interaural midline or bregma can serve as the reference zero point. We have found the stain for AChE to be a useful general purpose stain for identifying brain nuclei and tracts.","author":[{"dropping-particle":"","family":"Paxinos","given":"George","non-dropping-particle":"","parse-names":false,"suffix":""},{"dropping-particle":"","family":"Watson","given":"Charles R R","non-dropping-particle":"","parse-names":false,"suffix":""},{"dropping-particle":"","family":"Emson","given":"Piers C","non-dropping-particle":"","parse-names":false,"suffix":""}],"container-title":"Journal of Neuroscience Methods","id":"ITEM-1","issue":"2","issued":{"date-parts":[["1980"]]},"page":"129-149","title":"AChE-stained horizontal sections of the rat brain in stereotaxic coordinates","type":"article-journal","volume":"3"},"uris":["http://www.mendeley.com/documents/?uuid=e692c3b3-e6c7-47af-be7d-f76c0e7b7db8"]}],"mendeley":{"formattedCitation":"[8]","plainTextFormattedCitation":"[8]","previouslyFormattedCitation":"[8]"},"properties":{"noteIndex":0},"schema":"https://github.com/citation-style-language/schema/raw/master/csl-citation.json"}</w:instrText>
      </w:r>
      <w:r w:rsidRPr="00BE516E">
        <w:rPr>
          <w:rFonts w:ascii="Times New Roman" w:hAnsi="Times New Roman" w:cs="Times New Roman"/>
          <w:iCs/>
          <w:sz w:val="20"/>
          <w:szCs w:val="20"/>
        </w:rPr>
        <w:fldChar w:fldCharType="separate"/>
      </w:r>
      <w:r w:rsidR="00F6328C" w:rsidRPr="00F6328C">
        <w:rPr>
          <w:rFonts w:ascii="Times New Roman" w:hAnsi="Times New Roman" w:cs="Times New Roman"/>
          <w:iCs/>
          <w:noProof/>
          <w:sz w:val="20"/>
          <w:szCs w:val="20"/>
        </w:rPr>
        <w:t>[8]</w:t>
      </w:r>
      <w:r w:rsidRPr="00BE516E">
        <w:rPr>
          <w:rFonts w:ascii="Times New Roman" w:hAnsi="Times New Roman" w:cs="Times New Roman"/>
          <w:iCs/>
          <w:sz w:val="20"/>
          <w:szCs w:val="20"/>
        </w:rPr>
        <w:fldChar w:fldCharType="end"/>
      </w:r>
      <w:r w:rsidRPr="00BE516E">
        <w:rPr>
          <w:rFonts w:ascii="Times New Roman" w:hAnsi="Times New Roman" w:cs="Times New Roman"/>
          <w:iCs/>
          <w:sz w:val="20"/>
          <w:szCs w:val="20"/>
        </w:rPr>
        <w:t>. The normal control (Sham) and I</w:t>
      </w:r>
      <w:r w:rsidR="00F254C7">
        <w:rPr>
          <w:rFonts w:ascii="Times New Roman" w:hAnsi="Times New Roman" w:cs="Times New Roman"/>
          <w:iCs/>
          <w:sz w:val="20"/>
          <w:szCs w:val="20"/>
        </w:rPr>
        <w:t>NH</w:t>
      </w:r>
      <w:r w:rsidRPr="00BE516E">
        <w:rPr>
          <w:rFonts w:ascii="Times New Roman" w:hAnsi="Times New Roman" w:cs="Times New Roman"/>
          <w:iCs/>
          <w:sz w:val="20"/>
          <w:szCs w:val="20"/>
        </w:rPr>
        <w:t xml:space="preserve">-treated control groups were received equal concentration of ACSF (ACSF in </w:t>
      </w:r>
      <w:proofErr w:type="spellStart"/>
      <w:r w:rsidRPr="00BE516E">
        <w:rPr>
          <w:rFonts w:ascii="Times New Roman" w:hAnsi="Times New Roman" w:cs="Times New Roman"/>
          <w:iCs/>
          <w:sz w:val="20"/>
          <w:szCs w:val="20"/>
        </w:rPr>
        <w:t>mmol</w:t>
      </w:r>
      <w:proofErr w:type="spellEnd"/>
      <w:r w:rsidRPr="00BE516E">
        <w:rPr>
          <w:rFonts w:ascii="Times New Roman" w:hAnsi="Times New Roman" w:cs="Times New Roman"/>
          <w:iCs/>
          <w:sz w:val="20"/>
          <w:szCs w:val="20"/>
        </w:rPr>
        <w:t xml:space="preserve">/l; 147 </w:t>
      </w:r>
      <w:proofErr w:type="spellStart"/>
      <w:r w:rsidRPr="00BE516E">
        <w:rPr>
          <w:rFonts w:ascii="Times New Roman" w:hAnsi="Times New Roman" w:cs="Times New Roman"/>
          <w:iCs/>
          <w:sz w:val="20"/>
          <w:szCs w:val="20"/>
        </w:rPr>
        <w:t>NaCl</w:t>
      </w:r>
      <w:proofErr w:type="spellEnd"/>
      <w:r w:rsidRPr="00BE516E">
        <w:rPr>
          <w:rFonts w:ascii="Times New Roman" w:hAnsi="Times New Roman" w:cs="Times New Roman"/>
          <w:iCs/>
          <w:sz w:val="20"/>
          <w:szCs w:val="20"/>
        </w:rPr>
        <w:t xml:space="preserve">, 2.9 </w:t>
      </w:r>
      <w:proofErr w:type="spellStart"/>
      <w:r w:rsidRPr="00BE516E">
        <w:rPr>
          <w:rFonts w:ascii="Times New Roman" w:hAnsi="Times New Roman" w:cs="Times New Roman"/>
          <w:iCs/>
          <w:sz w:val="20"/>
          <w:szCs w:val="20"/>
        </w:rPr>
        <w:t>KCl</w:t>
      </w:r>
      <w:proofErr w:type="spellEnd"/>
      <w:r w:rsidRPr="00BE516E">
        <w:rPr>
          <w:rFonts w:ascii="Times New Roman" w:hAnsi="Times New Roman" w:cs="Times New Roman"/>
          <w:iCs/>
          <w:sz w:val="20"/>
          <w:szCs w:val="20"/>
        </w:rPr>
        <w:t>, 1.6 MgCl</w:t>
      </w:r>
      <w:r w:rsidRPr="00BE516E">
        <w:rPr>
          <w:rFonts w:ascii="Times New Roman" w:hAnsi="Times New Roman" w:cs="Times New Roman"/>
          <w:iCs/>
          <w:sz w:val="20"/>
          <w:szCs w:val="20"/>
          <w:vertAlign w:val="subscript"/>
        </w:rPr>
        <w:t>2</w:t>
      </w:r>
      <w:r w:rsidRPr="00BE516E">
        <w:rPr>
          <w:rFonts w:ascii="Times New Roman" w:hAnsi="Times New Roman" w:cs="Times New Roman"/>
          <w:iCs/>
          <w:sz w:val="20"/>
          <w:szCs w:val="20"/>
        </w:rPr>
        <w:t xml:space="preserve">, and 2.2 dextrose). After careful removal of the cannula, the holes in the skull were filled up with dental cement and the scalp was closed with a suture. Gentamicin (5 mg/kg) was applied </w:t>
      </w:r>
      <w:proofErr w:type="spellStart"/>
      <w:r w:rsidRPr="00BE516E">
        <w:rPr>
          <w:rFonts w:ascii="Times New Roman" w:hAnsi="Times New Roman" w:cs="Times New Roman"/>
          <w:iCs/>
          <w:sz w:val="20"/>
          <w:szCs w:val="20"/>
        </w:rPr>
        <w:t>intraperitoneally</w:t>
      </w:r>
      <w:proofErr w:type="spellEnd"/>
      <w:r w:rsidRPr="00BE516E">
        <w:rPr>
          <w:rFonts w:ascii="Times New Roman" w:hAnsi="Times New Roman" w:cs="Times New Roman"/>
          <w:iCs/>
          <w:sz w:val="20"/>
          <w:szCs w:val="20"/>
        </w:rPr>
        <w:t xml:space="preserve"> to all </w:t>
      </w:r>
      <w:proofErr w:type="spellStart"/>
      <w:r w:rsidRPr="00BE516E">
        <w:rPr>
          <w:rFonts w:ascii="Times New Roman" w:hAnsi="Times New Roman" w:cs="Times New Roman"/>
          <w:iCs/>
          <w:sz w:val="20"/>
          <w:szCs w:val="20"/>
        </w:rPr>
        <w:t>upto</w:t>
      </w:r>
      <w:proofErr w:type="spellEnd"/>
      <w:r w:rsidRPr="00BE516E">
        <w:rPr>
          <w:rFonts w:ascii="Times New Roman" w:hAnsi="Times New Roman" w:cs="Times New Roman"/>
          <w:iCs/>
          <w:sz w:val="20"/>
          <w:szCs w:val="20"/>
        </w:rPr>
        <w:t xml:space="preserve"> 13</w:t>
      </w:r>
      <w:r w:rsidRPr="00BE516E">
        <w:rPr>
          <w:rFonts w:ascii="Times New Roman" w:hAnsi="Times New Roman" w:cs="Times New Roman"/>
          <w:iCs/>
          <w:sz w:val="20"/>
          <w:szCs w:val="20"/>
          <w:vertAlign w:val="superscript"/>
        </w:rPr>
        <w:t>th</w:t>
      </w:r>
      <w:r w:rsidRPr="00BE516E">
        <w:rPr>
          <w:rFonts w:ascii="Times New Roman" w:hAnsi="Times New Roman" w:cs="Times New Roman"/>
          <w:iCs/>
          <w:sz w:val="20"/>
          <w:szCs w:val="20"/>
        </w:rPr>
        <w:t xml:space="preserve"> day for the prevention of sepsis. During postoperative period, the animals were taken special care to provide food and water inside the cage and housed in a group of two with soft bedding.</w:t>
      </w:r>
    </w:p>
    <w:p w:rsidR="00097C68" w:rsidRPr="00BE516E" w:rsidRDefault="00097C68" w:rsidP="00097C68">
      <w:pPr>
        <w:pStyle w:val="NoSpacing"/>
        <w:spacing w:before="100" w:beforeAutospacing="1" w:after="100" w:afterAutospacing="1" w:line="360" w:lineRule="auto"/>
        <w:jc w:val="both"/>
        <w:rPr>
          <w:rFonts w:ascii="Times New Roman" w:hAnsi="Times New Roman" w:cs="Times New Roman"/>
          <w:b/>
          <w:iCs/>
          <w:sz w:val="20"/>
          <w:szCs w:val="20"/>
        </w:rPr>
      </w:pPr>
      <w:r w:rsidRPr="00BE516E">
        <w:rPr>
          <w:rFonts w:ascii="Times New Roman" w:hAnsi="Times New Roman" w:cs="Times New Roman"/>
          <w:b/>
          <w:iCs/>
          <w:sz w:val="20"/>
          <w:szCs w:val="20"/>
        </w:rPr>
        <w:t>Study design and schedule</w:t>
      </w:r>
    </w:p>
    <w:p w:rsidR="00097C68" w:rsidRPr="00BE516E" w:rsidRDefault="00097C68" w:rsidP="00097C68">
      <w:pPr>
        <w:pStyle w:val="NoSpacing"/>
        <w:spacing w:before="100" w:beforeAutospacing="1" w:after="100" w:afterAutospacing="1" w:line="360" w:lineRule="auto"/>
        <w:jc w:val="both"/>
        <w:rPr>
          <w:rFonts w:ascii="Times New Roman" w:hAnsi="Times New Roman" w:cs="Times New Roman"/>
          <w:iCs/>
          <w:sz w:val="20"/>
          <w:szCs w:val="20"/>
        </w:rPr>
      </w:pPr>
      <w:r w:rsidRPr="00BE516E">
        <w:rPr>
          <w:rFonts w:ascii="Times New Roman" w:hAnsi="Times New Roman" w:cs="Times New Roman"/>
          <w:iCs/>
          <w:sz w:val="20"/>
          <w:szCs w:val="20"/>
        </w:rPr>
        <w:lastRenderedPageBreak/>
        <w:t>After acclimatization in the laboratory condition, the healthy Wistar rats were divided into five groups as mentioned in the main manuscript. Except the sham group and the I</w:t>
      </w:r>
      <w:r w:rsidR="00F254C7">
        <w:rPr>
          <w:rFonts w:ascii="Times New Roman" w:hAnsi="Times New Roman" w:cs="Times New Roman"/>
          <w:iCs/>
          <w:sz w:val="20"/>
          <w:szCs w:val="20"/>
        </w:rPr>
        <w:t>NH</w:t>
      </w:r>
      <w:r w:rsidRPr="00BE516E">
        <w:rPr>
          <w:rFonts w:ascii="Times New Roman" w:hAnsi="Times New Roman" w:cs="Times New Roman"/>
          <w:iCs/>
          <w:sz w:val="20"/>
          <w:szCs w:val="20"/>
        </w:rPr>
        <w:t xml:space="preserve">-treated control group the test groups were induced AD by ICV administration of colchicine and observed for 2 weeks for progression of AD. The treated groups were received the inhibitor at the prefixed daily doses after 2 week of colchicine administration and continued for another 2 weeks. The behavioral and cognitive improvements and biochemical, neurochemical and </w:t>
      </w:r>
      <w:proofErr w:type="spellStart"/>
      <w:r w:rsidRPr="00BE516E">
        <w:rPr>
          <w:rFonts w:ascii="Times New Roman" w:hAnsi="Times New Roman" w:cs="Times New Roman"/>
          <w:iCs/>
          <w:sz w:val="20"/>
          <w:szCs w:val="20"/>
        </w:rPr>
        <w:t>histopathological</w:t>
      </w:r>
      <w:proofErr w:type="spellEnd"/>
      <w:r w:rsidRPr="00BE516E">
        <w:rPr>
          <w:rFonts w:ascii="Times New Roman" w:hAnsi="Times New Roman" w:cs="Times New Roman"/>
          <w:iCs/>
          <w:sz w:val="20"/>
          <w:szCs w:val="20"/>
        </w:rPr>
        <w:t>/</w:t>
      </w:r>
      <w:proofErr w:type="spellStart"/>
      <w:r w:rsidRPr="00BE516E">
        <w:rPr>
          <w:rFonts w:ascii="Times New Roman" w:hAnsi="Times New Roman" w:cs="Times New Roman"/>
          <w:iCs/>
          <w:sz w:val="20"/>
          <w:szCs w:val="20"/>
        </w:rPr>
        <w:t>immunohistochemical</w:t>
      </w:r>
      <w:proofErr w:type="spellEnd"/>
      <w:r w:rsidRPr="00BE516E">
        <w:rPr>
          <w:rFonts w:ascii="Times New Roman" w:hAnsi="Times New Roman" w:cs="Times New Roman"/>
          <w:iCs/>
          <w:sz w:val="20"/>
          <w:szCs w:val="20"/>
        </w:rPr>
        <w:t xml:space="preserve"> assessments were conducted in schedule time as given below.</w:t>
      </w:r>
    </w:p>
    <w:tbl>
      <w:tblPr>
        <w:tblStyle w:val="LightShading"/>
        <w:tblW w:w="0" w:type="auto"/>
        <w:jc w:val="center"/>
        <w:tblLook w:val="06A0" w:firstRow="1" w:lastRow="0" w:firstColumn="1" w:lastColumn="0" w:noHBand="1" w:noVBand="1"/>
      </w:tblPr>
      <w:tblGrid>
        <w:gridCol w:w="2538"/>
        <w:gridCol w:w="7038"/>
      </w:tblGrid>
      <w:tr w:rsidR="00097C68" w:rsidRPr="00BE516E" w:rsidTr="00A113B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38" w:type="dxa"/>
          </w:tcPr>
          <w:p w:rsidR="00097C68" w:rsidRPr="00BE516E" w:rsidRDefault="00097C68" w:rsidP="0022604A">
            <w:pPr>
              <w:pStyle w:val="NoSpacing"/>
              <w:spacing w:before="100" w:beforeAutospacing="1" w:after="100" w:afterAutospacing="1" w:line="360" w:lineRule="auto"/>
              <w:jc w:val="both"/>
              <w:rPr>
                <w:rFonts w:ascii="Times New Roman" w:hAnsi="Times New Roman" w:cs="Times New Roman"/>
                <w:iCs/>
                <w:sz w:val="20"/>
                <w:szCs w:val="20"/>
              </w:rPr>
            </w:pPr>
            <w:r w:rsidRPr="00BE516E">
              <w:rPr>
                <w:rFonts w:ascii="Times New Roman" w:hAnsi="Times New Roman" w:cs="Times New Roman"/>
                <w:iCs/>
                <w:sz w:val="20"/>
                <w:szCs w:val="20"/>
              </w:rPr>
              <w:t>Day: 0</w:t>
            </w:r>
          </w:p>
        </w:tc>
        <w:tc>
          <w:tcPr>
            <w:tcW w:w="7038" w:type="dxa"/>
          </w:tcPr>
          <w:p w:rsidR="00097C68" w:rsidRPr="00BE516E" w:rsidRDefault="00097C68" w:rsidP="0022604A">
            <w:pPr>
              <w:pStyle w:val="NoSpacing"/>
              <w:spacing w:before="100" w:beforeAutospacing="1" w:after="100" w:afterAutospacing="1"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sz w:val="20"/>
                <w:szCs w:val="20"/>
              </w:rPr>
            </w:pPr>
            <w:r w:rsidRPr="00BE516E">
              <w:rPr>
                <w:rFonts w:ascii="Times New Roman" w:hAnsi="Times New Roman" w:cs="Times New Roman"/>
                <w:b w:val="0"/>
                <w:iCs/>
                <w:sz w:val="20"/>
                <w:szCs w:val="20"/>
              </w:rPr>
              <w:t>Behavioral study: training for open field and closed field studies</w:t>
            </w:r>
          </w:p>
        </w:tc>
      </w:tr>
      <w:tr w:rsidR="00097C68" w:rsidRPr="00BE516E" w:rsidTr="00A113BE">
        <w:trPr>
          <w:jc w:val="center"/>
        </w:trPr>
        <w:tc>
          <w:tcPr>
            <w:cnfStyle w:val="001000000000" w:firstRow="0" w:lastRow="0" w:firstColumn="1" w:lastColumn="0" w:oddVBand="0" w:evenVBand="0" w:oddHBand="0" w:evenHBand="0" w:firstRowFirstColumn="0" w:firstRowLastColumn="0" w:lastRowFirstColumn="0" w:lastRowLastColumn="0"/>
            <w:tcW w:w="2538" w:type="dxa"/>
          </w:tcPr>
          <w:p w:rsidR="00097C68" w:rsidRPr="00BE516E" w:rsidRDefault="00097C68" w:rsidP="0022604A">
            <w:pPr>
              <w:pStyle w:val="NoSpacing"/>
              <w:spacing w:before="100" w:beforeAutospacing="1" w:after="100" w:afterAutospacing="1" w:line="360" w:lineRule="auto"/>
              <w:jc w:val="both"/>
              <w:rPr>
                <w:rFonts w:ascii="Times New Roman" w:hAnsi="Times New Roman" w:cs="Times New Roman"/>
                <w:iCs/>
                <w:sz w:val="20"/>
                <w:szCs w:val="20"/>
              </w:rPr>
            </w:pPr>
            <w:r w:rsidRPr="00BE516E">
              <w:rPr>
                <w:rFonts w:ascii="Times New Roman" w:hAnsi="Times New Roman" w:cs="Times New Roman"/>
                <w:iCs/>
                <w:sz w:val="20"/>
                <w:szCs w:val="20"/>
              </w:rPr>
              <w:t>Day: 1</w:t>
            </w:r>
          </w:p>
        </w:tc>
        <w:tc>
          <w:tcPr>
            <w:tcW w:w="7038" w:type="dxa"/>
          </w:tcPr>
          <w:p w:rsidR="00097C68" w:rsidRPr="00BE516E" w:rsidRDefault="00097C68" w:rsidP="0022604A">
            <w:pPr>
              <w:pStyle w:val="NoSpacing"/>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BE516E">
              <w:rPr>
                <w:rFonts w:ascii="Times New Roman" w:hAnsi="Times New Roman" w:cs="Times New Roman"/>
                <w:iCs/>
                <w:sz w:val="20"/>
                <w:szCs w:val="20"/>
              </w:rPr>
              <w:t>Surgery, ICV administration of colchicine</w:t>
            </w:r>
          </w:p>
        </w:tc>
      </w:tr>
      <w:tr w:rsidR="00097C68" w:rsidRPr="00BE516E" w:rsidTr="00A113BE">
        <w:trPr>
          <w:jc w:val="center"/>
        </w:trPr>
        <w:tc>
          <w:tcPr>
            <w:cnfStyle w:val="001000000000" w:firstRow="0" w:lastRow="0" w:firstColumn="1" w:lastColumn="0" w:oddVBand="0" w:evenVBand="0" w:oddHBand="0" w:evenHBand="0" w:firstRowFirstColumn="0" w:firstRowLastColumn="0" w:lastRowFirstColumn="0" w:lastRowLastColumn="0"/>
            <w:tcW w:w="2538" w:type="dxa"/>
          </w:tcPr>
          <w:p w:rsidR="00097C68" w:rsidRPr="00BE516E" w:rsidRDefault="00097C68" w:rsidP="0022604A">
            <w:pPr>
              <w:pStyle w:val="NoSpacing"/>
              <w:spacing w:before="100" w:beforeAutospacing="1" w:after="100" w:afterAutospacing="1" w:line="360" w:lineRule="auto"/>
              <w:jc w:val="both"/>
              <w:rPr>
                <w:rFonts w:ascii="Times New Roman" w:hAnsi="Times New Roman" w:cs="Times New Roman"/>
                <w:iCs/>
                <w:sz w:val="20"/>
                <w:szCs w:val="20"/>
              </w:rPr>
            </w:pPr>
            <w:r w:rsidRPr="00BE516E">
              <w:rPr>
                <w:rFonts w:ascii="Times New Roman" w:hAnsi="Times New Roman" w:cs="Times New Roman"/>
                <w:iCs/>
                <w:sz w:val="20"/>
                <w:szCs w:val="20"/>
              </w:rPr>
              <w:t>Day: 1-13</w:t>
            </w:r>
          </w:p>
        </w:tc>
        <w:tc>
          <w:tcPr>
            <w:tcW w:w="7038" w:type="dxa"/>
          </w:tcPr>
          <w:p w:rsidR="00097C68" w:rsidRPr="00BE516E" w:rsidRDefault="00097C68" w:rsidP="0022604A">
            <w:pPr>
              <w:pStyle w:val="NoSpacing"/>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BE516E">
              <w:rPr>
                <w:rFonts w:ascii="Times New Roman" w:hAnsi="Times New Roman" w:cs="Times New Roman"/>
                <w:iCs/>
                <w:sz w:val="20"/>
                <w:szCs w:val="20"/>
              </w:rPr>
              <w:t>Post-operative care</w:t>
            </w:r>
          </w:p>
        </w:tc>
      </w:tr>
      <w:tr w:rsidR="00097C68" w:rsidRPr="00BE516E" w:rsidTr="00A113BE">
        <w:trPr>
          <w:jc w:val="center"/>
        </w:trPr>
        <w:tc>
          <w:tcPr>
            <w:cnfStyle w:val="001000000000" w:firstRow="0" w:lastRow="0" w:firstColumn="1" w:lastColumn="0" w:oddVBand="0" w:evenVBand="0" w:oddHBand="0" w:evenHBand="0" w:firstRowFirstColumn="0" w:firstRowLastColumn="0" w:lastRowFirstColumn="0" w:lastRowLastColumn="0"/>
            <w:tcW w:w="2538" w:type="dxa"/>
          </w:tcPr>
          <w:p w:rsidR="00097C68" w:rsidRPr="00BE516E" w:rsidRDefault="00097C68" w:rsidP="0022604A">
            <w:pPr>
              <w:pStyle w:val="NoSpacing"/>
              <w:spacing w:before="100" w:beforeAutospacing="1" w:after="100" w:afterAutospacing="1" w:line="360" w:lineRule="auto"/>
              <w:jc w:val="both"/>
              <w:rPr>
                <w:rFonts w:ascii="Times New Roman" w:hAnsi="Times New Roman" w:cs="Times New Roman"/>
                <w:iCs/>
                <w:sz w:val="20"/>
                <w:szCs w:val="20"/>
              </w:rPr>
            </w:pPr>
            <w:r w:rsidRPr="00BE516E">
              <w:rPr>
                <w:rFonts w:ascii="Times New Roman" w:hAnsi="Times New Roman" w:cs="Times New Roman"/>
                <w:iCs/>
                <w:sz w:val="20"/>
                <w:szCs w:val="20"/>
              </w:rPr>
              <w:t>Day: 14-28</w:t>
            </w:r>
          </w:p>
        </w:tc>
        <w:tc>
          <w:tcPr>
            <w:tcW w:w="7038" w:type="dxa"/>
          </w:tcPr>
          <w:p w:rsidR="00097C68" w:rsidRPr="00BE516E" w:rsidRDefault="00097C68" w:rsidP="0022604A">
            <w:pPr>
              <w:pStyle w:val="NoSpacing"/>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BE516E">
              <w:rPr>
                <w:rFonts w:ascii="Times New Roman" w:hAnsi="Times New Roman" w:cs="Times New Roman"/>
                <w:iCs/>
                <w:sz w:val="20"/>
                <w:szCs w:val="20"/>
              </w:rPr>
              <w:t>Treatment period</w:t>
            </w:r>
          </w:p>
        </w:tc>
      </w:tr>
      <w:tr w:rsidR="00097C68" w:rsidRPr="00BE516E" w:rsidTr="00A113BE">
        <w:trPr>
          <w:jc w:val="center"/>
        </w:trPr>
        <w:tc>
          <w:tcPr>
            <w:cnfStyle w:val="001000000000" w:firstRow="0" w:lastRow="0" w:firstColumn="1" w:lastColumn="0" w:oddVBand="0" w:evenVBand="0" w:oddHBand="0" w:evenHBand="0" w:firstRowFirstColumn="0" w:firstRowLastColumn="0" w:lastRowFirstColumn="0" w:lastRowLastColumn="0"/>
            <w:tcW w:w="2538" w:type="dxa"/>
          </w:tcPr>
          <w:p w:rsidR="00097C68" w:rsidRPr="00BE516E" w:rsidRDefault="00097C68" w:rsidP="0022604A">
            <w:pPr>
              <w:pStyle w:val="NoSpacing"/>
              <w:spacing w:before="100" w:beforeAutospacing="1" w:after="100" w:afterAutospacing="1" w:line="360" w:lineRule="auto"/>
              <w:jc w:val="both"/>
              <w:rPr>
                <w:rFonts w:ascii="Times New Roman" w:hAnsi="Times New Roman" w:cs="Times New Roman"/>
                <w:iCs/>
                <w:sz w:val="20"/>
                <w:szCs w:val="20"/>
              </w:rPr>
            </w:pPr>
            <w:r w:rsidRPr="00BE516E">
              <w:rPr>
                <w:rFonts w:ascii="Times New Roman" w:hAnsi="Times New Roman" w:cs="Times New Roman"/>
                <w:iCs/>
                <w:sz w:val="20"/>
                <w:szCs w:val="20"/>
              </w:rPr>
              <w:t>Day: 19</w:t>
            </w:r>
          </w:p>
        </w:tc>
        <w:tc>
          <w:tcPr>
            <w:tcW w:w="7038" w:type="dxa"/>
          </w:tcPr>
          <w:p w:rsidR="00097C68" w:rsidRPr="00BE516E" w:rsidRDefault="00097C68" w:rsidP="0022604A">
            <w:pPr>
              <w:pStyle w:val="NoSpacing"/>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BE516E">
              <w:rPr>
                <w:rFonts w:ascii="Times New Roman" w:hAnsi="Times New Roman" w:cs="Times New Roman"/>
                <w:iCs/>
                <w:sz w:val="20"/>
                <w:szCs w:val="20"/>
              </w:rPr>
              <w:t>Behavioral study: passive avoidance</w:t>
            </w:r>
          </w:p>
        </w:tc>
      </w:tr>
      <w:tr w:rsidR="00097C68" w:rsidRPr="00BE516E" w:rsidTr="00A113BE">
        <w:trPr>
          <w:jc w:val="center"/>
        </w:trPr>
        <w:tc>
          <w:tcPr>
            <w:cnfStyle w:val="001000000000" w:firstRow="0" w:lastRow="0" w:firstColumn="1" w:lastColumn="0" w:oddVBand="0" w:evenVBand="0" w:oddHBand="0" w:evenHBand="0" w:firstRowFirstColumn="0" w:firstRowLastColumn="0" w:lastRowFirstColumn="0" w:lastRowLastColumn="0"/>
            <w:tcW w:w="2538" w:type="dxa"/>
          </w:tcPr>
          <w:p w:rsidR="00097C68" w:rsidRPr="00BE516E" w:rsidRDefault="00097C68" w:rsidP="0022604A">
            <w:pPr>
              <w:pStyle w:val="NoSpacing"/>
              <w:spacing w:before="100" w:beforeAutospacing="1" w:after="100" w:afterAutospacing="1" w:line="360" w:lineRule="auto"/>
              <w:jc w:val="both"/>
              <w:rPr>
                <w:rFonts w:ascii="Times New Roman" w:hAnsi="Times New Roman" w:cs="Times New Roman"/>
                <w:iCs/>
                <w:sz w:val="20"/>
                <w:szCs w:val="20"/>
              </w:rPr>
            </w:pPr>
            <w:r w:rsidRPr="00BE516E">
              <w:rPr>
                <w:rFonts w:ascii="Times New Roman" w:hAnsi="Times New Roman" w:cs="Times New Roman"/>
                <w:iCs/>
                <w:sz w:val="20"/>
                <w:szCs w:val="20"/>
              </w:rPr>
              <w:t>Day: 20</w:t>
            </w:r>
          </w:p>
        </w:tc>
        <w:tc>
          <w:tcPr>
            <w:tcW w:w="7038" w:type="dxa"/>
          </w:tcPr>
          <w:p w:rsidR="00097C68" w:rsidRPr="00BE516E" w:rsidRDefault="00097C68" w:rsidP="0022604A">
            <w:pPr>
              <w:pStyle w:val="NoSpacing"/>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BE516E">
              <w:rPr>
                <w:rFonts w:ascii="Times New Roman" w:hAnsi="Times New Roman" w:cs="Times New Roman"/>
                <w:iCs/>
                <w:sz w:val="20"/>
                <w:szCs w:val="20"/>
              </w:rPr>
              <w:t>Behavioral study: passive avoidance, elevated plus maze (EPM) and water maze</w:t>
            </w:r>
          </w:p>
        </w:tc>
      </w:tr>
      <w:tr w:rsidR="00097C68" w:rsidRPr="00BE516E" w:rsidTr="00A113BE">
        <w:trPr>
          <w:jc w:val="center"/>
        </w:trPr>
        <w:tc>
          <w:tcPr>
            <w:cnfStyle w:val="001000000000" w:firstRow="0" w:lastRow="0" w:firstColumn="1" w:lastColumn="0" w:oddVBand="0" w:evenVBand="0" w:oddHBand="0" w:evenHBand="0" w:firstRowFirstColumn="0" w:firstRowLastColumn="0" w:lastRowFirstColumn="0" w:lastRowLastColumn="0"/>
            <w:tcW w:w="2538" w:type="dxa"/>
          </w:tcPr>
          <w:p w:rsidR="00097C68" w:rsidRPr="00BE516E" w:rsidRDefault="00097C68" w:rsidP="0022604A">
            <w:pPr>
              <w:pStyle w:val="NoSpacing"/>
              <w:spacing w:before="100" w:beforeAutospacing="1" w:after="100" w:afterAutospacing="1" w:line="360" w:lineRule="auto"/>
              <w:jc w:val="both"/>
              <w:rPr>
                <w:rFonts w:ascii="Times New Roman" w:hAnsi="Times New Roman" w:cs="Times New Roman"/>
                <w:iCs/>
                <w:sz w:val="20"/>
                <w:szCs w:val="20"/>
              </w:rPr>
            </w:pPr>
            <w:r w:rsidRPr="00BE516E">
              <w:rPr>
                <w:rFonts w:ascii="Times New Roman" w:hAnsi="Times New Roman" w:cs="Times New Roman"/>
                <w:iCs/>
                <w:sz w:val="20"/>
                <w:szCs w:val="20"/>
              </w:rPr>
              <w:t>Day: 21</w:t>
            </w:r>
          </w:p>
        </w:tc>
        <w:tc>
          <w:tcPr>
            <w:tcW w:w="7038" w:type="dxa"/>
          </w:tcPr>
          <w:p w:rsidR="00097C68" w:rsidRPr="00BE516E" w:rsidRDefault="00097C68" w:rsidP="0022604A">
            <w:pPr>
              <w:pStyle w:val="NoSpacing"/>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BE516E">
              <w:rPr>
                <w:rFonts w:ascii="Times New Roman" w:hAnsi="Times New Roman" w:cs="Times New Roman"/>
                <w:iCs/>
                <w:sz w:val="20"/>
                <w:szCs w:val="20"/>
              </w:rPr>
              <w:t>Behavioral study: EPM and water maze</w:t>
            </w:r>
          </w:p>
        </w:tc>
      </w:tr>
      <w:tr w:rsidR="00097C68" w:rsidRPr="00BE516E" w:rsidTr="00A113BE">
        <w:trPr>
          <w:jc w:val="center"/>
        </w:trPr>
        <w:tc>
          <w:tcPr>
            <w:cnfStyle w:val="001000000000" w:firstRow="0" w:lastRow="0" w:firstColumn="1" w:lastColumn="0" w:oddVBand="0" w:evenVBand="0" w:oddHBand="0" w:evenHBand="0" w:firstRowFirstColumn="0" w:firstRowLastColumn="0" w:lastRowFirstColumn="0" w:lastRowLastColumn="0"/>
            <w:tcW w:w="2538" w:type="dxa"/>
          </w:tcPr>
          <w:p w:rsidR="00097C68" w:rsidRPr="00BE516E" w:rsidRDefault="00097C68" w:rsidP="0022604A">
            <w:pPr>
              <w:pStyle w:val="NoSpacing"/>
              <w:spacing w:before="100" w:beforeAutospacing="1" w:after="100" w:afterAutospacing="1" w:line="360" w:lineRule="auto"/>
              <w:jc w:val="both"/>
              <w:rPr>
                <w:rFonts w:ascii="Times New Roman" w:hAnsi="Times New Roman" w:cs="Times New Roman"/>
                <w:iCs/>
                <w:sz w:val="20"/>
                <w:szCs w:val="20"/>
              </w:rPr>
            </w:pPr>
            <w:r w:rsidRPr="00BE516E">
              <w:rPr>
                <w:rFonts w:ascii="Times New Roman" w:hAnsi="Times New Roman" w:cs="Times New Roman"/>
                <w:iCs/>
                <w:sz w:val="20"/>
                <w:szCs w:val="20"/>
              </w:rPr>
              <w:t>Day: 27</w:t>
            </w:r>
          </w:p>
        </w:tc>
        <w:tc>
          <w:tcPr>
            <w:tcW w:w="7038" w:type="dxa"/>
          </w:tcPr>
          <w:p w:rsidR="00097C68" w:rsidRPr="00BE516E" w:rsidRDefault="00097C68" w:rsidP="0022604A">
            <w:pPr>
              <w:pStyle w:val="NoSpacing"/>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BE516E">
              <w:rPr>
                <w:rFonts w:ascii="Times New Roman" w:hAnsi="Times New Roman" w:cs="Times New Roman"/>
                <w:iCs/>
                <w:sz w:val="20"/>
                <w:szCs w:val="20"/>
              </w:rPr>
              <w:t>Behavioral study: passive avoidance</w:t>
            </w:r>
          </w:p>
        </w:tc>
      </w:tr>
      <w:tr w:rsidR="00097C68" w:rsidRPr="00BE516E" w:rsidTr="00A113BE">
        <w:trPr>
          <w:jc w:val="center"/>
        </w:trPr>
        <w:tc>
          <w:tcPr>
            <w:cnfStyle w:val="001000000000" w:firstRow="0" w:lastRow="0" w:firstColumn="1" w:lastColumn="0" w:oddVBand="0" w:evenVBand="0" w:oddHBand="0" w:evenHBand="0" w:firstRowFirstColumn="0" w:firstRowLastColumn="0" w:lastRowFirstColumn="0" w:lastRowLastColumn="0"/>
            <w:tcW w:w="2538" w:type="dxa"/>
          </w:tcPr>
          <w:p w:rsidR="00097C68" w:rsidRPr="00BE516E" w:rsidRDefault="00097C68" w:rsidP="0022604A">
            <w:pPr>
              <w:pStyle w:val="NoSpacing"/>
              <w:spacing w:before="100" w:beforeAutospacing="1" w:after="100" w:afterAutospacing="1" w:line="360" w:lineRule="auto"/>
              <w:jc w:val="both"/>
              <w:rPr>
                <w:rFonts w:ascii="Times New Roman" w:hAnsi="Times New Roman" w:cs="Times New Roman"/>
                <w:iCs/>
                <w:sz w:val="20"/>
                <w:szCs w:val="20"/>
              </w:rPr>
            </w:pPr>
            <w:r w:rsidRPr="00BE516E">
              <w:rPr>
                <w:rFonts w:ascii="Times New Roman" w:hAnsi="Times New Roman" w:cs="Times New Roman"/>
                <w:iCs/>
                <w:sz w:val="20"/>
                <w:szCs w:val="20"/>
              </w:rPr>
              <w:t>Day: 28</w:t>
            </w:r>
          </w:p>
        </w:tc>
        <w:tc>
          <w:tcPr>
            <w:tcW w:w="7038" w:type="dxa"/>
          </w:tcPr>
          <w:p w:rsidR="00097C68" w:rsidRPr="00BE516E" w:rsidRDefault="00097C68" w:rsidP="0022604A">
            <w:pPr>
              <w:pStyle w:val="NoSpacing"/>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BE516E">
              <w:rPr>
                <w:rFonts w:ascii="Times New Roman" w:hAnsi="Times New Roman" w:cs="Times New Roman"/>
                <w:iCs/>
                <w:sz w:val="20"/>
                <w:szCs w:val="20"/>
              </w:rPr>
              <w:t>Behavioral study: open field, closed field, EPM, water maze, and Y-maze</w:t>
            </w:r>
          </w:p>
        </w:tc>
      </w:tr>
      <w:tr w:rsidR="00097C68" w:rsidRPr="00BE516E" w:rsidTr="00A113BE">
        <w:trPr>
          <w:jc w:val="center"/>
        </w:trPr>
        <w:tc>
          <w:tcPr>
            <w:cnfStyle w:val="001000000000" w:firstRow="0" w:lastRow="0" w:firstColumn="1" w:lastColumn="0" w:oddVBand="0" w:evenVBand="0" w:oddHBand="0" w:evenHBand="0" w:firstRowFirstColumn="0" w:firstRowLastColumn="0" w:lastRowFirstColumn="0" w:lastRowLastColumn="0"/>
            <w:tcW w:w="2538" w:type="dxa"/>
          </w:tcPr>
          <w:p w:rsidR="00097C68" w:rsidRPr="00BE516E" w:rsidRDefault="00097C68" w:rsidP="0022604A">
            <w:pPr>
              <w:pStyle w:val="NoSpacing"/>
              <w:spacing w:before="100" w:beforeAutospacing="1" w:after="100" w:afterAutospacing="1" w:line="360" w:lineRule="auto"/>
              <w:jc w:val="both"/>
              <w:rPr>
                <w:rFonts w:ascii="Times New Roman" w:hAnsi="Times New Roman" w:cs="Times New Roman"/>
                <w:iCs/>
                <w:sz w:val="20"/>
                <w:szCs w:val="20"/>
              </w:rPr>
            </w:pPr>
            <w:r w:rsidRPr="00BE516E">
              <w:rPr>
                <w:rFonts w:ascii="Times New Roman" w:hAnsi="Times New Roman" w:cs="Times New Roman"/>
                <w:iCs/>
                <w:sz w:val="20"/>
                <w:szCs w:val="20"/>
              </w:rPr>
              <w:t>Day: 29</w:t>
            </w:r>
          </w:p>
        </w:tc>
        <w:tc>
          <w:tcPr>
            <w:tcW w:w="7038" w:type="dxa"/>
          </w:tcPr>
          <w:p w:rsidR="00097C68" w:rsidRPr="00BE516E" w:rsidRDefault="00097C68" w:rsidP="0022604A">
            <w:pPr>
              <w:pStyle w:val="NoSpacing"/>
              <w:spacing w:before="100" w:beforeAutospacing="1" w:after="100" w:afterAutospacing="1"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BE516E">
              <w:rPr>
                <w:rFonts w:ascii="Times New Roman" w:hAnsi="Times New Roman" w:cs="Times New Roman"/>
                <w:iCs/>
                <w:sz w:val="20"/>
                <w:szCs w:val="20"/>
              </w:rPr>
              <w:t>Sacrifice and brain dissection of the rats.</w:t>
            </w:r>
          </w:p>
        </w:tc>
      </w:tr>
    </w:tbl>
    <w:p w:rsidR="00097C68" w:rsidRPr="00BE516E" w:rsidRDefault="00097C68" w:rsidP="00097C68">
      <w:pPr>
        <w:pStyle w:val="NoSpacing"/>
        <w:spacing w:before="100" w:beforeAutospacing="1" w:after="100" w:afterAutospacing="1" w:line="360" w:lineRule="auto"/>
        <w:jc w:val="both"/>
        <w:rPr>
          <w:rFonts w:ascii="Times New Roman" w:hAnsi="Times New Roman" w:cs="Times New Roman"/>
          <w:iCs/>
          <w:sz w:val="20"/>
          <w:szCs w:val="20"/>
        </w:rPr>
      </w:pPr>
      <w:r w:rsidRPr="00BE516E">
        <w:rPr>
          <w:rFonts w:ascii="Times New Roman" w:hAnsi="Times New Roman" w:cs="Times New Roman"/>
          <w:b/>
          <w:iCs/>
          <w:sz w:val="20"/>
          <w:szCs w:val="20"/>
        </w:rPr>
        <w:t>Table S</w:t>
      </w:r>
      <w:r w:rsidR="00392453" w:rsidRPr="00BE516E">
        <w:rPr>
          <w:rFonts w:ascii="Times New Roman" w:hAnsi="Times New Roman" w:cs="Times New Roman"/>
          <w:b/>
          <w:iCs/>
          <w:sz w:val="20"/>
          <w:szCs w:val="20"/>
        </w:rPr>
        <w:t>6</w:t>
      </w:r>
      <w:r w:rsidRPr="00BE516E">
        <w:rPr>
          <w:rFonts w:ascii="Times New Roman" w:hAnsi="Times New Roman" w:cs="Times New Roman"/>
          <w:b/>
          <w:iCs/>
          <w:sz w:val="20"/>
          <w:szCs w:val="20"/>
        </w:rPr>
        <w:t>.</w:t>
      </w:r>
      <w:r w:rsidRPr="00BE516E">
        <w:rPr>
          <w:rFonts w:ascii="Times New Roman" w:hAnsi="Times New Roman" w:cs="Times New Roman"/>
          <w:iCs/>
          <w:sz w:val="20"/>
          <w:szCs w:val="20"/>
        </w:rPr>
        <w:t xml:space="preserve"> Experimental study design</w:t>
      </w:r>
    </w:p>
    <w:p w:rsidR="00097C68" w:rsidRPr="00BE516E" w:rsidRDefault="00097C68" w:rsidP="00097C68">
      <w:pPr>
        <w:pStyle w:val="NoSpacing"/>
        <w:spacing w:before="100" w:beforeAutospacing="1" w:after="100" w:afterAutospacing="1" w:line="360" w:lineRule="auto"/>
        <w:jc w:val="both"/>
        <w:rPr>
          <w:rFonts w:ascii="Times New Roman" w:hAnsi="Times New Roman" w:cs="Times New Roman"/>
          <w:iCs/>
          <w:sz w:val="20"/>
          <w:szCs w:val="20"/>
        </w:rPr>
      </w:pPr>
      <w:r w:rsidRPr="00BE516E">
        <w:rPr>
          <w:rFonts w:ascii="Times New Roman" w:hAnsi="Times New Roman" w:cs="Times New Roman"/>
          <w:iCs/>
          <w:sz w:val="20"/>
          <w:szCs w:val="20"/>
        </w:rPr>
        <w:t>During the acquisition of AD model and the consecutive improvement of the experimental rats, the body weight of the animals was continuously monitored and noted down.</w:t>
      </w:r>
    </w:p>
    <w:p w:rsidR="00D57566" w:rsidRPr="00BE516E" w:rsidRDefault="00D57566" w:rsidP="00097C68">
      <w:pPr>
        <w:pStyle w:val="NoSpacing"/>
        <w:spacing w:before="100" w:beforeAutospacing="1" w:after="100" w:afterAutospacing="1" w:line="360" w:lineRule="auto"/>
        <w:jc w:val="both"/>
        <w:rPr>
          <w:rFonts w:ascii="Times New Roman" w:hAnsi="Times New Roman" w:cs="Times New Roman"/>
          <w:b/>
          <w:sz w:val="20"/>
          <w:szCs w:val="20"/>
        </w:rPr>
      </w:pPr>
      <w:proofErr w:type="spellStart"/>
      <w:r w:rsidRPr="00BE516E">
        <w:rPr>
          <w:rFonts w:ascii="Times New Roman" w:hAnsi="Times New Roman" w:cs="Times New Roman"/>
          <w:b/>
          <w:sz w:val="20"/>
          <w:szCs w:val="20"/>
        </w:rPr>
        <w:t>Transmucosal</w:t>
      </w:r>
      <w:proofErr w:type="spellEnd"/>
      <w:r w:rsidRPr="00BE516E">
        <w:rPr>
          <w:rFonts w:ascii="Times New Roman" w:hAnsi="Times New Roman" w:cs="Times New Roman"/>
          <w:b/>
          <w:sz w:val="20"/>
          <w:szCs w:val="20"/>
        </w:rPr>
        <w:t xml:space="preserve"> nasal drug delivery</w:t>
      </w:r>
    </w:p>
    <w:p w:rsidR="00D57566" w:rsidRPr="00BE516E" w:rsidRDefault="00D57566" w:rsidP="00097C68">
      <w:pPr>
        <w:pStyle w:val="NoSpacing"/>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For a non-anesthetized/awake mode of intranasal or </w:t>
      </w:r>
      <w:proofErr w:type="spellStart"/>
      <w:r w:rsidRPr="00BE516E">
        <w:rPr>
          <w:rFonts w:ascii="Times New Roman" w:hAnsi="Times New Roman" w:cs="Times New Roman"/>
          <w:sz w:val="20"/>
          <w:szCs w:val="20"/>
        </w:rPr>
        <w:t>transmucosal</w:t>
      </w:r>
      <w:proofErr w:type="spellEnd"/>
      <w:r w:rsidRPr="00BE516E">
        <w:rPr>
          <w:rFonts w:ascii="Times New Roman" w:hAnsi="Times New Roman" w:cs="Times New Roman"/>
          <w:sz w:val="20"/>
          <w:szCs w:val="20"/>
        </w:rPr>
        <w:t xml:space="preserve"> nasal delivery, the rats were acclimated to handling for 7 days to ensure a proper body position during delivery and to avoid the anxiety reactions after dosing. During dosing, the rats were held in the palm with a grip in their scruff and turning them onto their back, so that the neck and chin of the rats remain flat and parallel to the floor (the chin was close to a 180° angle with the neck as much as possible). In this position, each rat was given the dose slowly at a nostril using a </w:t>
      </w:r>
      <w:proofErr w:type="spellStart"/>
      <w:r w:rsidRPr="00BE516E">
        <w:rPr>
          <w:rFonts w:ascii="Times New Roman" w:hAnsi="Times New Roman" w:cs="Times New Roman"/>
          <w:sz w:val="20"/>
          <w:szCs w:val="20"/>
        </w:rPr>
        <w:t>pipettor</w:t>
      </w:r>
      <w:proofErr w:type="spellEnd"/>
      <w:r w:rsidRPr="00BE516E">
        <w:rPr>
          <w:rFonts w:ascii="Times New Roman" w:hAnsi="Times New Roman" w:cs="Times New Roman"/>
          <w:sz w:val="20"/>
          <w:szCs w:val="20"/>
        </w:rPr>
        <w:t xml:space="preserve"> at 45° angle near the rat’s nostril. Finally, the rat was held for 15 sec in the same position at its back and then released and repeated for dosing in another nostril. For </w:t>
      </w:r>
      <w:proofErr w:type="spellStart"/>
      <w:r w:rsidRPr="00BE516E">
        <w:rPr>
          <w:rFonts w:ascii="Times New Roman" w:hAnsi="Times New Roman" w:cs="Times New Roman"/>
          <w:sz w:val="20"/>
          <w:szCs w:val="20"/>
        </w:rPr>
        <w:t>transmucosal</w:t>
      </w:r>
      <w:proofErr w:type="spellEnd"/>
      <w:r w:rsidRPr="00BE516E">
        <w:rPr>
          <w:rFonts w:ascii="Times New Roman" w:hAnsi="Times New Roman" w:cs="Times New Roman"/>
          <w:sz w:val="20"/>
          <w:szCs w:val="20"/>
        </w:rPr>
        <w:t xml:space="preserve"> nasal delivery, the inhibitor was solubilized in 20 </w:t>
      </w:r>
      <w:proofErr w:type="spellStart"/>
      <w:r w:rsidRPr="00BE516E">
        <w:rPr>
          <w:rFonts w:ascii="Times New Roman" w:hAnsi="Times New Roman" w:cs="Times New Roman"/>
          <w:sz w:val="20"/>
          <w:szCs w:val="20"/>
        </w:rPr>
        <w:t>mM</w:t>
      </w:r>
      <w:proofErr w:type="spellEnd"/>
      <w:r w:rsidRPr="00BE516E">
        <w:rPr>
          <w:rFonts w:ascii="Times New Roman" w:hAnsi="Times New Roman" w:cs="Times New Roman"/>
          <w:sz w:val="20"/>
          <w:szCs w:val="20"/>
        </w:rPr>
        <w:t xml:space="preserve"> PBS, pH 5.5, and administered to the drug-treated groups at the doses of 10 </w:t>
      </w:r>
      <w:r w:rsidRPr="00BE516E">
        <w:rPr>
          <w:rFonts w:ascii="Calibri" w:hAnsi="Calibri" w:cs="Calibri"/>
          <w:sz w:val="20"/>
          <w:szCs w:val="20"/>
        </w:rPr>
        <w:t>µ</w:t>
      </w:r>
      <w:r w:rsidRPr="00BE516E">
        <w:rPr>
          <w:rFonts w:ascii="Times New Roman" w:hAnsi="Times New Roman" w:cs="Times New Roman"/>
          <w:sz w:val="20"/>
          <w:szCs w:val="20"/>
        </w:rPr>
        <w:t xml:space="preserve">g/10 </w:t>
      </w:r>
      <w:r w:rsidRPr="00BE516E">
        <w:rPr>
          <w:rFonts w:ascii="Calibri" w:hAnsi="Calibri" w:cs="Calibri"/>
          <w:sz w:val="20"/>
          <w:szCs w:val="20"/>
        </w:rPr>
        <w:t>µ</w:t>
      </w:r>
      <w:r w:rsidRPr="00BE516E">
        <w:rPr>
          <w:rFonts w:ascii="Times New Roman" w:hAnsi="Times New Roman" w:cs="Times New Roman"/>
          <w:sz w:val="20"/>
          <w:szCs w:val="20"/>
        </w:rPr>
        <w:t xml:space="preserve">l and 20 </w:t>
      </w:r>
      <w:r w:rsidRPr="00BE516E">
        <w:rPr>
          <w:rFonts w:ascii="Calibri" w:hAnsi="Calibri" w:cs="Calibri"/>
          <w:sz w:val="20"/>
          <w:szCs w:val="20"/>
        </w:rPr>
        <w:t>µ</w:t>
      </w:r>
      <w:r w:rsidRPr="00BE516E">
        <w:rPr>
          <w:rFonts w:ascii="Times New Roman" w:hAnsi="Times New Roman" w:cs="Times New Roman"/>
          <w:sz w:val="20"/>
          <w:szCs w:val="20"/>
        </w:rPr>
        <w:t xml:space="preserve">g/10 </w:t>
      </w:r>
      <w:r w:rsidRPr="00BE516E">
        <w:rPr>
          <w:rFonts w:ascii="Calibri" w:hAnsi="Calibri" w:cs="Calibri"/>
          <w:sz w:val="20"/>
          <w:szCs w:val="20"/>
        </w:rPr>
        <w:t>µ</w:t>
      </w:r>
      <w:r w:rsidRPr="00BE516E">
        <w:rPr>
          <w:rFonts w:ascii="Times New Roman" w:hAnsi="Times New Roman" w:cs="Times New Roman"/>
          <w:sz w:val="20"/>
          <w:szCs w:val="20"/>
        </w:rPr>
        <w:t>l for each nostril daily for 14 days. The ‘Sham’ group received the</w:t>
      </w:r>
      <w:r w:rsidR="00F254C7">
        <w:rPr>
          <w:rFonts w:ascii="Times New Roman" w:hAnsi="Times New Roman" w:cs="Times New Roman"/>
          <w:sz w:val="20"/>
          <w:szCs w:val="20"/>
        </w:rPr>
        <w:t xml:space="preserve"> same amount of PBS. Also, the </w:t>
      </w:r>
      <w:r w:rsidRPr="00BE516E">
        <w:rPr>
          <w:rFonts w:ascii="Times New Roman" w:hAnsi="Times New Roman" w:cs="Times New Roman"/>
          <w:sz w:val="20"/>
          <w:szCs w:val="20"/>
        </w:rPr>
        <w:t>I</w:t>
      </w:r>
      <w:r w:rsidR="00F254C7">
        <w:rPr>
          <w:rFonts w:ascii="Times New Roman" w:hAnsi="Times New Roman" w:cs="Times New Roman"/>
          <w:sz w:val="20"/>
          <w:szCs w:val="20"/>
        </w:rPr>
        <w:t>NH-treated control</w:t>
      </w:r>
      <w:r w:rsidRPr="00BE516E">
        <w:rPr>
          <w:rFonts w:ascii="Times New Roman" w:hAnsi="Times New Roman" w:cs="Times New Roman"/>
          <w:sz w:val="20"/>
          <w:szCs w:val="20"/>
        </w:rPr>
        <w:t xml:space="preserve"> group has received the 10 </w:t>
      </w:r>
      <w:r w:rsidRPr="00BE516E">
        <w:rPr>
          <w:rFonts w:ascii="Calibri" w:hAnsi="Calibri" w:cs="Calibri"/>
          <w:sz w:val="20"/>
          <w:szCs w:val="20"/>
        </w:rPr>
        <w:t>µ</w:t>
      </w:r>
      <w:r w:rsidRPr="00BE516E">
        <w:rPr>
          <w:rFonts w:ascii="Times New Roman" w:hAnsi="Times New Roman" w:cs="Times New Roman"/>
          <w:sz w:val="20"/>
          <w:szCs w:val="20"/>
        </w:rPr>
        <w:t xml:space="preserve">g/10 </w:t>
      </w:r>
      <w:r w:rsidRPr="00BE516E">
        <w:rPr>
          <w:rFonts w:ascii="Calibri" w:hAnsi="Calibri" w:cs="Calibri"/>
          <w:sz w:val="20"/>
          <w:szCs w:val="20"/>
        </w:rPr>
        <w:t>µ</w:t>
      </w:r>
      <w:r w:rsidRPr="00BE516E">
        <w:rPr>
          <w:rFonts w:ascii="Times New Roman" w:hAnsi="Times New Roman" w:cs="Times New Roman"/>
          <w:sz w:val="20"/>
          <w:szCs w:val="20"/>
        </w:rPr>
        <w:t>l dose of I</w:t>
      </w:r>
      <w:r w:rsidR="00F254C7">
        <w:rPr>
          <w:rFonts w:ascii="Times New Roman" w:hAnsi="Times New Roman" w:cs="Times New Roman"/>
          <w:sz w:val="20"/>
          <w:szCs w:val="20"/>
        </w:rPr>
        <w:t>NH</w:t>
      </w:r>
      <w:r w:rsidRPr="00BE516E">
        <w:rPr>
          <w:rFonts w:ascii="Times New Roman" w:hAnsi="Times New Roman" w:cs="Times New Roman"/>
          <w:sz w:val="20"/>
          <w:szCs w:val="20"/>
        </w:rPr>
        <w:t xml:space="preserve"> in each nostril daily for 14 days.</w:t>
      </w:r>
    </w:p>
    <w:p w:rsidR="00F624C1" w:rsidRPr="00BE516E" w:rsidRDefault="00F624C1" w:rsidP="00F624C1">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Drug absorption in the brain</w:t>
      </w:r>
    </w:p>
    <w:p w:rsidR="00F624C1" w:rsidRPr="00BE516E" w:rsidRDefault="00F624C1" w:rsidP="00F624C1">
      <w:pPr>
        <w:spacing w:before="100" w:beforeAutospacing="1" w:after="100" w:afterAutospacing="1" w:line="360" w:lineRule="auto"/>
        <w:jc w:val="both"/>
        <w:rPr>
          <w:rFonts w:ascii="Times New Roman" w:hAnsi="Times New Roman" w:cs="Times New Roman"/>
          <w:strike/>
          <w:color w:val="FF0000"/>
          <w:sz w:val="20"/>
          <w:szCs w:val="20"/>
        </w:rPr>
      </w:pPr>
      <w:r w:rsidRPr="00BE516E">
        <w:rPr>
          <w:rFonts w:ascii="Times New Roman" w:hAnsi="Times New Roman" w:cs="Times New Roman"/>
          <w:sz w:val="20"/>
          <w:szCs w:val="20"/>
        </w:rPr>
        <w:lastRenderedPageBreak/>
        <w:t>The FITC-tagged inhibitor (I</w:t>
      </w:r>
      <w:r w:rsidR="005F1AC1">
        <w:rPr>
          <w:rFonts w:ascii="Times New Roman" w:hAnsi="Times New Roman" w:cs="Times New Roman"/>
          <w:sz w:val="20"/>
          <w:szCs w:val="20"/>
        </w:rPr>
        <w:t>NH</w:t>
      </w:r>
      <w:r w:rsidRPr="00BE516E">
        <w:rPr>
          <w:rFonts w:ascii="Times New Roman" w:hAnsi="Times New Roman" w:cs="Times New Roman"/>
          <w:sz w:val="20"/>
          <w:szCs w:val="20"/>
        </w:rPr>
        <w:t xml:space="preserve">) was traced for its presence in rat brains after the </w:t>
      </w:r>
      <w:proofErr w:type="spellStart"/>
      <w:r w:rsidRPr="00BE516E">
        <w:rPr>
          <w:rFonts w:ascii="Times New Roman" w:hAnsi="Times New Roman" w:cs="Times New Roman"/>
          <w:sz w:val="20"/>
          <w:szCs w:val="20"/>
        </w:rPr>
        <w:t>transmucosal</w:t>
      </w:r>
      <w:proofErr w:type="spellEnd"/>
      <w:r w:rsidRPr="00BE516E">
        <w:rPr>
          <w:rFonts w:ascii="Times New Roman" w:hAnsi="Times New Roman" w:cs="Times New Roman"/>
          <w:sz w:val="20"/>
          <w:szCs w:val="20"/>
        </w:rPr>
        <w:t xml:space="preserve"> nasal delivery following a modified protocol reported elsewhere </w:t>
      </w:r>
      <w:r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{"citationItems":[{"id":"ITEM-1","itemData":{"DOI":"10.15252/emmm.201606666","ISSN":"1757-4684","abstract":"Alzheimer's disease (AD) is the most common neurodegenerative disease. Imbalance between the production and clearance of amyloid β (Aβ) peptides is considered to be the primary mechanism of AD pathogenesis. This amyloid hypothesis is supported by the recent success of the human anti-amyloid antibody aducanumab, in clearing plaque and slowing clinical impairment in prodromal or mild patients in a phase Ib trial. Here, a peptide combining polyarginines (polyR) (for charge repulsion) and a segment derived from the core region of Aβ amyloid (for sequence recognition) was designed. The efficacy of the designed peptide, R(8)-Aβ(25-35), on amyloid reduction and the improvement of cognitive functions were evaluated using APP/PS1 double transgenic mice. Daily intranasal administration of PEI-conjugated R(8)-Aβ(25-35) peptide significantly reduced Aβ amyloid accumulation and ameliorated the memory deficits of the transgenic mice. Intranasal administration is a feasible route for peptide delivery. The modular design combining polyR and aggregate-forming segments produced a desirable therapeutic effect and could be easily adopted to design therapeutic peptides for other proteinaceous aggregate-associated diseases.","author":[{"dropping-particle":"","family":"Cheng","given":"Yu-Sung","non-dropping-particle":"","parse-names":false,"suffix":""},{"dropping-particle":"","family":"Chen","given":"Zih-Ten","non-dropping-particle":"","parse-names":false,"suffix":""},{"dropping-particle":"","family":"Liao","given":"Tai-Yan","non-dropping-particle":"","parse-names":false,"suffix":""},{"dropping-particle":"","family":"Lin","given":"Chen","non-dropping-particle":"","parse-names":false,"suffix":""},{"dropping-particle":"","family":"Shen","given":"Howard C-H","non-dropping-particle":"","parse-names":false,"suffix":""},{"dropping-particle":"","family":"Wang","given":"Ya-Han","non-dropping-particle":"","parse-names":false,"suffix":""},{"dropping-particle":"","family":"Chang","given":"Chi-Wei","non-dropping-particle":"","parse-names":false,"suffix":""},{"dropping-particle":"","family":"Liu","given":"Ren-Shyan","non-dropping-particle":"","parse-names":false,"suffix":""},{"dropping-particle":"","family":"Chen","given":"Rita P-Y","non-dropping-particle":"","parse-names":false,"suffix":""},{"dropping-particle":"","family":"Tu","given":"Pang-Hsien","non-dropping-particle":"","parse-names":false,"suffix":""}],"container-title":"EMBO molecular medicine","id":"ITEM-1","issue":"5","issued":{"date-parts":[["2017","5"]]},"language":"eng","page":"703-715","publisher":"John Wiley and Sons Inc.","title":"An intranasally delivered peptide drug ameliorates cognitive decline in Alzheimer transgenic mice","type":"article-journal","volume":"9"},"uris":["http://www.mendeley.com/documents/?uuid=8b5c93e7-d67e-454e-a79e-91c77c5494a4"]}],"mendeley":{"formattedCitation":"[9]","plainTextFormattedCitation":"[9]","previouslyFormattedCitation":"[9]"},"properties":{"noteIndex":0},"schema":"https://github.com/citation-style-language/schema/raw/master/csl-citation.json"}</w:instrText>
      </w:r>
      <w:r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[9]</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 xml:space="preserve">. Briefly, 10 </w:t>
      </w:r>
      <w:proofErr w:type="spellStart"/>
      <w:r w:rsidRPr="00BE516E">
        <w:rPr>
          <w:rFonts w:ascii="Times New Roman" w:hAnsi="Times New Roman" w:cs="Times New Roman"/>
          <w:sz w:val="20"/>
          <w:szCs w:val="20"/>
        </w:rPr>
        <w:t>nmole</w:t>
      </w:r>
      <w:proofErr w:type="spellEnd"/>
      <w:r w:rsidRPr="00BE516E">
        <w:rPr>
          <w:rFonts w:ascii="Times New Roman" w:hAnsi="Times New Roman" w:cs="Times New Roman"/>
          <w:sz w:val="20"/>
          <w:szCs w:val="20"/>
        </w:rPr>
        <w:t xml:space="preserve"> of I</w:t>
      </w:r>
      <w:r w:rsidR="005F1AC1">
        <w:rPr>
          <w:rFonts w:ascii="Times New Roman" w:hAnsi="Times New Roman" w:cs="Times New Roman"/>
          <w:sz w:val="20"/>
          <w:szCs w:val="20"/>
        </w:rPr>
        <w:t>NH</w:t>
      </w:r>
      <w:r w:rsidRPr="00BE516E">
        <w:rPr>
          <w:rFonts w:ascii="Times New Roman" w:hAnsi="Times New Roman" w:cs="Times New Roman"/>
          <w:sz w:val="20"/>
          <w:szCs w:val="20"/>
        </w:rPr>
        <w:t xml:space="preserve"> was given to 3 months old female nulliparous Wistar rats (1 group, N=3) for three consecutive days daily to enhance the detectable fluorescence emission. The animals were sacrificed after 1 h, 6 h, 12 h, and 24 h of completing the final (3rd) dose. Then, the brains were processed following a perfusion and subsequent homogenization via sonication on ice. After that, the brain homogenates were centrifuged at 21000 g for 20 min at cold and the supernatant was collected and volume made up to 1.0 ml with homogenization buffer. The presence of I</w:t>
      </w:r>
      <w:r w:rsidR="005F1AC1">
        <w:rPr>
          <w:rFonts w:ascii="Times New Roman" w:hAnsi="Times New Roman" w:cs="Times New Roman"/>
          <w:sz w:val="20"/>
          <w:szCs w:val="20"/>
        </w:rPr>
        <w:t>NH</w:t>
      </w:r>
      <w:r w:rsidRPr="00BE516E">
        <w:rPr>
          <w:rFonts w:ascii="Times New Roman" w:hAnsi="Times New Roman" w:cs="Times New Roman"/>
          <w:sz w:val="20"/>
          <w:szCs w:val="20"/>
        </w:rPr>
        <w:t xml:space="preserve"> in brain supernatant was quantified through the emission of fluorescence between 500 nm and 600 nm with the excitation spectra of 446 nm. Results were represented as mean ± SD (N=3). </w:t>
      </w:r>
    </w:p>
    <w:p w:rsidR="00097C68" w:rsidRPr="00BE516E" w:rsidRDefault="00097C68" w:rsidP="00097C68">
      <w:pPr>
        <w:pStyle w:val="NoSpacing"/>
        <w:spacing w:before="100" w:beforeAutospacing="1" w:after="100" w:afterAutospacing="1" w:line="360" w:lineRule="auto"/>
        <w:jc w:val="both"/>
        <w:rPr>
          <w:rFonts w:ascii="Times New Roman" w:hAnsi="Times New Roman" w:cs="Times New Roman"/>
          <w:b/>
          <w:iCs/>
          <w:sz w:val="20"/>
          <w:szCs w:val="20"/>
        </w:rPr>
      </w:pPr>
      <w:r w:rsidRPr="00BE516E">
        <w:rPr>
          <w:rFonts w:ascii="Times New Roman" w:hAnsi="Times New Roman" w:cs="Times New Roman"/>
          <w:b/>
          <w:iCs/>
          <w:sz w:val="20"/>
          <w:szCs w:val="20"/>
        </w:rPr>
        <w:t>Intravenous drug delivery for comparison with the intranasal delivery</w:t>
      </w:r>
    </w:p>
    <w:p w:rsidR="0028373C" w:rsidRPr="00BE516E" w:rsidRDefault="00097C68" w:rsidP="00097C68">
      <w:pPr>
        <w:pStyle w:val="NoSpacing"/>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The efficiency of the intranasal delivery of the FITC-tagged inhibitor was assessed through a comparison between the intranasal and intravenous (IV) administration of same amount of the inhibitor and following similar methods as described </w:t>
      </w:r>
      <w:r w:rsidR="00F624C1" w:rsidRPr="00BE516E">
        <w:rPr>
          <w:rFonts w:ascii="Times New Roman" w:hAnsi="Times New Roman" w:cs="Times New Roman"/>
          <w:sz w:val="20"/>
          <w:szCs w:val="20"/>
        </w:rPr>
        <w:t>above</w:t>
      </w:r>
      <w:r w:rsidRPr="00BE516E">
        <w:rPr>
          <w:rFonts w:ascii="Times New Roman" w:hAnsi="Times New Roman" w:cs="Times New Roman"/>
          <w:sz w:val="20"/>
          <w:szCs w:val="20"/>
        </w:rPr>
        <w:t xml:space="preserve">. Briefly, 10 </w:t>
      </w:r>
      <w:proofErr w:type="spellStart"/>
      <w:r w:rsidRPr="00BE516E">
        <w:rPr>
          <w:rFonts w:ascii="Times New Roman" w:hAnsi="Times New Roman" w:cs="Times New Roman"/>
          <w:sz w:val="20"/>
          <w:szCs w:val="20"/>
        </w:rPr>
        <w:t>nmole</w:t>
      </w:r>
      <w:proofErr w:type="spellEnd"/>
      <w:r w:rsidRPr="00BE516E">
        <w:rPr>
          <w:rFonts w:ascii="Times New Roman" w:hAnsi="Times New Roman" w:cs="Times New Roman"/>
          <w:sz w:val="20"/>
          <w:szCs w:val="20"/>
        </w:rPr>
        <w:t xml:space="preserve"> of I</w:t>
      </w:r>
      <w:r w:rsidR="005F1AC1">
        <w:rPr>
          <w:rFonts w:ascii="Times New Roman" w:hAnsi="Times New Roman" w:cs="Times New Roman"/>
          <w:sz w:val="20"/>
          <w:szCs w:val="20"/>
        </w:rPr>
        <w:t>NH</w:t>
      </w:r>
      <w:r w:rsidRPr="00BE516E">
        <w:rPr>
          <w:rFonts w:ascii="Times New Roman" w:hAnsi="Times New Roman" w:cs="Times New Roman"/>
          <w:sz w:val="20"/>
          <w:szCs w:val="20"/>
        </w:rPr>
        <w:t xml:space="preserve"> was given to 3 months old female nulliparous Wistar rats (1 group, N=3) for three consecutive days daily via IV injection through the tail vain to avoid an anesthesia and anesthesia related complications on neurological behaviors. For this purpose, the female Wistar rats were restrained with the help of a mechanical restraint device and the tail protruding outside. While keeping on a heating pad and after wiping the tail with antiseptic solution, the rats were injected with I</w:t>
      </w:r>
      <w:r w:rsidR="005F1AC1">
        <w:rPr>
          <w:rFonts w:ascii="Times New Roman" w:hAnsi="Times New Roman" w:cs="Times New Roman"/>
          <w:sz w:val="20"/>
          <w:szCs w:val="20"/>
        </w:rPr>
        <w:t>NH</w:t>
      </w:r>
      <w:r w:rsidRPr="00BE516E">
        <w:rPr>
          <w:rFonts w:ascii="Times New Roman" w:hAnsi="Times New Roman" w:cs="Times New Roman"/>
          <w:sz w:val="20"/>
          <w:szCs w:val="20"/>
        </w:rPr>
        <w:t xml:space="preserve"> at the tail vain. After completing the final (3rd) dose at day 3, the animals were sacrificed at 1 h, 6 h, 12 h, and 24 h time point of the final dosing. Then, the brains were processed following a perfusion and subsequent homogenization via sonication on ice. After that, the brain homogenates were centrifuged at 21000 g for 20 min at cold and the supernatant was collected and volume made up to 1.0 ml with homogenization buffer. The presence of I</w:t>
      </w:r>
      <w:r w:rsidR="005F1AC1">
        <w:rPr>
          <w:rFonts w:ascii="Times New Roman" w:hAnsi="Times New Roman" w:cs="Times New Roman"/>
          <w:sz w:val="20"/>
          <w:szCs w:val="20"/>
        </w:rPr>
        <w:t>NH</w:t>
      </w:r>
      <w:r w:rsidRPr="00BE516E">
        <w:rPr>
          <w:rFonts w:ascii="Times New Roman" w:hAnsi="Times New Roman" w:cs="Times New Roman"/>
          <w:sz w:val="20"/>
          <w:szCs w:val="20"/>
        </w:rPr>
        <w:t xml:space="preserve"> in brain supernatant was quantified through the emission of fluorescence between 500 nm and 600 nm with the excitation spectra of 446 nm. Results were represented as mean ± SD (N=3). </w:t>
      </w:r>
    </w:p>
    <w:p w:rsidR="00097C68" w:rsidRPr="00BE516E" w:rsidRDefault="00097C68" w:rsidP="00097C68">
      <w:pPr>
        <w:pStyle w:val="NoSpacing"/>
        <w:spacing w:before="100" w:beforeAutospacing="1" w:after="100" w:afterAutospacing="1" w:line="360" w:lineRule="auto"/>
        <w:jc w:val="both"/>
        <w:rPr>
          <w:rFonts w:ascii="Times New Roman" w:hAnsi="Times New Roman" w:cs="Times New Roman"/>
          <w:b/>
          <w:iCs/>
          <w:sz w:val="20"/>
          <w:szCs w:val="20"/>
        </w:rPr>
      </w:pPr>
      <w:r w:rsidRPr="00BE516E">
        <w:rPr>
          <w:rFonts w:ascii="Times New Roman" w:hAnsi="Times New Roman" w:cs="Times New Roman"/>
          <w:b/>
          <w:iCs/>
          <w:sz w:val="20"/>
          <w:szCs w:val="20"/>
        </w:rPr>
        <w:t>Behavioral studies</w:t>
      </w:r>
    </w:p>
    <w:p w:rsidR="00097C68" w:rsidRPr="00BE516E" w:rsidRDefault="00097C68" w:rsidP="00097C68">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Open-field activity</w:t>
      </w:r>
    </w:p>
    <w:p w:rsidR="00097C68" w:rsidRPr="00BE516E" w:rsidRDefault="00097C68" w:rsidP="00097C68">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Plywood-made square open-field apparatus of 61 cm × 61 cm with high walls of 61 cm was chosen for this study. The apparatus was painted white except for the 6 mm thick black lines, which divided the floor into 16 squares. The study was done following a modified protocol by Xing </w:t>
      </w:r>
      <w:r w:rsidRPr="00BE516E">
        <w:rPr>
          <w:rFonts w:ascii="Times New Roman" w:hAnsi="Times New Roman" w:cs="Times New Roman"/>
          <w:i/>
          <w:sz w:val="20"/>
          <w:szCs w:val="20"/>
        </w:rPr>
        <w:t xml:space="preserve">et al. </w:t>
      </w:r>
      <w:r w:rsidRPr="00BE516E">
        <w:rPr>
          <w:rFonts w:ascii="Times New Roman" w:hAnsi="Times New Roman" w:cs="Times New Roman"/>
          <w:sz w:val="20"/>
          <w:szCs w:val="20"/>
        </w:rPr>
        <w:t xml:space="preserve">on 1 day before ICV injection and day 28 after injection </w:t>
      </w:r>
      <w:r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{"citationItems":[{"id":"ITEM-1","itemData":{"DOI":"https://doi.org/10.1016/j.neuroscience.2015.01.044","ISSN":"0306-4522","abstract":"In this study, a novel TRI (triple reuptake inhibitors) antidepressant candidate RO-05 (4-[1-[1-(benzoyloxy)cyclohexyl]-2-(dimethylamino)ethyl]-phenyl benzoate) was investigated in TST (tail suspension test), FST (forced swimming test) and CMS (chronic mild stress) model. Results showed RO-05 significantly decreased the immobility time in FST and TST at 4.5-, 9-, 18-mg/kg in rats and 9-, 18-, 36-mg/kg in mice. Chronic administration of 18-mg/kg RO-05 improved the behavioral index, anhedonia and normalized the hyperactivity of HPA (hypothalamic–pituitary–adrenal axis) of CMS rats. We further investigated the possible mechanisms of RO-05 in the CMS model. Eighteen milligrams per kilogram of RO-05 chronic administration significantly reversed the increase of mRNA and protein expression of FKBP5 in the CMS rat hippocampus, which facilitated the activation of GR- (glucocorticoid receptor) and GR-responsive gene Foxo1 expression. RO-05 also elevated the expression of BDNF (brain-derived neurotrophic factor) in CMS rat hippocampus. In summary, our results indicated that RO-05 is a promising antidepressant candidate. The possible antidepressant mechanisms of RO-05 were the modulation of FKBP5 expression, GR activation, corresponding inhibition of HPA axis hyperactivity, and the increase of BDNF expression.","author":[{"dropping-particle":"","family":"Xing","given":"Y","non-dropping-particle":"","parse-names":false,"suffix":""},{"dropping-particle":"","family":"Hou","given":"J","non-dropping-particle":"","parse-names":false,"suffix":""},{"dropping-particle":"","family":"Meng","given":"Q","non-dropping-particle":"","parse-names":false,"suffix":""},{"dropping-particle":"","family":"Yang","given":"M","non-dropping-particle":"","parse-names":false,"suffix":""},{"dropping-particle":"","family":"Kurihara","given":"H","non-dropping-particle":"","parse-names":false,"suffix":""},{"dropping-particle":"","family":"Tian","given":"J","non-dropping-particle":"","parse-names":false,"suffix":""}],"container-title":"Neuroscience","id":"ITEM-1","issued":{"date-parts":[["2015"]]},"page":"255-265","title":"Novel antidepressant candidate RO-05 modulated glucocorticoid receptors activation and FKBP5 expression in chronic mild stress model in rats","type":"article-journal","volume":"290"},"uris":["http://www.mendeley.com/documents/?uuid=19919b96-9662-4a74-b604-11dabb2bbecc"]}],"mendeley":{"formattedCitation":"[10]","plainTextFormattedCitation":"[10]","previouslyFormattedCitation":"[10]"},"properties":{"noteIndex":0},"schema":"https://github.com/citation-style-language/schema/raw/master/csl-citation.json"}</w:instrText>
      </w:r>
      <w:r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[10]</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 xml:space="preserve">. Each animal was placed in the apparatus for 5 min, and the ambulation, rearing and self-grooming were noted to understand the </w:t>
      </w:r>
      <w:proofErr w:type="spellStart"/>
      <w:r w:rsidRPr="00BE516E">
        <w:rPr>
          <w:rFonts w:ascii="Times New Roman" w:hAnsi="Times New Roman" w:cs="Times New Roman"/>
          <w:sz w:val="20"/>
          <w:szCs w:val="20"/>
        </w:rPr>
        <w:t>locomotor</w:t>
      </w:r>
      <w:proofErr w:type="spellEnd"/>
      <w:r w:rsidRPr="00BE516E">
        <w:rPr>
          <w:rFonts w:ascii="Times New Roman" w:hAnsi="Times New Roman" w:cs="Times New Roman"/>
          <w:sz w:val="20"/>
          <w:szCs w:val="20"/>
        </w:rPr>
        <w:t xml:space="preserve"> behavior of the experimental animals.</w:t>
      </w:r>
    </w:p>
    <w:p w:rsidR="00097C68" w:rsidRPr="00BE516E" w:rsidRDefault="00097C68" w:rsidP="00097C68">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Closed-field activity</w:t>
      </w:r>
    </w:p>
    <w:p w:rsidR="00097C68" w:rsidRPr="00BE516E" w:rsidRDefault="00097C68" w:rsidP="00097C68">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lastRenderedPageBreak/>
        <w:t xml:space="preserve">To observe gross behavioral activity, the animals were placed in a square (30 cm) closed arena equipped with infrared light-sensitive photocells (digital </w:t>
      </w:r>
      <w:proofErr w:type="spellStart"/>
      <w:r w:rsidRPr="00BE516E">
        <w:rPr>
          <w:rFonts w:ascii="Times New Roman" w:hAnsi="Times New Roman" w:cs="Times New Roman"/>
          <w:sz w:val="20"/>
          <w:szCs w:val="20"/>
        </w:rPr>
        <w:t>photoactometer</w:t>
      </w:r>
      <w:proofErr w:type="spellEnd"/>
      <w:r w:rsidRPr="00BE516E">
        <w:rPr>
          <w:rFonts w:ascii="Times New Roman" w:hAnsi="Times New Roman" w:cs="Times New Roman"/>
          <w:sz w:val="20"/>
          <w:szCs w:val="20"/>
        </w:rPr>
        <w:t xml:space="preserve">, </w:t>
      </w:r>
      <w:proofErr w:type="spellStart"/>
      <w:r w:rsidRPr="00BE516E">
        <w:rPr>
          <w:rFonts w:ascii="Times New Roman" w:hAnsi="Times New Roman" w:cs="Times New Roman"/>
          <w:sz w:val="20"/>
          <w:szCs w:val="20"/>
        </w:rPr>
        <w:t>Sentwin</w:t>
      </w:r>
      <w:proofErr w:type="spellEnd"/>
      <w:r w:rsidRPr="00BE516E">
        <w:rPr>
          <w:rFonts w:ascii="Times New Roman" w:hAnsi="Times New Roman" w:cs="Times New Roman"/>
          <w:sz w:val="20"/>
          <w:szCs w:val="20"/>
        </w:rPr>
        <w:t xml:space="preserve">, India) </w:t>
      </w:r>
      <w:r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{"citationItems":[{"id":"ITEM-1","itemData":{"DOI":"10.3758/BF03211017","ISSN":"1554-3528","abstract":"An automated “intelligence” test for rats is described. Supporting data indicate that this maze-problem series is sensitive to hypothyroidism-induced learning deficit and sex differences. Comparisons between this new problem set and the Rabinovitch-Rosvold (1951) closed-field tests are presented with respect to difficulty, internal consistency, and test-retest reliability.","author":[{"dropping-particle":"","family":"Davenport","given":"John W","non-dropping-particle":"","parse-names":false,"suffix":""},{"dropping-particle":"","family":"Hagquist","given":"William W","non-dropping-particle":"","parse-names":false,"suffix":""},{"dropping-particle":"","family":"Rankin","given":"Gene R","non-dropping-particle":"","parse-names":false,"suffix":""}],"container-title":"Behavior Research Methods &amp; Instrumentation","id":"ITEM-1","issue":"3","issued":{"date-parts":[["1970"]]},"page":"112-118","title":"The symmetrical maze: An automated closed-field test series for rats","type":"article-journal","volume":"2"},"uris":["http://www.mendeley.com/documents/?uuid=f63d3e8f-2d4c-4d37-abf4-ce063279a124"]}],"mendeley":{"formattedCitation":"[11]","plainTextFormattedCitation":"[11]","previouslyFormattedCitation":"[11]"},"properties":{"noteIndex":0},"schema":"https://github.com/citation-style-language/schema/raw/master/csl-citation.json"}</w:instrText>
      </w:r>
      <w:r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[11]</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 xml:space="preserve">. The animals were observed for 5 min on one day before and day 28 after ICV colchicine injection, and the values were expressed as counts/5min. </w:t>
      </w:r>
    </w:p>
    <w:p w:rsidR="00097C68" w:rsidRPr="00BE516E" w:rsidRDefault="00097C68" w:rsidP="00097C68">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Y-Maze test</w:t>
      </w:r>
    </w:p>
    <w:p w:rsidR="00097C68" w:rsidRPr="00BE516E" w:rsidRDefault="00097C68" w:rsidP="00097C68">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The willingness of the experimental animals to explore a new environment was tested on day 28 post ICV injection by a three-arm horizontal Y-maze forming an angle of 120 degrees with the dimensions of 24 inch length, 6 inch width, and 12 inch height. The floor and walls of the maze were constructed with black polyvinyl plastic. After placing in one of the arm compartments, each rat was allowed to move freely until its tail completely enters another arm. For each animal, this test was carried out for 5 min, and the apparatus was cleaned with 5% alcohol and allowed to dry between two sessions. The sequence of arm entries was recorded manually. The arms were labeled as ‘A’, ‘B’ and ‘C’, and an actual alternation in the movement was considered when a rat entered into all three arms on consecutive choices, i.e., ABC, BCA, or CAB but not CAC, BAB, or ABA. The spontaneous alternation (%) was derived following the equation below </w:t>
      </w:r>
      <w:r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{"citationItems":[{"id":"ITEM-1","itemData":{"DOI":"10.1155/2017/4926815","ISSN":"1741-427X","abstract":"Increasing evidence suggests that neurodegenerative disorders such as Alzheimer&amp;#x2019;s disease (AD) are mediated via disruption of cholinergic neurons and enhanced oxidative stress. Therefore, attention has been focused on searching for antioxidant phytochemicals for the prevention and/or treatment of AD through their ability to fortify cholinergic function and antioxidant defense capacity. In this study, we have investigated the neuroprotective effect of &lt;italic&gt;&amp;#x3b1;&lt;/italic&gt;-pinene (APN) against learning and memory impairment induced by scopolamine (SCO, 1&amp;#x2009;mg/kg, i.p.), a muscarinic receptor antagonist in C57BL/6 mice. Administration of APN (10&amp;#x2009;mg/kg, i.p.) significantly improved SCO-induced cognitive dysfunction as assessed by Y-maze and passive avoidance tests. In Morris water-maze test, APN effectively shortened the mean escape latency to find the hidden platform during training days. To further elucidate the molecular mechanisms underlying the neuroprotective effect of APN, the expression of proteins involved in the acetylcholine metabolism and antioxidant system was examined. Particularly, APN treatment increased mRNA expression of choline acetyltransferase in the cortex and protein levels of antioxidant enzymes such as heme oxygenase-1 and manganese superoxide dismutase in the hippocampus via activation of NF-E2-related factor 2. These findings suggest the possible neuroprotective potentials of APN for the management of dementia with learning and memory loss.","author":[{"dropping-particle":"","family":"Lee","given":"Gil-Yong","non-dropping-particle":"","parse-names":false,"suffix":""},{"dropping-particle":"","family":"Lee","given":"Chan","non-dropping-particle":"","parse-names":false,"suffix":""},{"dropping-particle":"","family":"Park","given":"Gyu Hwan","non-dropping-particle":"","parse-names":false,"suffix":""},{"dropping-particle":"","family":"Jang","given":"Jung-Hee","non-dropping-particle":"","parse-names":false,"suffix":""}],"container-title":"Evidence-Based Complementary and Alternative Medicine","editor":[{"dropping-particle":"","family":"Park","given":"Gunhyuk","non-dropping-particle":"","parse-names":false,"suffix":""}],"id":"ITEM-1","issued":{"date-parts":[["2017"]]},"page":"4926815","publisher":"Hindawi","title":"Amelioration of Scopolamine-Induced Learning and Memory Impairment by &lt;i&gt;α&lt;/i&gt;-Pinene in C57BL/6 Mice","type":"article-journal","volume":"2017"},"uris":["http://www.mendeley.com/documents/?uuid=a5fa3aa0-f213-40cb-8bd8-3e62e082d30c","http://www.mendeley.com/documents/?uuid=4918bf9e-42bd-479d-8bfc-6704da3ba23a"]}],"mendeley":{"formattedCitation":"[12]","plainTextFormattedCitation":"[12]","previouslyFormattedCitation":"[12]"},"properties":{"noteIndex":0},"schema":"https://github.com/citation-style-language/schema/raw/master/csl-citation.json"}</w:instrText>
      </w:r>
      <w:r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[12]</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w:t>
      </w:r>
    </w:p>
    <w:p w:rsidR="00097C68" w:rsidRPr="00BE516E" w:rsidRDefault="00097C68" w:rsidP="00097C68">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Alternation = [(Number of alternations)</w:t>
      </w:r>
      <w:proofErr w:type="gramStart"/>
      <w:r w:rsidRPr="00BE516E">
        <w:rPr>
          <w:rFonts w:ascii="Times New Roman" w:hAnsi="Times New Roman" w:cs="Times New Roman"/>
          <w:sz w:val="20"/>
          <w:szCs w:val="20"/>
        </w:rPr>
        <w:t>/(</w:t>
      </w:r>
      <w:proofErr w:type="gramEnd"/>
      <w:r w:rsidRPr="00BE516E">
        <w:rPr>
          <w:rFonts w:ascii="Times New Roman" w:hAnsi="Times New Roman" w:cs="Times New Roman"/>
          <w:sz w:val="20"/>
          <w:szCs w:val="20"/>
        </w:rPr>
        <w:t>Total number of arm entries  ̶ 2)× 100.</w:t>
      </w:r>
    </w:p>
    <w:p w:rsidR="00097C68" w:rsidRPr="00BE516E" w:rsidRDefault="00097C68" w:rsidP="00097C68">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Elevated plus maze test</w:t>
      </w:r>
    </w:p>
    <w:p w:rsidR="00097C68" w:rsidRPr="00BE516E" w:rsidRDefault="00097C68" w:rsidP="00097C68">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The acquisition of memory was tested on day 20 after colchicine administration with an elevated plus maze </w:t>
      </w:r>
      <w:r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{"citationItems":[{"id":"ITEM-1","itemData":{"DOI":"https://doi.org/10.1016/0278-5846(92)90014-6","ISSN":"0278-5846","abstract":"1. The effect of drugs affecting learning and memory was investigated using transfer latency (TL) as parameter for acquisition and retention of memory process on elevated plus-maze both in rats and mice. Further the validity of the procedure was envisaged. 2. The results provide an evidence for utility of shortened TL on 2nd days trial in old rats and mice as a parameter for retention or consolidation of memory, while treatment of drugs 30 min prior to 1st day may also be utilised for acquisition related action of drugs. 3. The drugs producing acquisition deficits namely scopolamlne (0.1–0.5 mg/kg) and MK 801 (0.05–0.1 mg/kg) did not affect the shortened TL on elevated plus-maze in rats while nootropics, like piracetam (150 mg/kg) and captopril (30 mg/kg) reduced the shortened TL. The memory enhancing effect of these agent was reversed by scopolamine (0.3 mg/kg) and MK 801 (0.1 mg/kg) both in rats and mice. The results suggested the acquisition affecting drugs, however, did not show any effect on retention parameter (shortened TL) but can reverse the retention facilitatory action of nootropics. The results also provide indirect evidence for participation of cholinergic and NMDA-receptor blockade in the mechanism of these drugs. 4. Scopolamine and MK 801 produced acquisition deficits in mice, as they increased the TL on 1st and 2nd day trial while physostigmine (0.05 mg/kg) decreased the 2nd day TL. Physostigmine (0.1 mg/kg) reversed scopolamine and MK 801 induced acquisition deficits suggested participation of cholinergic and NMDA- receptor in learning process. 5. The results validate the utility of the elevated plus-maze for evaluation of possible nootropic action of drugs.","author":[{"dropping-particle":"","family":"Sharma","given":"Avadhesh C","non-dropping-particle":"","parse-names":false,"suffix":""},{"dropping-particle":"","family":"Kulkarni","given":"Shrinivas K","non-dropping-particle":"","parse-names":false,"suffix":""}],"container-title":"Progress in Neuro-Psychopharmacology and Biological Psychiatry","id":"ITEM-1","issue":"1","issued":{"date-parts":[["1992"]]},"page":"117-125","title":"Evaluation of learning and memory mechanisms employing elevated plus-maze in rats and mice","type":"article-journal","volume":"16"},"uris":["http://www.mendeley.com/documents/?uuid=ac0ee9c4-ffbe-4632-b9f8-9651d3d3b115","http://www.mendeley.com/documents/?uuid=9e2d7746-8527-42ce-b325-a192f75b8eaa"]}],"mendeley":{"formattedCitation":"[13]","plainTextFormattedCitation":"[13]","previouslyFormattedCitation":"[13]"},"properties":{"noteIndex":0},"schema":"https://github.com/citation-style-language/schema/raw/master/csl-citation.json"}</w:instrText>
      </w:r>
      <w:r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[13]</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 xml:space="preserve">. The maze used in the study was consisted of two opposite 50 cm </w:t>
      </w:r>
      <w:r w:rsidRPr="00BE516E">
        <w:rPr>
          <w:rFonts w:ascii="Arial" w:hAnsi="Arial" w:cs="Arial"/>
          <w:sz w:val="20"/>
          <w:szCs w:val="20"/>
        </w:rPr>
        <w:t>×</w:t>
      </w:r>
      <w:r w:rsidRPr="00BE516E">
        <w:rPr>
          <w:rFonts w:ascii="Times New Roman" w:hAnsi="Times New Roman" w:cs="Times New Roman"/>
          <w:sz w:val="20"/>
          <w:szCs w:val="20"/>
        </w:rPr>
        <w:t xml:space="preserve"> 10 cm black open arms crossed with two closed walls of the same dimensions and 40 cm height. The arms were connected with a 10 cm </w:t>
      </w:r>
      <w:r w:rsidRPr="00BE516E">
        <w:rPr>
          <w:rFonts w:ascii="Arial" w:hAnsi="Arial" w:cs="Arial"/>
          <w:sz w:val="20"/>
          <w:szCs w:val="20"/>
        </w:rPr>
        <w:t>×</w:t>
      </w:r>
      <w:r w:rsidRPr="00BE516E">
        <w:rPr>
          <w:rFonts w:ascii="Times New Roman" w:hAnsi="Times New Roman" w:cs="Times New Roman"/>
          <w:sz w:val="20"/>
          <w:szCs w:val="20"/>
        </w:rPr>
        <w:t xml:space="preserve"> 10 cm central square, and the entire maze was elevated to a height of 50 cm from the floor. The animal was placed individually at one end of the open arm facing away from the central square, and the time taken by the animal to move from the open arm to the closed one was recorded as the initial transfer latency (ITL). Before returning to the home cage and following the measurement of ITL, the animal was allowed to explore the maze for 20 s. On failure to enter the enclosed arm within 90 s, the animal was guided on the back into one of the enclosed arms, and the ITL was recorded as 90 s. Retention of memory was assessed by repeating the test on day 21 and day 28 and was termed as the first retention transfer latency (1</w:t>
      </w:r>
      <w:r w:rsidRPr="00BE516E">
        <w:rPr>
          <w:rFonts w:ascii="Times New Roman" w:hAnsi="Times New Roman" w:cs="Times New Roman"/>
          <w:sz w:val="20"/>
          <w:szCs w:val="20"/>
          <w:vertAlign w:val="superscript"/>
        </w:rPr>
        <w:t>st</w:t>
      </w:r>
      <w:r w:rsidRPr="00BE516E">
        <w:rPr>
          <w:rFonts w:ascii="Times New Roman" w:hAnsi="Times New Roman" w:cs="Times New Roman"/>
          <w:sz w:val="20"/>
          <w:szCs w:val="20"/>
        </w:rPr>
        <w:t xml:space="preserve"> RTL) and second retention transfer latency (2</w:t>
      </w:r>
      <w:r w:rsidRPr="00BE516E">
        <w:rPr>
          <w:rFonts w:ascii="Times New Roman" w:hAnsi="Times New Roman" w:cs="Times New Roman"/>
          <w:sz w:val="20"/>
          <w:szCs w:val="20"/>
          <w:vertAlign w:val="superscript"/>
        </w:rPr>
        <w:t>nd</w:t>
      </w:r>
      <w:r w:rsidRPr="00BE516E">
        <w:rPr>
          <w:rFonts w:ascii="Times New Roman" w:hAnsi="Times New Roman" w:cs="Times New Roman"/>
          <w:sz w:val="20"/>
          <w:szCs w:val="20"/>
        </w:rPr>
        <w:t xml:space="preserve"> RTL), respectively. </w:t>
      </w:r>
    </w:p>
    <w:p w:rsidR="00097C68" w:rsidRPr="00BE516E" w:rsidRDefault="00097C68" w:rsidP="00097C68">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Step-down latency passive avoidance test</w:t>
      </w:r>
    </w:p>
    <w:p w:rsidR="00097C68" w:rsidRPr="00BE516E" w:rsidRDefault="00097C68" w:rsidP="00097C68">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On day 19, after ICV injection, rats were placed on a fixed central platform of a rectangular Plexiglas box with an electrified grid floor where they received an electric shock of 20 V on stepping down the platform </w:t>
      </w:r>
      <w:r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{"citationItems":[{"id":"ITEM-1","itemData":{"DOI":"10.1016/S1734-1140(12)70785-5","ISSN":"2299-5684","abstract":"Resveratrol (3,4’,5-trihydroxystilbene) is a naturally occurring compound found in grapes, wine, peanuts and cranberries. Recently, in vitro and cell culture studies have reported beneficial effects of resveratrol in the neurodegenerative process in Alzheimer’s disease (AD). However, in vivo effect of resveratrol in models of learning and memory is not yet evaluated. The present study was performed to examine the effect of resveratrol on cognitive impairment induced by scopolamine, a muscarinic antagonist, in mice.","author":[{"dropping-particle":"","family":"Gupta","given":"Rachna","non-dropping-particle":"","parse-names":false,"suffix":""},{"dropping-particle":"","family":"Gupta","given":"Lalit K","non-dropping-particle":"","parse-names":false,"suffix":""},{"dropping-particle":"","family":"Mediratta","given":"Pramod K","non-dropping-particle":"","parse-names":false,"suffix":""},{"dropping-particle":"","family":"Bhattacharya","given":"Swapan K","non-dropping-particle":"","parse-names":false,"suffix":""}],"container-title":"Pharmacological Reports","id":"ITEM-1","issue":"2","issued":{"date-parts":[["2012"]]},"page":"438-444","title":"Effect of resveratrol on scopolamine-induced cognitive impairment in mice","type":"article-journal","volume":"64"},"uris":["http://www.mendeley.com/documents/?uuid=03cf21c7-d42a-4b0b-959f-0f7b5c82ad16"]}],"mendeley":{"formattedCitation":"[14]","plainTextFormattedCitation":"[14]","previouslyFormattedCitation":"[14]"},"properties":{"noteIndex":0},"schema":"https://github.com/citation-style-language/schema/raw/master/csl-citation.json"}</w:instrText>
      </w:r>
      <w:r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[14]</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 xml:space="preserve">. After 3 consecutive training with a 1 h interval each, the acquisition step-down latency (SDL) was recorded at the final training session without giving a shock. The experiment was repeated on the next day (day 20), and day 27 without giving shock and the respective times taken for the rat to step down were measured and defined as the first and second retention latency. The SDL was taken as 5 min where the animal did not step down in this cut-off period. </w:t>
      </w:r>
    </w:p>
    <w:p w:rsidR="00097C68" w:rsidRPr="00BE516E" w:rsidRDefault="00097C68" w:rsidP="00097C68">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lastRenderedPageBreak/>
        <w:t>Morris water maze test</w:t>
      </w:r>
    </w:p>
    <w:p w:rsidR="00097C68" w:rsidRPr="00BE516E" w:rsidRDefault="00097C68" w:rsidP="00097C68">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For testing the acquisition and retention of a spatial navigation capability of the experimental animals, the Morris water maze task was performed following a modified protocol by Zhang </w:t>
      </w:r>
      <w:r w:rsidRPr="00BE516E">
        <w:rPr>
          <w:rFonts w:ascii="Times New Roman" w:hAnsi="Times New Roman" w:cs="Times New Roman"/>
          <w:i/>
          <w:sz w:val="20"/>
          <w:szCs w:val="20"/>
        </w:rPr>
        <w:t xml:space="preserve">et al. </w:t>
      </w:r>
      <w:r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{"citationItems":[{"id":"ITEM-1","itemData":{"abstract":"An emerging body of data suggests that the early onset of Alzheimer’s disease (AD) is associated with decreased brain-derived neurotrophic factor (BDNF). Because BDNF plays a critical role in the regulation of high-frequency synaptic transmission and long-term potentiation in the hippocampus, the up-regulation of BDNF may rescue cognitive impairments and learning deficits in AD. In the present study, we investigated the effects of hippocampal BDNF in a rat model of AD produced by a ventricle injection of amyloid-β1-42 (Aβ1-42). We found that a ventricle injection of Aβ1-42 caused learning deficits in rats subjected to the Morris water maze and decreased BDNF expression in the hippocampus. Chronic intra-hippocampal BDNF administration rescued learning deficits in the water maze, whereas infusions of NGF and NT-3 did not influence the behavioral performance of rats injected with Aβ1-42. Furthermore, the BDNF-related improvement in learning was ERK-dependent because the inhibition of ERK, but not JNK or p38, blocked the effects of BDNF on cognitive improvement in rats injected with Aβ1-42. Together, our data suggest that the up-regulation of BDNF in the hippocampus via activation of the ERK signaling pathway can ameliorate Aβ1-42-induced learning deficits, thus identifying a novel pathway through which BDNF protects against AD-related cognitive impairments. The results of this research may shed light on a feasible therapeutic approach to control the progression of AD.","author":[{"dropping-particle":"","family":"Zhang","given":"Lu","non-dropping-particle":"","parse-names":false,"suffix":""},{"dropping-particle":"","family":"Fang","given":"Yu","non-dropping-particle":"","parse-names":false,"suffix":""},{"dropping-particle":"","family":"Lian","given":"Yajun","non-dropping-particle":"","parse-names":false,"suffix":""},{"dropping-particle":"","family":"Chen","given":"Yuan","non-dropping-particle":"","parse-names":false,"suffix":""},{"dropping-particle":"","family":"Wu","given":"Tianwen","non-dropping-particle":"","parse-names":false,"suffix":""},{"dropping-particle":"","family":"Zheng","given":"Yake","non-dropping-particle":"","parse-names":false,"suffix":""},{"dropping-particle":"","family":"Zong","given":"Huili","non-dropping-particle":"","parse-names":false,"suffix":""},{"dropping-particle":"","family":"Sun","given":"Limin","non-dropping-particle":"","parse-names":false,"suffix":""},{"dropping-particle":"","family":"Zhang","given":"Ruifang","non-dropping-particle":"","parse-names":false,"suffix":""},{"dropping-particle":"","family":"Wang","given":"Zhenhua","non-dropping-particle":"","parse-names":false,"suffix":""},{"dropping-particle":"","family":"Xu","given":"Yuming","non-dropping-particle":"","parse-names":false,"suffix":""}],"container-title":"PLOS ONE","id":"ITEM-1","issue":"4","issued":{"date-parts":[["2015","4","7"]]},"page":"e0122415","publisher":"Public Library of Science","title":"Brain-Derived Neurotrophic Factor Ameliorates Learning Deficits in a Rat Model of Alzheimer's Disease Induced by Aβ1-42","type":"article-journal","volume":"10"},"uris":["http://www.mendeley.com/documents/?uuid=6e2e16a0-33d5-4e33-9a0d-5cc09f8b4ae6"]}],"mendeley":{"formattedCitation":"[15]","plainTextFormattedCitation":"[15]","previouslyFormattedCitation":"[15]"},"properties":{"noteIndex":0},"schema":"https://github.com/citation-style-language/schema/raw/master/csl-citation.json"}</w:instrText>
      </w:r>
      <w:r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[15]</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 Rats were trained to swim to reach a 6 × 6 inch movable platform mounted on a column and placed 1 inch above the water level in a circular pool of dimensions 2 feet diameter × 3.5 feet height, filled with milk-mixed opaque water (28 ± 2 ºC) to a depth of 1.5 feet. The animals received a 4 trials-training session with a trial interval of 6-10 min on day 20, where the starting positions were different for every trial. The latency to find the escape platform was recorded up to a threshold of 3 min on the defeat of which the animal was placed back to the platform where it remained for 15 s. At the end of each trial, the rat was returned to its home cage. During the experiment, the platform was fixed in the center of the pool, and the minimum time taken by a rat to reach the platform was recorded as the initial acquisition latency (IAL). Following 24 h (day 21) and 7 days (day 28) after IAL, a rat was randomly released facing the wall of the pool and tested for the retention of the response. The time taken to reach the hidden platform on day 21 and day 28 following colchicine injection was noted as first retention latency (1</w:t>
      </w:r>
      <w:r w:rsidRPr="00BE516E">
        <w:rPr>
          <w:rFonts w:ascii="Times New Roman" w:hAnsi="Times New Roman" w:cs="Times New Roman"/>
          <w:sz w:val="20"/>
          <w:szCs w:val="20"/>
          <w:vertAlign w:val="superscript"/>
        </w:rPr>
        <w:t>st</w:t>
      </w:r>
      <w:r w:rsidRPr="00BE516E">
        <w:rPr>
          <w:rFonts w:ascii="Times New Roman" w:hAnsi="Times New Roman" w:cs="Times New Roman"/>
          <w:sz w:val="20"/>
          <w:szCs w:val="20"/>
        </w:rPr>
        <w:t xml:space="preserve"> RL) and second retention latency (2</w:t>
      </w:r>
      <w:r w:rsidRPr="00BE516E">
        <w:rPr>
          <w:rFonts w:ascii="Times New Roman" w:hAnsi="Times New Roman" w:cs="Times New Roman"/>
          <w:sz w:val="20"/>
          <w:szCs w:val="20"/>
          <w:vertAlign w:val="superscript"/>
        </w:rPr>
        <w:t>nd</w:t>
      </w:r>
      <w:r w:rsidRPr="00BE516E">
        <w:rPr>
          <w:rFonts w:ascii="Times New Roman" w:hAnsi="Times New Roman" w:cs="Times New Roman"/>
          <w:sz w:val="20"/>
          <w:szCs w:val="20"/>
        </w:rPr>
        <w:t xml:space="preserve"> RL).</w:t>
      </w:r>
    </w:p>
    <w:p w:rsidR="00097C68" w:rsidRPr="00BE516E" w:rsidRDefault="00097C68" w:rsidP="00097C68">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Biochemical tests</w:t>
      </w:r>
    </w:p>
    <w:p w:rsidR="00304C56" w:rsidRPr="00BE516E" w:rsidRDefault="00304C56" w:rsidP="00097C68">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After completing the study, on day 29, succeeding the colchicine injection, all animals were sacrificed by </w:t>
      </w:r>
      <w:r w:rsidR="003E6444">
        <w:rPr>
          <w:rFonts w:ascii="Times New Roman" w:hAnsi="Times New Roman" w:cs="Times New Roman"/>
          <w:sz w:val="20"/>
          <w:szCs w:val="20"/>
        </w:rPr>
        <w:t>decapitation</w:t>
      </w:r>
      <w:bookmarkStart w:id="0" w:name="_GoBack"/>
      <w:bookmarkEnd w:id="0"/>
      <w:r w:rsidRPr="00BE516E">
        <w:rPr>
          <w:rFonts w:ascii="Times New Roman" w:hAnsi="Times New Roman" w:cs="Times New Roman"/>
          <w:sz w:val="20"/>
          <w:szCs w:val="20"/>
        </w:rPr>
        <w:t xml:space="preserve">. The cerebral cortex and hippocampus were dissected out, and the cerebellum was discarded following the immediate removal of the brain from the skull. The brain parts were put on ice and then rinsed with ice-cold isotonic saline. A brain homogenate (10% w/v) in 0.1 M phosphate buffer (pH 7.4) was centrifuged at 10,000 g for 15 min and aliquots of the supernatant were separated for the biochemical estimations as well as for profiling the neurotransmitters. </w:t>
      </w:r>
    </w:p>
    <w:p w:rsidR="00097C68" w:rsidRPr="00BE516E" w:rsidRDefault="00097C68" w:rsidP="00097C68">
      <w:pPr>
        <w:spacing w:before="100" w:beforeAutospacing="1" w:after="100" w:afterAutospacing="1" w:line="360" w:lineRule="auto"/>
        <w:jc w:val="both"/>
        <w:rPr>
          <w:rFonts w:ascii="Times New Roman" w:hAnsi="Times New Roman" w:cs="Times New Roman"/>
          <w:b/>
          <w:sz w:val="20"/>
          <w:szCs w:val="20"/>
        </w:rPr>
      </w:pPr>
      <w:proofErr w:type="spellStart"/>
      <w:r w:rsidRPr="00BE516E">
        <w:rPr>
          <w:rFonts w:ascii="Times New Roman" w:hAnsi="Times New Roman" w:cs="Times New Roman"/>
          <w:b/>
          <w:sz w:val="20"/>
          <w:szCs w:val="20"/>
        </w:rPr>
        <w:t>Acetylcholinesterase</w:t>
      </w:r>
      <w:proofErr w:type="spellEnd"/>
      <w:r w:rsidRPr="00BE516E">
        <w:rPr>
          <w:rFonts w:ascii="Times New Roman" w:hAnsi="Times New Roman" w:cs="Times New Roman"/>
          <w:b/>
          <w:sz w:val="20"/>
          <w:szCs w:val="20"/>
        </w:rPr>
        <w:t xml:space="preserve"> (</w:t>
      </w:r>
      <w:proofErr w:type="spellStart"/>
      <w:r w:rsidRPr="00BE516E">
        <w:rPr>
          <w:rFonts w:ascii="Times New Roman" w:hAnsi="Times New Roman" w:cs="Times New Roman"/>
          <w:b/>
          <w:sz w:val="20"/>
          <w:szCs w:val="20"/>
        </w:rPr>
        <w:t>AchE</w:t>
      </w:r>
      <w:proofErr w:type="spellEnd"/>
      <w:r w:rsidRPr="00BE516E">
        <w:rPr>
          <w:rFonts w:ascii="Times New Roman" w:hAnsi="Times New Roman" w:cs="Times New Roman"/>
          <w:b/>
          <w:sz w:val="20"/>
          <w:szCs w:val="20"/>
        </w:rPr>
        <w:t>) activity</w:t>
      </w:r>
    </w:p>
    <w:p w:rsidR="00097C68" w:rsidRPr="00BE516E" w:rsidRDefault="00097C68" w:rsidP="00097C68">
      <w:pPr>
        <w:spacing w:before="100" w:beforeAutospacing="1" w:after="100" w:afterAutospacing="1" w:line="360" w:lineRule="auto"/>
        <w:jc w:val="both"/>
        <w:rPr>
          <w:rFonts w:ascii="Times New Roman" w:hAnsi="Times New Roman" w:cs="Times New Roman"/>
          <w:sz w:val="20"/>
          <w:szCs w:val="20"/>
        </w:rPr>
      </w:pPr>
      <w:proofErr w:type="spellStart"/>
      <w:r w:rsidRPr="00BE516E">
        <w:rPr>
          <w:rFonts w:ascii="Times New Roman" w:hAnsi="Times New Roman" w:cs="Times New Roman"/>
          <w:sz w:val="20"/>
          <w:szCs w:val="20"/>
        </w:rPr>
        <w:t>Acetylcholinesterase</w:t>
      </w:r>
      <w:proofErr w:type="spellEnd"/>
      <w:r w:rsidRPr="00BE516E">
        <w:rPr>
          <w:rFonts w:ascii="Times New Roman" w:hAnsi="Times New Roman" w:cs="Times New Roman"/>
          <w:sz w:val="20"/>
          <w:szCs w:val="20"/>
        </w:rPr>
        <w:t xml:space="preserve"> (E.C 3.1.1.7) activity was assessed by </w:t>
      </w:r>
      <w:proofErr w:type="spellStart"/>
      <w:r w:rsidRPr="00BE516E">
        <w:rPr>
          <w:rFonts w:ascii="Times New Roman" w:hAnsi="Times New Roman" w:cs="Times New Roman"/>
          <w:sz w:val="20"/>
          <w:szCs w:val="20"/>
        </w:rPr>
        <w:t>Ellman’s</w:t>
      </w:r>
      <w:proofErr w:type="spellEnd"/>
      <w:r w:rsidRPr="00BE516E">
        <w:rPr>
          <w:rFonts w:ascii="Times New Roman" w:hAnsi="Times New Roman" w:cs="Times New Roman"/>
          <w:sz w:val="20"/>
          <w:szCs w:val="20"/>
        </w:rPr>
        <w:t xml:space="preserve"> method following a standard protocol </w:t>
      </w:r>
      <w:r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{"citationItems":[{"id":"ITEM-1","itemData":{"DOI":"https://doi.org/10.1016/0006-2952(61)90145-9","ISSN":"0006-2952","abstract":"A photometric method for determining acetylcholinesterase activity of tissue extracts, homogenates, cell suspensions, etc., has been described. The enzyme activity is measured by following the increase of yellow color produced from thiocholine when it reacts with dithiobisnitrobenzoate ion. It is based on coupling of these reactions: The latter reaction is rapid and the assay is sensitive (i.e. a 10 μ1 sample of blood is adequate). The use of a recorder has been most helpful, but is not essential. The method has been used to study the enzyme in human erythrocytes and homogenates of rat brain, kidney, lungs, liver and muscle tissue. Kinetic constants determined by this system for erythrocyte eholinesterase are presented. The data obtained with acetylthiocholine as substrate are similar to those with acetylcholine.","author":[{"dropping-particle":"","family":"Ellman","given":"George L","non-dropping-particle":"","parse-names":false,"suffix":""},{"dropping-particle":"","family":"Courtney","given":"K.Diane","non-dropping-particle":"","parse-names":false,"suffix":""},{"dropping-particle":"","family":"Andres","given":"Valentino","non-dropping-particle":"","parse-names":false,"suffix":""},{"dropping-particle":"","family":"Featherstone","given":"Robert M","non-dropping-particle":"","parse-names":false,"suffix":""}],"container-title":"Biochemical Pharmacology","id":"ITEM-1","issue":"2","issued":{"date-parts":[["1961"]]},"page":"88-95","title":"A new and rapid colorimetric determination of acetylcholinesterase activity","type":"article-journal","volume":"7"},"uris":["http://www.mendeley.com/documents/?uuid=d3b6a05a-11e4-45b7-a83e-8fec128e682d"]}],"mendeley":{"formattedCitation":"[16]","plainTextFormattedCitation":"[16]","previouslyFormattedCitation":"[16]"},"properties":{"noteIndex":0},"schema":"https://github.com/citation-style-language/schema/raw/master/csl-citation.json"}</w:instrText>
      </w:r>
      <w:r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[16]</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 xml:space="preserve">. Briefly, 0.1 ml aliquot of the brain homogenate was further diluted with 2.4 ml phosphate buffer (0.1 M, pH 8.0) and mixed thoroughly with 0.1 ml of 0.01 M DTNB. The absorbance spectrum was measured at 412 nm, and the stable peak was recorded as the basal reading. Then, 0.02 ml of 0.075 M acetylcholine iodide was added, and a change in absorbance was recorded with respect to the basal value. Change in absorbance per min was thus determined, and the results were expressed as </w:t>
      </w:r>
      <w:proofErr w:type="spellStart"/>
      <w:r w:rsidRPr="00BE516E">
        <w:rPr>
          <w:rFonts w:ascii="Times New Roman" w:hAnsi="Times New Roman" w:cs="Times New Roman"/>
          <w:sz w:val="20"/>
          <w:szCs w:val="20"/>
        </w:rPr>
        <w:t>AChE</w:t>
      </w:r>
      <w:proofErr w:type="spellEnd"/>
      <w:r w:rsidRPr="00BE516E">
        <w:rPr>
          <w:rFonts w:ascii="Times New Roman" w:hAnsi="Times New Roman" w:cs="Times New Roman"/>
          <w:sz w:val="20"/>
          <w:szCs w:val="20"/>
        </w:rPr>
        <w:t xml:space="preserve"> in µM/mg protein.</w:t>
      </w:r>
    </w:p>
    <w:p w:rsidR="00097C68" w:rsidRPr="00BE516E" w:rsidRDefault="00097C68" w:rsidP="00097C68">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Lipid peroxidation profiling</w:t>
      </w:r>
    </w:p>
    <w:p w:rsidR="00097C68" w:rsidRPr="00BE516E" w:rsidRDefault="00097C68" w:rsidP="00097C68">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The degree of lipid peroxidation in the brain tissue samples was determined by measuring the amount of </w:t>
      </w:r>
      <w:proofErr w:type="spellStart"/>
      <w:r w:rsidRPr="00BE516E">
        <w:rPr>
          <w:rFonts w:ascii="Times New Roman" w:hAnsi="Times New Roman" w:cs="Times New Roman"/>
          <w:sz w:val="20"/>
          <w:szCs w:val="20"/>
        </w:rPr>
        <w:t>malondialdehyde</w:t>
      </w:r>
      <w:proofErr w:type="spellEnd"/>
      <w:r w:rsidRPr="00BE516E">
        <w:rPr>
          <w:rFonts w:ascii="Times New Roman" w:hAnsi="Times New Roman" w:cs="Times New Roman"/>
          <w:sz w:val="20"/>
          <w:szCs w:val="20"/>
        </w:rPr>
        <w:t xml:space="preserve"> (MDA) following </w:t>
      </w:r>
      <w:proofErr w:type="spellStart"/>
      <w:r w:rsidRPr="00BE516E">
        <w:rPr>
          <w:rFonts w:ascii="Times New Roman" w:hAnsi="Times New Roman" w:cs="Times New Roman"/>
          <w:sz w:val="20"/>
          <w:szCs w:val="20"/>
        </w:rPr>
        <w:t>Buege</w:t>
      </w:r>
      <w:proofErr w:type="spellEnd"/>
      <w:r w:rsidRPr="00BE516E">
        <w:rPr>
          <w:rFonts w:ascii="Times New Roman" w:hAnsi="Times New Roman" w:cs="Times New Roman"/>
          <w:sz w:val="20"/>
          <w:szCs w:val="20"/>
        </w:rPr>
        <w:t xml:space="preserve"> and </w:t>
      </w:r>
      <w:proofErr w:type="spellStart"/>
      <w:r w:rsidRPr="00BE516E">
        <w:rPr>
          <w:rFonts w:ascii="Times New Roman" w:hAnsi="Times New Roman" w:cs="Times New Roman"/>
          <w:sz w:val="20"/>
          <w:szCs w:val="20"/>
        </w:rPr>
        <w:t>Aust</w:t>
      </w:r>
      <w:proofErr w:type="spellEnd"/>
      <w:r w:rsidRPr="00BE516E">
        <w:rPr>
          <w:rFonts w:ascii="Times New Roman" w:hAnsi="Times New Roman" w:cs="Times New Roman"/>
          <w:sz w:val="20"/>
          <w:szCs w:val="20"/>
        </w:rPr>
        <w:t xml:space="preserve"> </w:t>
      </w:r>
      <w:r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{"citationItems":[{"id":"ITEM-1","itemData":{"DOI":"10.1016/s0076-6879(78)52032-6","ISSN":"0076-6879 (Print)","PMID":"672633","author":[{"dropping-particle":"","family":"Buege","given":"J A","non-dropping-particle":"","parse-names":false,"suffix":""},{"dropping-particle":"","family":"Aust","given":"S D","non-dropping-particle":"","parse-names":false,"suffix":""}],"container-title":"Methods in enzymology","id":"ITEM-1","issued":{"date-parts":[["1978"]]},"language":"eng","page":"302-310","publisher-place":"United States","title":"Microsomal lipid peroxidation.","type":"article-journal","volume":"52"},"uris":["http://www.mendeley.com/documents/?uuid=fbf30100-8fe8-46d7-a351-b5869508f863"]}],"mendeley":{"formattedCitation":"[17]","plainTextFormattedCitation":"[17]","previouslyFormattedCitation":"[17]"},"properties":{"noteIndex":0},"schema":"https://github.com/citation-style-language/schema/raw/master/csl-citation.json"}</w:instrText>
      </w:r>
      <w:r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[17]</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 xml:space="preserve">. In brief, 0.9 ml of </w:t>
      </w:r>
      <w:proofErr w:type="spellStart"/>
      <w:r w:rsidRPr="00BE516E">
        <w:rPr>
          <w:rFonts w:ascii="Times New Roman" w:hAnsi="Times New Roman" w:cs="Times New Roman"/>
          <w:sz w:val="20"/>
          <w:szCs w:val="20"/>
        </w:rPr>
        <w:t>thiobarbituric</w:t>
      </w:r>
      <w:proofErr w:type="spellEnd"/>
      <w:r w:rsidRPr="00BE516E">
        <w:rPr>
          <w:rFonts w:ascii="Times New Roman" w:hAnsi="Times New Roman" w:cs="Times New Roman"/>
          <w:sz w:val="20"/>
          <w:szCs w:val="20"/>
        </w:rPr>
        <w:t xml:space="preserve"> acid (TBARS, 0.375%) solution was added to 0.1 ml of tissue homogenate and heated at 90 °C for 30 min. The reaction mixture was cooled and centrifuged at 5,000 rpm for 10 min. The optical density of MDA present in the supernatant was measured </w:t>
      </w:r>
      <w:proofErr w:type="spellStart"/>
      <w:r w:rsidRPr="00BE516E">
        <w:rPr>
          <w:rFonts w:ascii="Times New Roman" w:hAnsi="Times New Roman" w:cs="Times New Roman"/>
          <w:sz w:val="20"/>
          <w:szCs w:val="20"/>
        </w:rPr>
        <w:lastRenderedPageBreak/>
        <w:t>spectrophotometrically</w:t>
      </w:r>
      <w:proofErr w:type="spellEnd"/>
      <w:r w:rsidRPr="00BE516E">
        <w:rPr>
          <w:rFonts w:ascii="Times New Roman" w:hAnsi="Times New Roman" w:cs="Times New Roman"/>
          <w:sz w:val="20"/>
          <w:szCs w:val="20"/>
        </w:rPr>
        <w:t xml:space="preserve"> at 532 nm. The concentration of MDA in respect to the total protein present in tissue (µg MDA/mg protein) was determined with the aid of a standard curve.</w:t>
      </w:r>
    </w:p>
    <w:p w:rsidR="00097C68" w:rsidRPr="00BE516E" w:rsidRDefault="00097C68" w:rsidP="00097C68">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Reduced glutathione (GSH) measurement</w:t>
      </w:r>
    </w:p>
    <w:p w:rsidR="00097C68" w:rsidRPr="00BE516E" w:rsidRDefault="00097C68" w:rsidP="00097C68">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Following </w:t>
      </w:r>
      <w:proofErr w:type="spellStart"/>
      <w:r w:rsidRPr="00BE516E">
        <w:rPr>
          <w:rFonts w:ascii="Times New Roman" w:hAnsi="Times New Roman" w:cs="Times New Roman"/>
          <w:sz w:val="20"/>
          <w:szCs w:val="20"/>
        </w:rPr>
        <w:t>Ellman’s</w:t>
      </w:r>
      <w:proofErr w:type="spellEnd"/>
      <w:r w:rsidRPr="00BE516E">
        <w:rPr>
          <w:rFonts w:ascii="Times New Roman" w:hAnsi="Times New Roman" w:cs="Times New Roman"/>
          <w:sz w:val="20"/>
          <w:szCs w:val="20"/>
        </w:rPr>
        <w:t xml:space="preserve"> standard protocol, the concentration of reduced glutathione in brain tissue homogenate was determined </w:t>
      </w:r>
      <w:proofErr w:type="spellStart"/>
      <w:r w:rsidRPr="00BE516E">
        <w:rPr>
          <w:rFonts w:ascii="Times New Roman" w:hAnsi="Times New Roman" w:cs="Times New Roman"/>
          <w:sz w:val="20"/>
          <w:szCs w:val="20"/>
        </w:rPr>
        <w:t>spectrophotometrically</w:t>
      </w:r>
      <w:proofErr w:type="spellEnd"/>
      <w:r w:rsidRPr="00BE516E">
        <w:rPr>
          <w:rFonts w:ascii="Times New Roman" w:hAnsi="Times New Roman" w:cs="Times New Roman"/>
          <w:sz w:val="20"/>
          <w:szCs w:val="20"/>
        </w:rPr>
        <w:t xml:space="preserve"> </w:t>
      </w:r>
      <w:r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{"citationItems":[{"id":"ITEM-1","itemData":{"DOI":"10.1016/0003-9861(59)90090-6","ISSN":"0003-9861 (Print)","PMID":"13650640","author":[{"dropping-particle":"","family":"Ellman","given":"G L","non-dropping-particle":"","parse-names":false,"suffix":""}],"container-title":"Archives of biochemistry and biophysics","id":"ITEM-1","issue":"1","issued":{"date-parts":[["1959","5"]]},"language":"eng","page":"70-77","publisher-place":"United States","title":"Tissue sulfhydryl groups.","type":"article-journal","volume":"82"},"uris":["http://www.mendeley.com/documents/?uuid=a446b1d0-7cdd-4acd-a3bc-d790e7e2a4e5"]}],"mendeley":{"formattedCitation":"[18]","plainTextFormattedCitation":"[18]","previouslyFormattedCitation":"[18]"},"properties":{"noteIndex":0},"schema":"https://github.com/citation-style-language/schema/raw/master/csl-citation.json"}</w:instrText>
      </w:r>
      <w:r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[18]</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 xml:space="preserve">. Briefly, 0.1 ml of the tissue homogenate was chelated with 0.6 ml of 20 </w:t>
      </w:r>
      <w:proofErr w:type="spellStart"/>
      <w:r w:rsidRPr="00BE516E">
        <w:rPr>
          <w:rFonts w:ascii="Times New Roman" w:hAnsi="Times New Roman" w:cs="Times New Roman"/>
          <w:sz w:val="20"/>
          <w:szCs w:val="20"/>
        </w:rPr>
        <w:t>mM</w:t>
      </w:r>
      <w:proofErr w:type="spellEnd"/>
      <w:r w:rsidRPr="00BE516E">
        <w:rPr>
          <w:rFonts w:ascii="Times New Roman" w:hAnsi="Times New Roman" w:cs="Times New Roman"/>
          <w:sz w:val="20"/>
          <w:szCs w:val="20"/>
        </w:rPr>
        <w:t xml:space="preserve"> EDTA solution and incubated at 4 ºC for 10 min. After that, 0.5 ml of distilled water and 0.25 ml of 10% TCA were mixed with the solution and subjected to centrifugation at 5,000 rpm following incubation for 5 min at room temperature. To 1 ml of this supernatant, 2 ml of 0.4 M </w:t>
      </w:r>
      <w:proofErr w:type="spellStart"/>
      <w:r w:rsidRPr="00BE516E">
        <w:rPr>
          <w:rFonts w:ascii="Times New Roman" w:hAnsi="Times New Roman" w:cs="Times New Roman"/>
          <w:sz w:val="20"/>
          <w:szCs w:val="20"/>
        </w:rPr>
        <w:t>Tris</w:t>
      </w:r>
      <w:proofErr w:type="spellEnd"/>
      <w:r w:rsidRPr="00BE516E">
        <w:rPr>
          <w:rFonts w:ascii="Times New Roman" w:hAnsi="Times New Roman" w:cs="Times New Roman"/>
          <w:sz w:val="20"/>
          <w:szCs w:val="20"/>
        </w:rPr>
        <w:t xml:space="preserve"> buffer and 0.1 ml of 0.1 M 5,5´-dithio-bis-(2-nitrobenzoic acid) (DTNB) was added and incubated for 3 min at room temperature prior to the measurement of optical density at 412 nm wavelength. The concentration was determined by plotting a standard curve against reduced GSH and expressed as </w:t>
      </w:r>
      <w:proofErr w:type="spellStart"/>
      <w:r w:rsidRPr="00BE516E">
        <w:rPr>
          <w:rFonts w:ascii="Times New Roman" w:hAnsi="Times New Roman" w:cs="Times New Roman"/>
          <w:sz w:val="20"/>
          <w:szCs w:val="20"/>
        </w:rPr>
        <w:t>mM</w:t>
      </w:r>
      <w:proofErr w:type="spellEnd"/>
      <w:r w:rsidRPr="00BE516E">
        <w:rPr>
          <w:rFonts w:ascii="Times New Roman" w:hAnsi="Times New Roman" w:cs="Times New Roman"/>
          <w:sz w:val="20"/>
          <w:szCs w:val="20"/>
        </w:rPr>
        <w:t xml:space="preserve"> of GSH/mg of protein.</w:t>
      </w:r>
    </w:p>
    <w:p w:rsidR="00097C68" w:rsidRPr="00BE516E" w:rsidRDefault="00097C68" w:rsidP="00097C68">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Superoxide dismutase (SOD) activity</w:t>
      </w:r>
    </w:p>
    <w:p w:rsidR="00097C68" w:rsidRPr="00BE516E" w:rsidRDefault="00097C68" w:rsidP="00097C68">
      <w:pPr>
        <w:spacing w:before="100" w:beforeAutospacing="1" w:after="100" w:afterAutospacing="1" w:line="360" w:lineRule="auto"/>
        <w:jc w:val="both"/>
        <w:rPr>
          <w:rFonts w:ascii="Times New Roman" w:hAnsi="Times New Roman" w:cs="Times New Roman"/>
          <w:sz w:val="20"/>
          <w:szCs w:val="20"/>
        </w:rPr>
      </w:pPr>
      <w:proofErr w:type="spellStart"/>
      <w:r w:rsidRPr="00BE516E">
        <w:rPr>
          <w:rFonts w:ascii="Times New Roman" w:hAnsi="Times New Roman" w:cs="Times New Roman"/>
          <w:sz w:val="20"/>
          <w:szCs w:val="20"/>
        </w:rPr>
        <w:t>Phenazinemethosulphate</w:t>
      </w:r>
      <w:proofErr w:type="spellEnd"/>
      <w:r w:rsidRPr="00BE516E">
        <w:rPr>
          <w:rFonts w:ascii="Times New Roman" w:hAnsi="Times New Roman" w:cs="Times New Roman"/>
          <w:sz w:val="20"/>
          <w:szCs w:val="20"/>
        </w:rPr>
        <w:t xml:space="preserve"> (PMS) and </w:t>
      </w:r>
      <w:proofErr w:type="spellStart"/>
      <w:r w:rsidRPr="00BE516E">
        <w:rPr>
          <w:rFonts w:ascii="Times New Roman" w:hAnsi="Times New Roman" w:cs="Times New Roman"/>
          <w:sz w:val="20"/>
          <w:szCs w:val="20"/>
        </w:rPr>
        <w:t>nicotinamide</w:t>
      </w:r>
      <w:proofErr w:type="spellEnd"/>
      <w:r w:rsidRPr="00BE516E">
        <w:rPr>
          <w:rFonts w:ascii="Times New Roman" w:hAnsi="Times New Roman" w:cs="Times New Roman"/>
          <w:sz w:val="20"/>
          <w:szCs w:val="20"/>
        </w:rPr>
        <w:t xml:space="preserve"> adenine dinucleotide (NADH) form a complex that generates superoxide radicals. The addition of nitro blue </w:t>
      </w:r>
      <w:proofErr w:type="spellStart"/>
      <w:r w:rsidRPr="00BE516E">
        <w:rPr>
          <w:rFonts w:ascii="Times New Roman" w:hAnsi="Times New Roman" w:cs="Times New Roman"/>
          <w:sz w:val="20"/>
          <w:szCs w:val="20"/>
        </w:rPr>
        <w:t>tetrazolium</w:t>
      </w:r>
      <w:proofErr w:type="spellEnd"/>
      <w:r w:rsidRPr="00BE516E">
        <w:rPr>
          <w:rFonts w:ascii="Times New Roman" w:hAnsi="Times New Roman" w:cs="Times New Roman"/>
          <w:sz w:val="20"/>
          <w:szCs w:val="20"/>
        </w:rPr>
        <w:t xml:space="preserve"> (NBT) into the reaction forms purple-colored </w:t>
      </w:r>
      <w:proofErr w:type="spellStart"/>
      <w:r w:rsidRPr="00BE516E">
        <w:rPr>
          <w:rFonts w:ascii="Times New Roman" w:hAnsi="Times New Roman" w:cs="Times New Roman"/>
          <w:sz w:val="20"/>
          <w:szCs w:val="20"/>
        </w:rPr>
        <w:t>formazan</w:t>
      </w:r>
      <w:proofErr w:type="spellEnd"/>
      <w:r w:rsidRPr="00BE516E">
        <w:rPr>
          <w:rFonts w:ascii="Times New Roman" w:hAnsi="Times New Roman" w:cs="Times New Roman"/>
          <w:sz w:val="20"/>
          <w:szCs w:val="20"/>
        </w:rPr>
        <w:t xml:space="preserve"> </w:t>
      </w:r>
      <w:r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{"citationItems":[{"id":"ITEM-1","itemData":{"DOI":"https://doi.org/10.1016/j.ejmech.2019.02.030","ISSN":"0223-5234","abstract":"The multitarget-directed strategy offers an effective and promising paradigm to treat the complex neurodegenerative disorder, such as Alzheimer's disease (AD). Herein, a series of N-benzylpiperidine analogs (17–31 and 32–46) were designed and synthesized as multi-functional inhibitors of acetylcholinesterase (AChE) and β-secretase-1 (BACE-1) with moderate to excellent inhibitory activities. Among the tested inhibitors, 25, 26, 40, and 41 presented the most significant and balanced inhibition against both the targets. Compounds 40 and 41 exhibited high brain permeability in the PAMPA-BBB assay, significant displacement of propidium iodide from the peripheral anionic site (PAS) of AChE, and were devoid of neurotoxicity towards SH-SY5Y neuroblastoma cell lines up to the maximum tested concentration of 80 μM. Meanwhile, both these compounds inhibited self- and AChE-induced Aβ aggregation in thioflavin T assay, which was also re-affirmed by morphological characterization of Aβ aggregates using atomic force microscopy (AFM). Moreover, 40 and 41 ameliorated the scopolamine-induced cognitive impairment in elevated plus and Y-maze experiments. Ex vivo and biochemical analysis established the brain AChE inhibitory potential and antioxidant properties of these compounds. Further, improvement in Aβ1-42-induced cognitive impairment was also observed by compound 41 in the Morris water maze experiment with significant oral absorption characteristics ascertained by the pharmacokinetic studies.","author":[{"dropping-particle":"","family":"Sharma","given":"Piyoosh","non-dropping-particle":"","parse-names":false,"suffix":""},{"dropping-particle":"","family":"Tripathi","given":"Avanish","non-dropping-particle":"","parse-names":false,"suffix":""},{"dropping-particle":"","family":"Tripathi","given":"Prabhash Nath","non-dropping-particle":"","parse-names":false,"suffix":""},{"dropping-particle":"","family":"Prajapati","given":"Santosh Kumar","non-dropping-particle":"","parse-names":false,"suffix":""},{"dropping-particle":"","family":"Seth","given":"Ankit","non-dropping-particle":"","parse-names":false,"suffix":""},{"dropping-particle":"","family":"Tripathi","given":"Manish Kumar","non-dropping-particle":"","parse-names":false,"suffix":""},{"dropping-particle":"","family":"Srivastava","given":"Pavan","non-dropping-particle":"","parse-names":false,"suffix":""},{"dropping-particle":"","family":"Tiwari","given":"Vinod","non-dropping-particle":"","parse-names":false,"suffix":""},{"dropping-particle":"","family":"Krishnamurthy","given":"Sairam","non-dropping-particle":"","parse-names":false,"suffix":""},{"dropping-particle":"","family":"Shrivastava","given":"Sushant Kumar","non-dropping-particle":"","parse-names":false,"suffix":""}],"container-title":"European Journal of Medicinal Chemistry","id":"ITEM-1","issued":{"date-parts":[["2019"]]},"page":"510-524","title":"Design and development of multitarget-directed N-Benzylpiperidine analogs as potential candidates for the treatment of Alzheimer's disease","type":"article-journal","volume":"167"},"uris":["http://www.mendeley.com/documents/?uuid=ef656591-b0bd-4b26-8826-7fef1a442ea3"]}],"mendeley":{"formattedCitation":"[19]","plainTextFormattedCitation":"[19]","previouslyFormattedCitation":"[19]"},"properties":{"noteIndex":0},"schema":"https://github.com/citation-style-language/schema/raw/master/csl-citation.json"}</w:instrText>
      </w:r>
      <w:r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[19]</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 xml:space="preserve">. To assess the superoxide dismutase activity in the brain homogenate sample, 0.1 ml of 186 µM PMS was mixed with 1.2 ml of sodium pyrophosphate buffer (0.052 </w:t>
      </w:r>
      <w:proofErr w:type="spellStart"/>
      <w:r w:rsidRPr="00BE516E">
        <w:rPr>
          <w:rFonts w:ascii="Times New Roman" w:hAnsi="Times New Roman" w:cs="Times New Roman"/>
          <w:sz w:val="20"/>
          <w:szCs w:val="20"/>
        </w:rPr>
        <w:t>mM</w:t>
      </w:r>
      <w:proofErr w:type="spellEnd"/>
      <w:r w:rsidRPr="00BE516E">
        <w:rPr>
          <w:rFonts w:ascii="Times New Roman" w:hAnsi="Times New Roman" w:cs="Times New Roman"/>
          <w:sz w:val="20"/>
          <w:szCs w:val="20"/>
        </w:rPr>
        <w:t xml:space="preserve">; pH 8.3), 1 ml of distilled water, and 0.2 ml of tissue homogenate and briefly kept in the dark for 90 s at room temperature. The reaction was immediately stopped by adding 1 ml of glacial acetic acid, and the </w:t>
      </w:r>
      <w:proofErr w:type="spellStart"/>
      <w:r w:rsidRPr="00BE516E">
        <w:rPr>
          <w:rFonts w:ascii="Times New Roman" w:hAnsi="Times New Roman" w:cs="Times New Roman"/>
          <w:sz w:val="20"/>
          <w:szCs w:val="20"/>
        </w:rPr>
        <w:t>chromogen</w:t>
      </w:r>
      <w:proofErr w:type="spellEnd"/>
      <w:r w:rsidRPr="00BE516E">
        <w:rPr>
          <w:rFonts w:ascii="Times New Roman" w:hAnsi="Times New Roman" w:cs="Times New Roman"/>
          <w:sz w:val="20"/>
          <w:szCs w:val="20"/>
        </w:rPr>
        <w:t xml:space="preserve"> was measured </w:t>
      </w:r>
      <w:proofErr w:type="spellStart"/>
      <w:r w:rsidRPr="00BE516E">
        <w:rPr>
          <w:rFonts w:ascii="Times New Roman" w:hAnsi="Times New Roman" w:cs="Times New Roman"/>
          <w:sz w:val="20"/>
          <w:szCs w:val="20"/>
        </w:rPr>
        <w:t>spectrophotometrically</w:t>
      </w:r>
      <w:proofErr w:type="spellEnd"/>
      <w:r w:rsidRPr="00BE516E">
        <w:rPr>
          <w:rFonts w:ascii="Times New Roman" w:hAnsi="Times New Roman" w:cs="Times New Roman"/>
          <w:sz w:val="20"/>
          <w:szCs w:val="20"/>
        </w:rPr>
        <w:t xml:space="preserve"> at 560 nm wavelength. The concentration of SOD was calculated from a standard curve and plotted with respect to the amount of protein (U/mg protein) present in the tissue.</w:t>
      </w:r>
    </w:p>
    <w:p w:rsidR="00097C68" w:rsidRPr="00BE516E" w:rsidRDefault="00097C68" w:rsidP="00097C68">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Catalase activity</w:t>
      </w:r>
    </w:p>
    <w:p w:rsidR="00097C68" w:rsidRPr="00BE516E" w:rsidRDefault="00097C68" w:rsidP="00097C68">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Catalase activity was estimated following the standard method </w:t>
      </w:r>
      <w:r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{"citationItems":[{"id":"ITEM-1","itemData":{"DOI":"10.1177/0960327114551396","ISSN":"0960-3271","abstract":"This study investigated combined chemopreventive potential of curcumin and resveratrol during benzo(a)pyrene (BP)-induced lung carcinogenesis in mice. The mice were segregated into five groups that included normal control, BP-treated, BP + curcumin-treated, BP + resveratrol-treated, and BP + curcumin + resveratrol-treated groups. A statistically significant increase in the levels of lipid peroxidation (LPO) was observed in the lungs of mice after 22 weeks of single dose of benzo(a)pyrene. Further, BP treatment also resulted in a significant increase in the enzyme activities of aryl hydrocarbon hydroxylase as well as drug-metabolizing enzymes, namely cytocrome P450 and cytochrome b5. On the other hand, reduced glutathione (GSH) levels, the activities of superoxide dismutase (SOD), glutathione reductase (GR), and glutathione-S-transferase (GST) were found to be significantly decreased following BP treatment. Supplementation with curcumin and resveratrol to BP-treated mice significantly decreased the LPO levels, GSH levels, and enzyme activities of drug-metabolizing enzymes. Further, treatment of curcumin and resveratrol to BP-treated mice significantly elevated the activities of SOD, GR, and GST. Histoarchitectural studies showed well-differentiated signs of lung carcinogenesis following BP administration to mice. However, combined treatment with curcumin and resveratrol resulted in a noticeable improvement in the lung histoarchitecture. This study, therefore, concludes that curcumin and resveratrol when supplemented in combination regulate drug-metabolizing enzymes as well as antioxidant enzymes during lung carcinogenesis in mice.","author":[{"dropping-particle":"","family":"Liu","given":"Y","non-dropping-particle":"","parse-names":false,"suffix":""},{"dropping-particle":"","family":"Wu","given":"Y-M","non-dropping-particle":"","parse-names":false,"suffix":""},{"dropping-particle":"","family":"Yu","given":"Y","non-dropping-particle":"","parse-names":false,"suffix":""},{"dropping-particle":"","family":"Cao","given":"C-S","non-dropping-particle":"","parse-names":false,"suffix":""},{"dropping-particle":"","family":"Zhang","given":"J-H","non-dropping-particle":"","parse-names":false,"suffix":""},{"dropping-particle":"","family":"Li","given":"K","non-dropping-particle":"","parse-names":false,"suffix":""},{"dropping-particle":"","family":"Zhang","given":"P-Y","non-dropping-particle":"","parse-names":false,"suffix":""}],"container-title":"Human &amp; Experimental Toxicology","id":"ITEM-1","issue":"6","issued":{"date-parts":[["2015","1","29"]]},"note":"doi: 10.1177/0960327114551396","page":"620-627","publisher":"SAGE Publications Ltd STM","title":"Curcumin and resveratrol in combination modulate drug-metabolizing enzymes as well as antioxidant indices during lung carcinogenesis in mice","type":"article-journal","volume":"34"},"uris":["http://www.mendeley.com/documents/?uuid=7870fde8-5247-4f4f-99d1-c07ebfa93088"]}],"mendeley":{"formattedCitation":"[20]","plainTextFormattedCitation":"[20]","previouslyFormattedCitation":"[20]"},"properties":{"noteIndex":0},"schema":"https://github.com/citation-style-language/schema/raw/master/csl-citation.json"}</w:instrText>
      </w:r>
      <w:r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[20]</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 xml:space="preserve">. In brief, 0.05 ml supernatant from the brain tissue homogenate was taken in 3 ml of hydrogen peroxide phosphate buffer. This reaction mixture was scan </w:t>
      </w:r>
      <w:proofErr w:type="spellStart"/>
      <w:r w:rsidRPr="00BE516E">
        <w:rPr>
          <w:rFonts w:ascii="Times New Roman" w:hAnsi="Times New Roman" w:cs="Times New Roman"/>
          <w:sz w:val="20"/>
          <w:szCs w:val="20"/>
        </w:rPr>
        <w:t>spectrophotometrically</w:t>
      </w:r>
      <w:proofErr w:type="spellEnd"/>
      <w:r w:rsidRPr="00BE516E">
        <w:rPr>
          <w:rFonts w:ascii="Times New Roman" w:hAnsi="Times New Roman" w:cs="Times New Roman"/>
          <w:sz w:val="20"/>
          <w:szCs w:val="20"/>
        </w:rPr>
        <w:t xml:space="preserve"> for any change in absorbance at 240 nm for 2 min at every 30 s interval. The catalase activity was expressed in terms of micromoles of H</w:t>
      </w:r>
      <w:r w:rsidRPr="00BE516E">
        <w:rPr>
          <w:rFonts w:ascii="Times New Roman" w:hAnsi="Times New Roman" w:cs="Times New Roman"/>
          <w:sz w:val="20"/>
          <w:szCs w:val="20"/>
          <w:vertAlign w:val="subscript"/>
        </w:rPr>
        <w:t>2</w:t>
      </w:r>
      <w:r w:rsidRPr="00BE516E">
        <w:rPr>
          <w:rFonts w:ascii="Times New Roman" w:hAnsi="Times New Roman" w:cs="Times New Roman"/>
          <w:sz w:val="20"/>
          <w:szCs w:val="20"/>
        </w:rPr>
        <w:t>O</w:t>
      </w:r>
      <w:r w:rsidRPr="00BE516E">
        <w:rPr>
          <w:rFonts w:ascii="Times New Roman" w:hAnsi="Times New Roman" w:cs="Times New Roman"/>
          <w:sz w:val="20"/>
          <w:szCs w:val="20"/>
          <w:vertAlign w:val="subscript"/>
        </w:rPr>
        <w:t xml:space="preserve">2 </w:t>
      </w:r>
      <w:r w:rsidRPr="00BE516E">
        <w:rPr>
          <w:rFonts w:ascii="Times New Roman" w:hAnsi="Times New Roman" w:cs="Times New Roman"/>
          <w:sz w:val="20"/>
          <w:szCs w:val="20"/>
        </w:rPr>
        <w:t>decomposed per min per mg of protein.</w:t>
      </w:r>
    </w:p>
    <w:p w:rsidR="0004260F" w:rsidRPr="00BE516E" w:rsidRDefault="007E520B" w:rsidP="00097C68">
      <w:pPr>
        <w:spacing w:before="100" w:beforeAutospacing="1" w:after="100" w:afterAutospacing="1" w:line="360" w:lineRule="auto"/>
        <w:jc w:val="both"/>
        <w:rPr>
          <w:rFonts w:ascii="Times New Roman" w:hAnsi="Times New Roman" w:cs="Times New Roman"/>
          <w:b/>
          <w:sz w:val="20"/>
          <w:szCs w:val="20"/>
        </w:rPr>
      </w:pPr>
      <w:r>
        <w:rPr>
          <w:rFonts w:ascii="Times New Roman" w:hAnsi="Times New Roman" w:cs="Times New Roman"/>
          <w:b/>
          <w:sz w:val="20"/>
          <w:szCs w:val="20"/>
        </w:rPr>
        <w:t>Histopathology</w:t>
      </w:r>
      <w:r w:rsidR="0004260F" w:rsidRPr="00BE516E">
        <w:rPr>
          <w:rFonts w:ascii="Times New Roman" w:hAnsi="Times New Roman" w:cs="Times New Roman"/>
          <w:b/>
          <w:sz w:val="20"/>
          <w:szCs w:val="20"/>
        </w:rPr>
        <w:t xml:space="preserve"> of brain sections</w:t>
      </w:r>
    </w:p>
    <w:p w:rsidR="0004260F" w:rsidRPr="00BE516E" w:rsidRDefault="0004260F" w:rsidP="0004260F">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The brain tissue samples from the frontal and hippocampus were taken and fixed in 10% neutral buffered formalin and embedded in paraffin. These paraffin-embedded tissue samples were cut into 5 µm thick sections with the aid of microtome and affixed onto slides. Following a </w:t>
      </w:r>
      <w:proofErr w:type="spellStart"/>
      <w:r w:rsidRPr="00BE516E">
        <w:rPr>
          <w:rFonts w:ascii="Times New Roman" w:hAnsi="Times New Roman" w:cs="Times New Roman"/>
          <w:sz w:val="20"/>
          <w:szCs w:val="20"/>
        </w:rPr>
        <w:t>deparaffinization</w:t>
      </w:r>
      <w:proofErr w:type="spellEnd"/>
      <w:r w:rsidRPr="00BE516E">
        <w:rPr>
          <w:rFonts w:ascii="Times New Roman" w:hAnsi="Times New Roman" w:cs="Times New Roman"/>
          <w:sz w:val="20"/>
          <w:szCs w:val="20"/>
        </w:rPr>
        <w:t xml:space="preserve"> with xylene and ethanol, the tissue sections were stained with </w:t>
      </w:r>
      <w:proofErr w:type="spellStart"/>
      <w:r w:rsidRPr="00BE516E">
        <w:rPr>
          <w:rFonts w:ascii="Times New Roman" w:hAnsi="Times New Roman" w:cs="Times New Roman"/>
          <w:sz w:val="20"/>
          <w:szCs w:val="20"/>
        </w:rPr>
        <w:t>hematoxylin</w:t>
      </w:r>
      <w:proofErr w:type="spellEnd"/>
      <w:r w:rsidRPr="00BE516E">
        <w:rPr>
          <w:rFonts w:ascii="Times New Roman" w:hAnsi="Times New Roman" w:cs="Times New Roman"/>
          <w:sz w:val="20"/>
          <w:szCs w:val="20"/>
        </w:rPr>
        <w:t xml:space="preserve">-eosin and visualized under a light microscope for the histological study (Leica, Germany) </w:t>
      </w:r>
      <w:r w:rsidRPr="00BE516E">
        <w:rPr>
          <w:rFonts w:ascii="Times New Roman" w:hAnsi="Times New Roman" w:cs="Times New Roman"/>
          <w:sz w:val="20"/>
          <w:szCs w:val="20"/>
        </w:rPr>
        <w:fldChar w:fldCharType="begin" w:fldLock="1"/>
      </w:r>
      <w:r w:rsidR="00F6328C">
        <w:rPr>
          <w:rFonts w:ascii="Times New Roman" w:hAnsi="Times New Roman" w:cs="Times New Roman"/>
          <w:sz w:val="20"/>
          <w:szCs w:val="20"/>
        </w:rPr>
        <w:instrText>ADDIN CSL_CITATION {"citationItems":[{"id":"ITEM-1","itemData":{"DOI":"10.1177/0960327114551396","ISSN":"0960-3271","abstract":"This study investigated combined chemopreventive potential of curcumin and resveratrol during benzo(a)pyrene (BP)-induced lung carcinogenesis in mice. The mice were segregated into five groups that included normal control, BP-treated, BP + curcumin-treated, BP + resveratrol-treated, and BP + curcumin + resveratrol-treated groups. A statistically significant increase in the levels of lipid peroxidation (LPO) was observed in the lungs of mice after 22 weeks of single dose of benzo(a)pyrene. Further, BP treatment also resulted in a significant increase in the enzyme activities of aryl hydrocarbon hydroxylase as well as drug-metabolizing enzymes, namely cytocrome P450 and cytochrome b5. On the other hand, reduced glutathione (GSH) levels, the activities of superoxide dismutase (SOD), glutathione reductase (GR), and glutathione-S-transferase (GST) were found to be significantly decreased following BP treatment. Supplementation with curcumin and resveratrol to BP-treated mice significantly decreased the LPO levels, GSH levels, and enzyme activities of drug-metabolizing enzymes. Further, treatment of curcumin and resveratrol to BP-treated mice significantly elevated the activities of SOD, GR, and GST. Histoarchitectural studies showed well-differentiated signs of lung carcinogenesis following BP administration to mice. However, combined treatment with curcumin and resveratrol resulted in a noticeable improvement in the lung histoarchitecture. This study, therefore, concludes that curcumin and resveratrol when supplemented in combination regulate drug-metabolizing enzymes as well as antioxidant enzymes during lung carcinogenesis in mice.","author":[{"dropping-particle":"","family":"Liu","given":"Y","non-dropping-particle":"","parse-names":false,"suffix":""},{"dropping-particle":"","family":"Wu","given":"Y-M","non-dropping-particle":"","parse-names":false,"suffix":""},{"dropping-particle":"","family":"Yu","given":"Y","non-dropping-particle":"","parse-names":false,"suffix":""},{"dropping-particle":"","family":"Cao","given":"C-S","non-dropping-particle":"","parse-names":false,"suffix":""},{"dropping-particle":"","family":"Zhang","given":"J-H","non-dropping-particle":"","parse-names":false,"suffix":""},{"dropping-particle":"","family":"Li","given":"K","non-dropping-particle":"","parse-names":false,"suffix":""},{"dropping-particle":"","family":"Zhang","given":"P-Y","non-dropping-particle":"","parse-names":false,"suffix":""}],"container-title":"Human &amp; Experimental Toxicology","id":"ITEM-1","issue":"6","issued":{"date-parts":[["2015","1","29"]]},"note":"doi: 10.1177/0960327114551396","page":"620-627","publisher":"SAGE Publications Ltd STM","title":"Curcumin and resveratrol in combination modulate drug-metabolizing enzymes as well as antioxidant indices during lung carcinogenesis in mice","type":"article-journal","volume":"34"},"uris":["http://www.mendeley.com/documents/?uuid=7870fde8-5247-4f4f-99d1-c07ebfa93088"]}],"mendeley":{"formattedCitation":"[20]","plainTextFormattedCitation":"[20]","previouslyFormattedCitation":"[20]"},"properties":{"noteIndex":0},"schema":"https://github.com/citation-style-language/schema/raw/master/csl-citation.json"}</w:instrText>
      </w:r>
      <w:r w:rsidRPr="00BE516E">
        <w:rPr>
          <w:rFonts w:ascii="Times New Roman" w:hAnsi="Times New Roman" w:cs="Times New Roman"/>
          <w:sz w:val="20"/>
          <w:szCs w:val="20"/>
        </w:rPr>
        <w:fldChar w:fldCharType="separate"/>
      </w:r>
      <w:r w:rsidR="00F6328C" w:rsidRPr="00F6328C">
        <w:rPr>
          <w:rFonts w:ascii="Times New Roman" w:hAnsi="Times New Roman" w:cs="Times New Roman"/>
          <w:noProof/>
          <w:sz w:val="20"/>
          <w:szCs w:val="20"/>
        </w:rPr>
        <w:t>[20]</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 xml:space="preserve">. </w:t>
      </w:r>
    </w:p>
    <w:p w:rsidR="00B36527" w:rsidRPr="00BE516E" w:rsidRDefault="00B36527" w:rsidP="0004260F">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lastRenderedPageBreak/>
        <w:t>Determination of reactive oxygen species (ROS) level and pro and anti-inflammatory cytokines in U87 cell line</w:t>
      </w:r>
    </w:p>
    <w:p w:rsidR="00B36527" w:rsidRPr="00BE516E" w:rsidRDefault="00B36527" w:rsidP="00B36527">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The level of ROS was determined with the aid of 2ʹ</w:t>
      </w:r>
      <w:proofErr w:type="gramStart"/>
      <w:r w:rsidRPr="00BE516E">
        <w:rPr>
          <w:rFonts w:ascii="Times New Roman" w:hAnsi="Times New Roman" w:cs="Times New Roman"/>
          <w:sz w:val="20"/>
          <w:szCs w:val="20"/>
        </w:rPr>
        <w:t>,7</w:t>
      </w:r>
      <w:proofErr w:type="gramEnd"/>
      <w:r w:rsidRPr="00BE516E">
        <w:rPr>
          <w:rFonts w:ascii="Times New Roman" w:hAnsi="Times New Roman" w:cs="Times New Roman"/>
          <w:sz w:val="20"/>
          <w:szCs w:val="20"/>
        </w:rPr>
        <w:t>ʹ-</w:t>
      </w:r>
      <w:proofErr w:type="spellStart"/>
      <w:r w:rsidRPr="00BE516E">
        <w:rPr>
          <w:rFonts w:ascii="Times New Roman" w:hAnsi="Times New Roman" w:cs="Times New Roman"/>
          <w:sz w:val="20"/>
          <w:szCs w:val="20"/>
        </w:rPr>
        <w:t>Dichlorofluorescein</w:t>
      </w:r>
      <w:proofErr w:type="spellEnd"/>
      <w:r w:rsidRPr="00BE516E">
        <w:rPr>
          <w:rFonts w:ascii="Times New Roman" w:hAnsi="Times New Roman" w:cs="Times New Roman"/>
          <w:sz w:val="20"/>
          <w:szCs w:val="20"/>
        </w:rPr>
        <w:t xml:space="preserve"> </w:t>
      </w:r>
      <w:proofErr w:type="spellStart"/>
      <w:r w:rsidRPr="00BE516E">
        <w:rPr>
          <w:rFonts w:ascii="Times New Roman" w:hAnsi="Times New Roman" w:cs="Times New Roman"/>
          <w:sz w:val="20"/>
          <w:szCs w:val="20"/>
        </w:rPr>
        <w:t>diacetate</w:t>
      </w:r>
      <w:proofErr w:type="spellEnd"/>
      <w:r w:rsidRPr="00BE516E">
        <w:rPr>
          <w:rFonts w:ascii="Times New Roman" w:hAnsi="Times New Roman" w:cs="Times New Roman"/>
          <w:sz w:val="20"/>
          <w:szCs w:val="20"/>
        </w:rPr>
        <w:t xml:space="preserve"> (DCF-DA) which upon oxidation converts into the fluorescent dye 2ʹ,7ʹ-</w:t>
      </w:r>
      <w:proofErr w:type="spellStart"/>
      <w:r w:rsidRPr="00BE516E">
        <w:rPr>
          <w:rFonts w:ascii="Times New Roman" w:hAnsi="Times New Roman" w:cs="Times New Roman"/>
          <w:sz w:val="20"/>
          <w:szCs w:val="20"/>
        </w:rPr>
        <w:t>Dichlorofluorescein</w:t>
      </w:r>
      <w:proofErr w:type="spellEnd"/>
      <w:r w:rsidRPr="00BE516E">
        <w:rPr>
          <w:rFonts w:ascii="Times New Roman" w:hAnsi="Times New Roman" w:cs="Times New Roman"/>
          <w:sz w:val="20"/>
          <w:szCs w:val="20"/>
        </w:rPr>
        <w:t xml:space="preserve"> (DCF). Cells were seeded into a 96 well black wall plate and treated with different concentrations of A</w:t>
      </w:r>
      <w:r w:rsidRPr="00BE516E">
        <w:rPr>
          <w:rFonts w:ascii="Times New Roman" w:hAnsi="Times New Roman" w:cs="Times New Roman"/>
          <w:i/>
          <w:sz w:val="20"/>
          <w:szCs w:val="20"/>
        </w:rPr>
        <w:t>β</w:t>
      </w:r>
      <w:r w:rsidRPr="00BE516E">
        <w:rPr>
          <w:rFonts w:ascii="Times New Roman" w:hAnsi="Times New Roman" w:cs="Times New Roman"/>
          <w:sz w:val="20"/>
          <w:szCs w:val="20"/>
          <w:vertAlign w:val="subscript"/>
        </w:rPr>
        <w:t xml:space="preserve">42 </w:t>
      </w:r>
      <w:r w:rsidRPr="00BE516E">
        <w:rPr>
          <w:rFonts w:ascii="Times New Roman" w:hAnsi="Times New Roman" w:cs="Times New Roman"/>
          <w:sz w:val="20"/>
          <w:szCs w:val="20"/>
        </w:rPr>
        <w:t>(15 µM) (the IC50 value of A</w:t>
      </w:r>
      <w:r w:rsidRPr="00BE516E">
        <w:rPr>
          <w:rFonts w:ascii="Times New Roman" w:hAnsi="Times New Roman" w:cs="Times New Roman"/>
          <w:i/>
          <w:sz w:val="20"/>
          <w:szCs w:val="20"/>
        </w:rPr>
        <w:t>β</w:t>
      </w:r>
      <w:r w:rsidRPr="00BE516E">
        <w:rPr>
          <w:rFonts w:ascii="Times New Roman" w:hAnsi="Times New Roman" w:cs="Times New Roman"/>
          <w:sz w:val="20"/>
          <w:szCs w:val="20"/>
          <w:vertAlign w:val="subscript"/>
        </w:rPr>
        <w:t xml:space="preserve">42 </w:t>
      </w:r>
      <w:r w:rsidRPr="00BE516E">
        <w:rPr>
          <w:rFonts w:ascii="Times New Roman" w:hAnsi="Times New Roman" w:cs="Times New Roman"/>
          <w:sz w:val="20"/>
          <w:szCs w:val="20"/>
        </w:rPr>
        <w:t>fibril was 15µM)</w:t>
      </w:r>
      <w:r w:rsidRPr="00BE516E">
        <w:rPr>
          <w:rFonts w:ascii="Times New Roman" w:hAnsi="Times New Roman" w:cs="Times New Roman"/>
          <w:sz w:val="20"/>
          <w:szCs w:val="20"/>
          <w:vertAlign w:val="subscript"/>
        </w:rPr>
        <w:t>,</w:t>
      </w:r>
      <w:r w:rsidRPr="00BE516E">
        <w:rPr>
          <w:rFonts w:ascii="Times New Roman" w:hAnsi="Times New Roman" w:cs="Times New Roman"/>
          <w:sz w:val="20"/>
          <w:szCs w:val="20"/>
        </w:rPr>
        <w:t xml:space="preserve"> (A</w:t>
      </w:r>
      <w:r w:rsidRPr="00BE516E">
        <w:rPr>
          <w:rFonts w:ascii="Times New Roman" w:hAnsi="Times New Roman" w:cs="Times New Roman"/>
          <w:i/>
          <w:sz w:val="20"/>
          <w:szCs w:val="20"/>
        </w:rPr>
        <w:t>β</w:t>
      </w:r>
      <w:r w:rsidRPr="00BE516E">
        <w:rPr>
          <w:rFonts w:ascii="Times New Roman" w:hAnsi="Times New Roman" w:cs="Times New Roman"/>
          <w:sz w:val="20"/>
          <w:szCs w:val="20"/>
          <w:vertAlign w:val="subscript"/>
        </w:rPr>
        <w:t>42</w:t>
      </w:r>
      <w:r w:rsidRPr="00BE516E">
        <w:rPr>
          <w:rFonts w:ascii="Times New Roman" w:hAnsi="Times New Roman" w:cs="Times New Roman"/>
          <w:sz w:val="20"/>
          <w:szCs w:val="20"/>
        </w:rPr>
        <w:t>+Inhibitor) (1:1, 15 µM each), and only inhibitor (15 µM) for 24 h. For measuring the changes in ROS the inhibitor was used without any FITC tag to avoid interference in green fluorescence emission zone. After treatment, cells were washed with ice-cold PBS and then incubated in 10 µM DCF-DA dye (diluted in serum-free DMEM from a stock solution of 1mM concentration) for 30 min at 37 º</w:t>
      </w:r>
      <w:proofErr w:type="spellStart"/>
      <w:r w:rsidRPr="00BE516E">
        <w:rPr>
          <w:rFonts w:ascii="Times New Roman" w:hAnsi="Times New Roman" w:cs="Times New Roman"/>
          <w:sz w:val="20"/>
          <w:szCs w:val="20"/>
        </w:rPr>
        <w:t>C at</w:t>
      </w:r>
      <w:proofErr w:type="spellEnd"/>
      <w:r w:rsidRPr="00BE516E">
        <w:rPr>
          <w:rFonts w:ascii="Times New Roman" w:hAnsi="Times New Roman" w:cs="Times New Roman"/>
          <w:sz w:val="20"/>
          <w:szCs w:val="20"/>
        </w:rPr>
        <w:t xml:space="preserve"> dark. The resulting fluorescence was recorded using a fluorescence </w:t>
      </w:r>
      <w:proofErr w:type="spellStart"/>
      <w:r w:rsidRPr="00BE516E">
        <w:rPr>
          <w:rFonts w:ascii="Times New Roman" w:hAnsi="Times New Roman" w:cs="Times New Roman"/>
          <w:sz w:val="20"/>
          <w:szCs w:val="20"/>
        </w:rPr>
        <w:t>microplate</w:t>
      </w:r>
      <w:proofErr w:type="spellEnd"/>
      <w:r w:rsidRPr="00BE516E">
        <w:rPr>
          <w:rFonts w:ascii="Times New Roman" w:hAnsi="Times New Roman" w:cs="Times New Roman"/>
          <w:sz w:val="20"/>
          <w:szCs w:val="20"/>
        </w:rPr>
        <w:t xml:space="preserve"> reader (Biotech, USA) with the excitation and emission wavelength of 485 nm and 538 nm, respectively </w:t>
      </w:r>
      <w:r w:rsidRPr="00BE516E">
        <w:rPr>
          <w:rFonts w:ascii="Times New Roman" w:hAnsi="Times New Roman" w:cs="Times New Roman"/>
          <w:sz w:val="20"/>
          <w:szCs w:val="20"/>
        </w:rPr>
        <w:fldChar w:fldCharType="begin" w:fldLock="1"/>
      </w:r>
      <w:r w:rsidR="007E520B">
        <w:rPr>
          <w:rFonts w:ascii="Times New Roman" w:hAnsi="Times New Roman" w:cs="Times New Roman"/>
          <w:sz w:val="20"/>
          <w:szCs w:val="20"/>
        </w:rPr>
        <w:instrText>ADDIN CSL_CITATION {"citationItems":[{"id":"ITEM-1","itemData":{"DOI":"https://doi.org/10.1111/jnc.13876","ISSN":"0022-3042","abstract":"Abstract Oxidative stress, resulting from accumulation of reactive oxygen species, plays a critical role in astroglial cell death occurring in diverse neuropathological conditions. Numerous studies indicate that neuroglobin (Ngb) promotes neuron survival, but nothing is known regarding the action of Ngb in astroglial cell survival. Thus, the purpose of this study was to investigate the potential glioprotective effect of Ngb on hydrogen peroxide (H2O2)-induced oxidative stress and apoptosis in cultured mouse astrocytes. Incubation of cells with subnanomolar concentrations of Ngb (10?14?10?10 M) was found to prevent both H2O2-evoked reduction in surviving cells number and accumulation of reactive oxygen species in a concentration-dependent manner. Furthermore, Ngb treatment abolishes H2O2-induced increase in mitochondrial oxygen consumption rates. Concomitantly, Ngb treatment rescues H2O2-associated reduced expression of endogenous antioxidant enzymes (superoxide dismutases and catalase) and prevents the stimulation of the expression of pro-inflammatory genes (inducible nitric oxide synthase, cyclooxygenase-2, and interleukin (IL) IL-6 and IL-33). Moreover, Ngb blocks the stimulation of Bax (pro-apoptotic) and the inhibition of Bcl-2 (anti-apoptotic) gene expression induced by H2O2, which in turn abolishes caspase 3 activation. The protective effect of Ngb upon H2O2 induced activation of caspase 3 activity and cell death can be accounted for by activation of protein kinase A and mitogen-activated protein kinase transduction cascade. Finally, we demonstrate that Ngb increases Akt phosphorylation and prevents H2O2-provoked inhibition of ERK and Akt phosphorylation. Taken together, these data demonstrate for the first time that Ngb is a glioprotective agent that prevents H2O2-induced oxidative stress and apoptotic astroglial cell death. Protection of astrocytes from oxidative insult may thus contribute to the neuroprotective effect of Ngb.","author":[{"dropping-particle":"","family":"Amri","given":"Fatma","non-dropping-particle":"","parse-names":false,"suffix":""},{"dropping-particle":"","family":"Ghouili","given":"Ikram","non-dropping-particle":"","parse-names":false,"suffix":""},{"dropping-particle":"","family":"Amri","given":"Mohamed","non-dropping-particle":"","parse-names":false,"suffix":""},{"dropping-particle":"","family":"Carrier","given":"Alice","non-dropping-particle":"","parse-names":false,"suffix":""},{"dropping-particle":"","family":"Masmoudi-Kouki","given":"Olfa","non-dropping-particle":"","parse-names":false,"suffix":""}],"container-title":"Journal of Neurochemistry","id":"ITEM-1","issue":"1","issued":{"date-parts":[["2017","1","1"]]},"note":"https://doi.org/10.1111/jnc.13876","page":"151-169","publisher":"John Wiley &amp; Sons, Ltd","title":"Neuroglobin protects astroglial cells from hydrogen peroxide-induced oxidative stress and apoptotic cell death","type":"article-journal","volume":"140"},"uris":["http://www.mendeley.com/documents/?uuid=cf479c76-daa0-4c47-834d-7a1ccfad857f"]}],"mendeley":{"formattedCitation":"[21]","plainTextFormattedCitation":"[21]","previouslyFormattedCitation":"[22]"},"properties":{"noteIndex":0},"schema":"https://github.com/citation-style-language/schema/raw/master/csl-citation.json"}</w:instrText>
      </w:r>
      <w:r w:rsidRPr="00BE516E">
        <w:rPr>
          <w:rFonts w:ascii="Times New Roman" w:hAnsi="Times New Roman" w:cs="Times New Roman"/>
          <w:sz w:val="20"/>
          <w:szCs w:val="20"/>
        </w:rPr>
        <w:fldChar w:fldCharType="separate"/>
      </w:r>
      <w:r w:rsidR="007E520B" w:rsidRPr="007E520B">
        <w:rPr>
          <w:rFonts w:ascii="Times New Roman" w:hAnsi="Times New Roman" w:cs="Times New Roman"/>
          <w:noProof/>
          <w:sz w:val="20"/>
          <w:szCs w:val="20"/>
        </w:rPr>
        <w:t>[21]</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w:t>
      </w:r>
    </w:p>
    <w:p w:rsidR="00B36527" w:rsidRPr="00BE516E" w:rsidRDefault="00B36527" w:rsidP="00B36527">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Besides, the treated cells were washed with ice-cold PBS and collected as PBS-cell suspension in separate FACS tubes after </w:t>
      </w:r>
      <w:proofErr w:type="spellStart"/>
      <w:r w:rsidRPr="00BE516E">
        <w:rPr>
          <w:rFonts w:ascii="Times New Roman" w:hAnsi="Times New Roman" w:cs="Times New Roman"/>
          <w:sz w:val="20"/>
          <w:szCs w:val="20"/>
        </w:rPr>
        <w:t>trypsinization</w:t>
      </w:r>
      <w:proofErr w:type="spellEnd"/>
      <w:r w:rsidRPr="00BE516E">
        <w:rPr>
          <w:rFonts w:ascii="Times New Roman" w:hAnsi="Times New Roman" w:cs="Times New Roman"/>
          <w:sz w:val="20"/>
          <w:szCs w:val="20"/>
        </w:rPr>
        <w:t xml:space="preserve"> for flow </w:t>
      </w:r>
      <w:proofErr w:type="spellStart"/>
      <w:r w:rsidRPr="00BE516E">
        <w:rPr>
          <w:rFonts w:ascii="Times New Roman" w:hAnsi="Times New Roman" w:cs="Times New Roman"/>
          <w:sz w:val="20"/>
          <w:szCs w:val="20"/>
        </w:rPr>
        <w:t>cytometry</w:t>
      </w:r>
      <w:proofErr w:type="spellEnd"/>
      <w:r w:rsidRPr="00BE516E">
        <w:rPr>
          <w:rFonts w:ascii="Times New Roman" w:hAnsi="Times New Roman" w:cs="Times New Roman"/>
          <w:sz w:val="20"/>
          <w:szCs w:val="20"/>
        </w:rPr>
        <w:t xml:space="preserve">. These cells were then incubated with 10 µM DCF-DA for 30 min in the dark and analyzed in a flow cytometer. The mean fluorescence intensity data were plotted. </w:t>
      </w:r>
    </w:p>
    <w:p w:rsidR="00B36527" w:rsidRPr="00BE516E" w:rsidRDefault="00B36527" w:rsidP="00B36527">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Quantitative assessment of pro and anti-inflammatory cytokines viz. TNF-</w:t>
      </w:r>
      <w:r w:rsidRPr="00BE516E">
        <w:rPr>
          <w:rFonts w:ascii="Times New Roman" w:hAnsi="Times New Roman" w:cs="Times New Roman"/>
          <w:i/>
          <w:sz w:val="20"/>
          <w:szCs w:val="20"/>
        </w:rPr>
        <w:t>α</w:t>
      </w:r>
      <w:r w:rsidRPr="00BE516E">
        <w:rPr>
          <w:rFonts w:ascii="Times New Roman" w:hAnsi="Times New Roman" w:cs="Times New Roman"/>
          <w:sz w:val="20"/>
          <w:szCs w:val="20"/>
        </w:rPr>
        <w:t>, TGF-</w:t>
      </w:r>
      <w:r w:rsidRPr="00BE516E">
        <w:rPr>
          <w:rFonts w:ascii="Times New Roman" w:hAnsi="Times New Roman" w:cs="Times New Roman"/>
          <w:i/>
          <w:sz w:val="20"/>
          <w:szCs w:val="20"/>
        </w:rPr>
        <w:t>β</w:t>
      </w:r>
      <w:r w:rsidRPr="00BE516E">
        <w:rPr>
          <w:rFonts w:ascii="Times New Roman" w:hAnsi="Times New Roman" w:cs="Times New Roman"/>
          <w:sz w:val="20"/>
          <w:szCs w:val="20"/>
        </w:rPr>
        <w:t xml:space="preserve">, IL-6, and IL-10 were done through enzyme-linked </w:t>
      </w:r>
      <w:proofErr w:type="spellStart"/>
      <w:r w:rsidRPr="00BE516E">
        <w:rPr>
          <w:rFonts w:ascii="Times New Roman" w:hAnsi="Times New Roman" w:cs="Times New Roman"/>
          <w:sz w:val="20"/>
          <w:szCs w:val="20"/>
        </w:rPr>
        <w:t>immunosorbent</w:t>
      </w:r>
      <w:proofErr w:type="spellEnd"/>
      <w:r w:rsidRPr="00BE516E">
        <w:rPr>
          <w:rFonts w:ascii="Times New Roman" w:hAnsi="Times New Roman" w:cs="Times New Roman"/>
          <w:sz w:val="20"/>
          <w:szCs w:val="20"/>
        </w:rPr>
        <w:t xml:space="preserve"> assay (ELISA) using separate kits (RAB0476, RAB0460, RAB0306, and RAB0244 from Sigma Aldrich) and following manufacturer’s protocol. Briefly, 1×10</w:t>
      </w:r>
      <w:r w:rsidRPr="00BE516E">
        <w:rPr>
          <w:rFonts w:ascii="Times New Roman" w:hAnsi="Times New Roman" w:cs="Times New Roman"/>
          <w:sz w:val="20"/>
          <w:szCs w:val="20"/>
          <w:vertAlign w:val="superscript"/>
        </w:rPr>
        <w:t>4</w:t>
      </w:r>
      <w:r w:rsidRPr="00BE516E">
        <w:rPr>
          <w:rFonts w:ascii="Times New Roman" w:hAnsi="Times New Roman" w:cs="Times New Roman"/>
          <w:sz w:val="20"/>
          <w:szCs w:val="20"/>
        </w:rPr>
        <w:t xml:space="preserve"> cells were seeded in each well of provided 96 well ELISA plate and grown overnight at 37 ºC and 5% CO</w:t>
      </w:r>
      <w:r w:rsidRPr="00BE516E">
        <w:rPr>
          <w:rFonts w:ascii="Times New Roman" w:hAnsi="Times New Roman" w:cs="Times New Roman"/>
          <w:sz w:val="20"/>
          <w:szCs w:val="20"/>
          <w:vertAlign w:val="subscript"/>
        </w:rPr>
        <w:t xml:space="preserve">2 </w:t>
      </w:r>
      <w:r w:rsidRPr="00BE516E">
        <w:rPr>
          <w:rFonts w:ascii="Times New Roman" w:hAnsi="Times New Roman" w:cs="Times New Roman"/>
          <w:sz w:val="20"/>
          <w:szCs w:val="20"/>
        </w:rPr>
        <w:t>in DMEM media with 10% FBS. The cells were treated separately with A</w:t>
      </w:r>
      <w:r w:rsidRPr="00BE516E">
        <w:rPr>
          <w:rFonts w:ascii="Times New Roman" w:hAnsi="Times New Roman" w:cs="Times New Roman"/>
          <w:i/>
          <w:sz w:val="20"/>
          <w:szCs w:val="20"/>
        </w:rPr>
        <w:t>β</w:t>
      </w:r>
      <w:r w:rsidRPr="00BE516E">
        <w:rPr>
          <w:rFonts w:ascii="Times New Roman" w:hAnsi="Times New Roman" w:cs="Times New Roman"/>
          <w:sz w:val="20"/>
          <w:szCs w:val="20"/>
          <w:vertAlign w:val="subscript"/>
        </w:rPr>
        <w:t xml:space="preserve">42 </w:t>
      </w:r>
      <w:r w:rsidRPr="00BE516E">
        <w:rPr>
          <w:rFonts w:ascii="Times New Roman" w:hAnsi="Times New Roman" w:cs="Times New Roman"/>
          <w:sz w:val="20"/>
          <w:szCs w:val="20"/>
        </w:rPr>
        <w:t>(15 µM),</w:t>
      </w:r>
      <w:r w:rsidRPr="00BE516E">
        <w:rPr>
          <w:rFonts w:ascii="Times New Roman" w:hAnsi="Times New Roman" w:cs="Times New Roman"/>
          <w:sz w:val="20"/>
          <w:szCs w:val="20"/>
          <w:vertAlign w:val="subscript"/>
        </w:rPr>
        <w:t xml:space="preserve"> </w:t>
      </w:r>
      <w:r w:rsidRPr="00BE516E">
        <w:rPr>
          <w:rFonts w:ascii="Times New Roman" w:hAnsi="Times New Roman" w:cs="Times New Roman"/>
          <w:sz w:val="20"/>
          <w:szCs w:val="20"/>
        </w:rPr>
        <w:t>A</w:t>
      </w:r>
      <w:r w:rsidRPr="00BE516E">
        <w:rPr>
          <w:rFonts w:ascii="Times New Roman" w:hAnsi="Times New Roman" w:cs="Times New Roman"/>
          <w:i/>
          <w:sz w:val="20"/>
          <w:szCs w:val="20"/>
        </w:rPr>
        <w:t>β</w:t>
      </w:r>
      <w:r w:rsidRPr="00BE516E">
        <w:rPr>
          <w:rFonts w:ascii="Times New Roman" w:hAnsi="Times New Roman" w:cs="Times New Roman"/>
          <w:sz w:val="20"/>
          <w:szCs w:val="20"/>
          <w:vertAlign w:val="subscript"/>
        </w:rPr>
        <w:t>42</w:t>
      </w:r>
      <w:r w:rsidRPr="00BE516E">
        <w:rPr>
          <w:rFonts w:ascii="Times New Roman" w:hAnsi="Times New Roman" w:cs="Times New Roman"/>
          <w:sz w:val="20"/>
          <w:szCs w:val="20"/>
        </w:rPr>
        <w:t>+I</w:t>
      </w:r>
      <w:r w:rsidR="00006C1D">
        <w:rPr>
          <w:rFonts w:ascii="Times New Roman" w:hAnsi="Times New Roman" w:cs="Times New Roman"/>
          <w:sz w:val="20"/>
          <w:szCs w:val="20"/>
        </w:rPr>
        <w:t>NH</w:t>
      </w:r>
      <w:r w:rsidRPr="00BE516E">
        <w:rPr>
          <w:rFonts w:ascii="Times New Roman" w:hAnsi="Times New Roman" w:cs="Times New Roman"/>
          <w:sz w:val="20"/>
          <w:szCs w:val="20"/>
        </w:rPr>
        <w:t xml:space="preserve"> (1:1, 15 µM each), and I</w:t>
      </w:r>
      <w:r w:rsidR="00006C1D">
        <w:rPr>
          <w:rFonts w:ascii="Times New Roman" w:hAnsi="Times New Roman" w:cs="Times New Roman"/>
          <w:sz w:val="20"/>
          <w:szCs w:val="20"/>
        </w:rPr>
        <w:t>NH</w:t>
      </w:r>
      <w:r w:rsidRPr="00BE516E">
        <w:rPr>
          <w:rFonts w:ascii="Times New Roman" w:hAnsi="Times New Roman" w:cs="Times New Roman"/>
          <w:sz w:val="20"/>
          <w:szCs w:val="20"/>
        </w:rPr>
        <w:t xml:space="preserve"> (15 µM) for 24 h at 37 ºC and 5% CO</w:t>
      </w:r>
      <w:r w:rsidRPr="00BE516E">
        <w:rPr>
          <w:rFonts w:ascii="Times New Roman" w:hAnsi="Times New Roman" w:cs="Times New Roman"/>
          <w:sz w:val="20"/>
          <w:szCs w:val="20"/>
          <w:vertAlign w:val="subscript"/>
        </w:rPr>
        <w:t>2</w:t>
      </w:r>
      <w:r w:rsidRPr="00BE516E">
        <w:rPr>
          <w:rFonts w:ascii="Times New Roman" w:hAnsi="Times New Roman" w:cs="Times New Roman"/>
          <w:sz w:val="20"/>
          <w:szCs w:val="20"/>
        </w:rPr>
        <w:t xml:space="preserve">. Prior to the assay, the cell culture media were discarded by flipping the </w:t>
      </w:r>
      <w:proofErr w:type="spellStart"/>
      <w:r w:rsidRPr="00BE516E">
        <w:rPr>
          <w:rFonts w:ascii="Times New Roman" w:hAnsi="Times New Roman" w:cs="Times New Roman"/>
          <w:sz w:val="20"/>
          <w:szCs w:val="20"/>
        </w:rPr>
        <w:t>microplate</w:t>
      </w:r>
      <w:proofErr w:type="spellEnd"/>
      <w:r w:rsidRPr="00BE516E">
        <w:rPr>
          <w:rFonts w:ascii="Times New Roman" w:hAnsi="Times New Roman" w:cs="Times New Roman"/>
          <w:sz w:val="20"/>
          <w:szCs w:val="20"/>
        </w:rPr>
        <w:t xml:space="preserve"> upside down and tapping gently. After 3 times washing with 200 µl each 1X wash buffer-A, 100 µl fixing solution was added to each well and incubated for 20 min at RT. Again, following the washing step with wash buffer-A, 200 µl of 1X quenching buffer was added to each well and incubated at RT for 20 min. Next, 4X washing step with wash buffer-A preceded the addition of 200 µl 1X blocking buffer into each well and followed an incubation at 37 ºC for 1 h. After washing with 1X wash buffer-B for 3 times, 50 µl of the 1X primary antibody was added to each well and allowed to incubate for 2 h at RT. This was followed by 4X washing with wash buffer-B and subsequent addition of 50 µl 1X HRP-conjugated secondary antibody to each well. After 1h incubation at RT, the wells were again washed with wash buffer-B 4 times. Finally, 100 µl of TMB substrate was added to each well and incubated for 30 min at RT in the dark. Lastly, 50 µl stop solution was added into each well, and the absorbance was recorded at 450 nm wavelength.</w:t>
      </w:r>
    </w:p>
    <w:p w:rsidR="00B27A17" w:rsidRPr="00BE516E" w:rsidRDefault="00B27A17" w:rsidP="00B27A17">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sz w:val="20"/>
          <w:szCs w:val="20"/>
        </w:rPr>
        <w:t>Measurement of mitochondrial membrane potential and cellular mitochondrial bioenergetics</w:t>
      </w:r>
    </w:p>
    <w:p w:rsidR="00B27A17" w:rsidRPr="00BE516E" w:rsidRDefault="00B27A17" w:rsidP="00B27A17">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For measuring the mitochondrial membrane potential, cells were treated with A</w:t>
      </w:r>
      <w:r w:rsidRPr="00BE516E">
        <w:rPr>
          <w:rFonts w:ascii="Times New Roman" w:hAnsi="Times New Roman" w:cs="Times New Roman"/>
          <w:i/>
          <w:sz w:val="20"/>
          <w:szCs w:val="20"/>
        </w:rPr>
        <w:t>β</w:t>
      </w:r>
      <w:r w:rsidRPr="00BE516E">
        <w:rPr>
          <w:rFonts w:ascii="Times New Roman" w:hAnsi="Times New Roman" w:cs="Times New Roman"/>
          <w:sz w:val="20"/>
          <w:szCs w:val="20"/>
          <w:vertAlign w:val="subscript"/>
        </w:rPr>
        <w:t>42</w:t>
      </w:r>
      <w:r w:rsidRPr="00BE516E">
        <w:rPr>
          <w:rFonts w:ascii="Times New Roman" w:hAnsi="Times New Roman" w:cs="Times New Roman"/>
          <w:sz w:val="20"/>
          <w:szCs w:val="20"/>
        </w:rPr>
        <w:t xml:space="preserve"> (15 µM) and a 1:1 molar ratio of A</w:t>
      </w:r>
      <w:r w:rsidRPr="00BE516E">
        <w:rPr>
          <w:rFonts w:ascii="Times New Roman" w:hAnsi="Times New Roman" w:cs="Times New Roman"/>
          <w:i/>
          <w:sz w:val="20"/>
          <w:szCs w:val="20"/>
        </w:rPr>
        <w:t>β</w:t>
      </w:r>
      <w:r w:rsidRPr="00BE516E">
        <w:rPr>
          <w:rFonts w:ascii="Times New Roman" w:hAnsi="Times New Roman" w:cs="Times New Roman"/>
          <w:sz w:val="20"/>
          <w:szCs w:val="20"/>
          <w:vertAlign w:val="subscript"/>
        </w:rPr>
        <w:t>42</w:t>
      </w:r>
      <w:r w:rsidRPr="00BE516E">
        <w:rPr>
          <w:rFonts w:ascii="Times New Roman" w:hAnsi="Times New Roman" w:cs="Times New Roman"/>
          <w:sz w:val="20"/>
          <w:szCs w:val="20"/>
        </w:rPr>
        <w:t xml:space="preserve"> and the inhibitor (15 µM each) along with the inhibitor itself (15 µM) for 12 h at 37 ºC and 5% CO</w:t>
      </w:r>
      <w:r w:rsidRPr="00BE516E">
        <w:rPr>
          <w:rFonts w:ascii="Times New Roman" w:hAnsi="Times New Roman" w:cs="Times New Roman"/>
          <w:sz w:val="20"/>
          <w:szCs w:val="20"/>
          <w:vertAlign w:val="subscript"/>
        </w:rPr>
        <w:t xml:space="preserve">2. </w:t>
      </w:r>
      <w:r w:rsidRPr="00BE516E">
        <w:rPr>
          <w:rFonts w:ascii="Times New Roman" w:hAnsi="Times New Roman" w:cs="Times New Roman"/>
          <w:sz w:val="20"/>
          <w:szCs w:val="20"/>
        </w:rPr>
        <w:t xml:space="preserve">Prior to </w:t>
      </w:r>
      <w:r w:rsidRPr="00BE516E">
        <w:rPr>
          <w:rFonts w:ascii="Times New Roman" w:hAnsi="Times New Roman" w:cs="Times New Roman"/>
          <w:sz w:val="20"/>
          <w:szCs w:val="20"/>
        </w:rPr>
        <w:lastRenderedPageBreak/>
        <w:t xml:space="preserve">the incubation with JC-1 stain, the treated cells were washed with ice-cold PBS and collected in PBS following </w:t>
      </w:r>
      <w:proofErr w:type="spellStart"/>
      <w:r w:rsidRPr="00BE516E">
        <w:rPr>
          <w:rFonts w:ascii="Times New Roman" w:hAnsi="Times New Roman" w:cs="Times New Roman"/>
          <w:sz w:val="20"/>
          <w:szCs w:val="20"/>
        </w:rPr>
        <w:t>trypsinization</w:t>
      </w:r>
      <w:proofErr w:type="spellEnd"/>
      <w:r w:rsidRPr="00BE516E">
        <w:rPr>
          <w:rFonts w:ascii="Times New Roman" w:hAnsi="Times New Roman" w:cs="Times New Roman"/>
          <w:sz w:val="20"/>
          <w:szCs w:val="20"/>
        </w:rPr>
        <w:t>. The cell suspensions were incubated at 37 ºC for 20 min with 1 µl JC-1 stain added to each FACS tube. Following this, the cells were analyzed in a FACS for the ratio of red to green cells.</w:t>
      </w:r>
    </w:p>
    <w:p w:rsidR="00B27A17" w:rsidRPr="00BE516E" w:rsidRDefault="00B27A17" w:rsidP="00B27A17">
      <w:pPr>
        <w:spacing w:before="100" w:beforeAutospacing="1" w:after="100" w:afterAutospacing="1" w:line="360" w:lineRule="auto"/>
        <w:jc w:val="both"/>
        <w:rPr>
          <w:rFonts w:ascii="Times New Roman" w:hAnsi="Times New Roman" w:cs="Times New Roman"/>
          <w:sz w:val="20"/>
          <w:szCs w:val="20"/>
        </w:rPr>
      </w:pPr>
      <w:r w:rsidRPr="00BE516E">
        <w:rPr>
          <w:rFonts w:ascii="Times New Roman" w:hAnsi="Times New Roman" w:cs="Times New Roman"/>
          <w:sz w:val="20"/>
          <w:szCs w:val="20"/>
        </w:rPr>
        <w:t xml:space="preserve">Cellular mitochondrial bioenergetics viz. </w:t>
      </w:r>
      <w:proofErr w:type="spellStart"/>
      <w:r w:rsidRPr="00BE516E">
        <w:rPr>
          <w:rFonts w:ascii="Times New Roman" w:hAnsi="Times New Roman" w:cs="Times New Roman"/>
          <w:sz w:val="20"/>
          <w:szCs w:val="20"/>
        </w:rPr>
        <w:t>mito</w:t>
      </w:r>
      <w:proofErr w:type="spellEnd"/>
      <w:r w:rsidRPr="00BE516E">
        <w:rPr>
          <w:rFonts w:ascii="Times New Roman" w:hAnsi="Times New Roman" w:cs="Times New Roman"/>
          <w:sz w:val="20"/>
          <w:szCs w:val="20"/>
        </w:rPr>
        <w:t>-stress was analyzed by calculating the oxygen consumption rate (OCR) in the U87 cell line via the Seahorse XFe24 extracellular flux analyzer (Seahorse Bioscience, USA). Briefly, 1.5-2×10</w:t>
      </w:r>
      <w:r w:rsidRPr="00BE516E">
        <w:rPr>
          <w:rFonts w:ascii="Times New Roman" w:hAnsi="Times New Roman" w:cs="Times New Roman"/>
          <w:sz w:val="20"/>
          <w:szCs w:val="20"/>
          <w:vertAlign w:val="superscript"/>
        </w:rPr>
        <w:t>4</w:t>
      </w:r>
      <w:r w:rsidRPr="00BE516E">
        <w:rPr>
          <w:rFonts w:ascii="Times New Roman" w:hAnsi="Times New Roman" w:cs="Times New Roman"/>
          <w:sz w:val="20"/>
          <w:szCs w:val="20"/>
        </w:rPr>
        <w:t xml:space="preserve"> cells were seeded in an XFe24 plate with one blank well per row. On reaching confluence, the cells were treated with different concentrations of A</w:t>
      </w:r>
      <w:r w:rsidRPr="00BE516E">
        <w:rPr>
          <w:rFonts w:ascii="Times New Roman" w:hAnsi="Times New Roman" w:cs="Times New Roman"/>
          <w:i/>
          <w:sz w:val="20"/>
          <w:szCs w:val="20"/>
        </w:rPr>
        <w:t>β</w:t>
      </w:r>
      <w:r w:rsidRPr="00BE516E">
        <w:rPr>
          <w:rFonts w:ascii="Times New Roman" w:hAnsi="Times New Roman" w:cs="Times New Roman"/>
          <w:sz w:val="20"/>
          <w:szCs w:val="20"/>
          <w:vertAlign w:val="subscript"/>
        </w:rPr>
        <w:t xml:space="preserve">42 </w:t>
      </w:r>
      <w:r w:rsidRPr="00BE516E">
        <w:rPr>
          <w:rFonts w:ascii="Times New Roman" w:hAnsi="Times New Roman" w:cs="Times New Roman"/>
          <w:sz w:val="20"/>
          <w:szCs w:val="20"/>
        </w:rPr>
        <w:t>(15 µM), A</w:t>
      </w:r>
      <w:r w:rsidRPr="00BE516E">
        <w:rPr>
          <w:rFonts w:ascii="Times New Roman" w:hAnsi="Times New Roman" w:cs="Times New Roman"/>
          <w:i/>
          <w:sz w:val="20"/>
          <w:szCs w:val="20"/>
        </w:rPr>
        <w:t>β</w:t>
      </w:r>
      <w:r w:rsidRPr="00BE516E">
        <w:rPr>
          <w:rFonts w:ascii="Times New Roman" w:hAnsi="Times New Roman" w:cs="Times New Roman"/>
          <w:sz w:val="20"/>
          <w:szCs w:val="20"/>
          <w:vertAlign w:val="subscript"/>
        </w:rPr>
        <w:t>42</w:t>
      </w:r>
      <w:r w:rsidRPr="00BE516E">
        <w:rPr>
          <w:rFonts w:ascii="Times New Roman" w:hAnsi="Times New Roman" w:cs="Times New Roman"/>
          <w:sz w:val="20"/>
          <w:szCs w:val="20"/>
        </w:rPr>
        <w:t>+I</w:t>
      </w:r>
      <w:r w:rsidR="00006C1D">
        <w:rPr>
          <w:rFonts w:ascii="Times New Roman" w:hAnsi="Times New Roman" w:cs="Times New Roman"/>
          <w:sz w:val="20"/>
          <w:szCs w:val="20"/>
        </w:rPr>
        <w:t>NH</w:t>
      </w:r>
      <w:r w:rsidRPr="00BE516E">
        <w:rPr>
          <w:rFonts w:ascii="Times New Roman" w:hAnsi="Times New Roman" w:cs="Times New Roman"/>
          <w:sz w:val="20"/>
          <w:szCs w:val="20"/>
        </w:rPr>
        <w:t xml:space="preserve"> (15 µM: 15 µM, and 15 µM: 30 µM), and the inhibitor itself (15 µM) at 37 ºC in a CO</w:t>
      </w:r>
      <w:r w:rsidRPr="00BE516E">
        <w:rPr>
          <w:rFonts w:ascii="Times New Roman" w:hAnsi="Times New Roman" w:cs="Times New Roman"/>
          <w:sz w:val="20"/>
          <w:szCs w:val="20"/>
          <w:vertAlign w:val="subscript"/>
        </w:rPr>
        <w:t>2</w:t>
      </w:r>
      <w:r w:rsidRPr="00BE516E">
        <w:rPr>
          <w:rFonts w:ascii="Times New Roman" w:hAnsi="Times New Roman" w:cs="Times New Roman"/>
          <w:sz w:val="20"/>
          <w:szCs w:val="20"/>
        </w:rPr>
        <w:t xml:space="preserve"> incubator for 12 h. The culture media were then washed off and replaced with XF base media (Seahorse Bioscience) supplemented with glutamine and glucose prior to the incubation at 37 ºC for 60 min in a non-CO</w:t>
      </w:r>
      <w:r w:rsidRPr="00BE516E">
        <w:rPr>
          <w:rFonts w:ascii="Times New Roman" w:hAnsi="Times New Roman" w:cs="Times New Roman"/>
          <w:sz w:val="20"/>
          <w:szCs w:val="20"/>
          <w:vertAlign w:val="subscript"/>
        </w:rPr>
        <w:t>2</w:t>
      </w:r>
      <w:r w:rsidRPr="00BE516E">
        <w:rPr>
          <w:rFonts w:ascii="Times New Roman" w:hAnsi="Times New Roman" w:cs="Times New Roman"/>
          <w:sz w:val="20"/>
          <w:szCs w:val="20"/>
        </w:rPr>
        <w:t xml:space="preserve"> incubator. Finally, the OCR was recorded after the injection of mitochondrial respiratory inhibitors, namely </w:t>
      </w:r>
      <w:proofErr w:type="spellStart"/>
      <w:r w:rsidRPr="00BE516E">
        <w:rPr>
          <w:rFonts w:ascii="Times New Roman" w:hAnsi="Times New Roman" w:cs="Times New Roman"/>
          <w:sz w:val="20"/>
          <w:szCs w:val="20"/>
        </w:rPr>
        <w:t>oligomycin</w:t>
      </w:r>
      <w:proofErr w:type="spellEnd"/>
      <w:r w:rsidRPr="00BE516E">
        <w:rPr>
          <w:rFonts w:ascii="Times New Roman" w:hAnsi="Times New Roman" w:cs="Times New Roman"/>
          <w:sz w:val="20"/>
          <w:szCs w:val="20"/>
        </w:rPr>
        <w:t>, carbonyl cyanide-4-(</w:t>
      </w:r>
      <w:proofErr w:type="spellStart"/>
      <w:r w:rsidRPr="00BE516E">
        <w:rPr>
          <w:rFonts w:ascii="Times New Roman" w:hAnsi="Times New Roman" w:cs="Times New Roman"/>
          <w:sz w:val="20"/>
          <w:szCs w:val="20"/>
        </w:rPr>
        <w:t>trifluoromethoxy</w:t>
      </w:r>
      <w:proofErr w:type="spellEnd"/>
      <w:r w:rsidRPr="00BE516E">
        <w:rPr>
          <w:rFonts w:ascii="Times New Roman" w:hAnsi="Times New Roman" w:cs="Times New Roman"/>
          <w:sz w:val="20"/>
          <w:szCs w:val="20"/>
        </w:rPr>
        <w:t>)-</w:t>
      </w:r>
      <w:proofErr w:type="spellStart"/>
      <w:r w:rsidRPr="00BE516E">
        <w:rPr>
          <w:rFonts w:ascii="Times New Roman" w:hAnsi="Times New Roman" w:cs="Times New Roman"/>
          <w:sz w:val="20"/>
          <w:szCs w:val="20"/>
        </w:rPr>
        <w:t>phenylhydrazone</w:t>
      </w:r>
      <w:proofErr w:type="spellEnd"/>
      <w:r w:rsidRPr="00BE516E">
        <w:rPr>
          <w:rFonts w:ascii="Times New Roman" w:hAnsi="Times New Roman" w:cs="Times New Roman"/>
          <w:sz w:val="20"/>
          <w:szCs w:val="20"/>
        </w:rPr>
        <w:t xml:space="preserve"> (FCCP) and rotenone/</w:t>
      </w:r>
      <w:proofErr w:type="spellStart"/>
      <w:r w:rsidRPr="00BE516E">
        <w:rPr>
          <w:rFonts w:ascii="Times New Roman" w:hAnsi="Times New Roman" w:cs="Times New Roman"/>
          <w:sz w:val="20"/>
          <w:szCs w:val="20"/>
        </w:rPr>
        <w:t>antimycin</w:t>
      </w:r>
      <w:proofErr w:type="spellEnd"/>
      <w:r w:rsidRPr="00BE516E">
        <w:rPr>
          <w:rFonts w:ascii="Times New Roman" w:hAnsi="Times New Roman" w:cs="Times New Roman"/>
          <w:sz w:val="20"/>
          <w:szCs w:val="20"/>
        </w:rPr>
        <w:t xml:space="preserve"> A respectively, through the drug injection ports. The data were normalized with respect to the protein content of each treatment following protein estimation by the Lowry method </w:t>
      </w:r>
      <w:r w:rsidRPr="00BE516E">
        <w:rPr>
          <w:rFonts w:ascii="Times New Roman" w:hAnsi="Times New Roman" w:cs="Times New Roman"/>
          <w:sz w:val="20"/>
          <w:szCs w:val="20"/>
        </w:rPr>
        <w:fldChar w:fldCharType="begin" w:fldLock="1"/>
      </w:r>
      <w:r w:rsidR="007E520B">
        <w:rPr>
          <w:rFonts w:ascii="Times New Roman" w:hAnsi="Times New Roman" w:cs="Times New Roman"/>
          <w:sz w:val="20"/>
          <w:szCs w:val="20"/>
        </w:rPr>
        <w:instrText>ADDIN CSL_CITATION {"citationItems":[{"id":"ITEM-1","itemData":{"DOI":"10.1007/s11033-020-05467-7","ISSN":"1573-4978 (Electronic)","PMID":"32361897","abstract":"Cancer cells need extensive energy supply for their uncontrolled cell division and  metastasis which is exclusively dependent on neighboring cells, especially adipocytes. Herein, we have introduced a novel herbometallic nano-drug, Heerak Bhasma nanoparticle (HBNP) from natural resources showing high potential in the reduction of energy supply thereby promoting cell death in breast cancer cells. Inductively coupled plasma optical emission spectra (ICP-OES), atomic absorption spectra (AAS), Raman spectra, X-ray diffraction analyses confirmed the physicochemical properties of HBNP. The differential light scattering (DLS) and field emission scanning electron microscope (FESEM) analyzed the cell-permeable size of HBNP, whereas, cell viability assay confirmed the non-toxic effect. Seahorse energy efflux assay, apoptotic cell quantification, ROS, mitochondrial membrane potential, in vivo oxidative stress etc. were measured using standard protocol. The notable changes in cancer energy metabolism investigated by cellular Mito and Glyco-stress analyses confirmed the HBNP induced intracellular energy depletion. Also, a significant reduction in mitochondrial membrane potential and subsequently, extensive reactive oxygen species (ROS) generations were observed in presence of HBNP followed by the induction of cell apoptosis. The cell invasion and wound healing assay followed by reduced expression both protein (MMP 2, MMP 9) and cytokine (IL6, IL10) had signified the effectiveness of HBNP against cancer metastasis. In addition, HBNP also showed an excellent antitumor activity in vivo followed by developing healing characteristics due to oxidative stress. All these findings strongly suggest that HBNP has the potential to be the new cancer therapeutic. A schematic phenomenon represents the overall HBNP mediated anticancer activity via limitation of both fatty acid uptake and energy metabolism.","author":[{"dropping-particle":"","family":"Ruidas","given":"Bhuban","non-dropping-particle":"","parse-names":false,"suffix":""},{"dropping-particle":"","family":"Sur","given":"Tapas Kumar","non-dropping-particle":"","parse-names":false,"suffix":""},{"dropping-particle":"","family":"Pal","given":"Kunal","non-dropping-particle":"","parse-names":false,"suffix":""},{"dropping-particle":"","family":"Som Chaudhury","given":"Sutapa","non-dropping-particle":"","parse-names":false,"suffix":""},{"dropping-particle":"","family":"Prasad","given":"Parash","non-dropping-particle":"","parse-names":false,"suffix":""},{"dropping-particle":"","family":"Sinha","given":"Koel","non-dropping-particle":"","parse-names":false,"suffix":""},{"dropping-particle":"","family":"Sarkar","given":"Prasanta Kumar","non-dropping-particle":"","parse-names":false,"suffix":""},{"dropping-particle":"","family":"Das","given":"Pritha","non-dropping-particle":"","parse-names":false,"suffix":""},{"dropping-particle":"","family":"Mukhopadhyay","given":"Chitrangada","non-dropping-particle":"Das","parse-names":false,"suffix":""}],"container-title":"Molecular biology reports","id":"ITEM-1","issue":"5","issued":{"date-parts":[["2020","5"]]},"language":"eng","page":"3745-3763","publisher-place":"Netherlands","title":"Herbometallic nano-drug inducing metastatic growth inhibition in breast cancer  through intracellular energy depletion.","type":"article-journal","volume":"47"},"uris":["http://www.mendeley.com/documents/?uuid=93c7ad09-8f3b-41f8-9b00-8bf0c0a2ee44"]}],"mendeley":{"formattedCitation":"[22]","plainTextFormattedCitation":"[22]","previouslyFormattedCitation":"[23]"},"properties":{"noteIndex":0},"schema":"https://github.com/citation-style-language/schema/raw/master/csl-citation.json"}</w:instrText>
      </w:r>
      <w:r w:rsidRPr="00BE516E">
        <w:rPr>
          <w:rFonts w:ascii="Times New Roman" w:hAnsi="Times New Roman" w:cs="Times New Roman"/>
          <w:sz w:val="20"/>
          <w:szCs w:val="20"/>
        </w:rPr>
        <w:fldChar w:fldCharType="separate"/>
      </w:r>
      <w:r w:rsidR="007E520B" w:rsidRPr="007E520B">
        <w:rPr>
          <w:rFonts w:ascii="Times New Roman" w:hAnsi="Times New Roman" w:cs="Times New Roman"/>
          <w:noProof/>
          <w:sz w:val="20"/>
          <w:szCs w:val="20"/>
        </w:rPr>
        <w:t>[22]</w:t>
      </w:r>
      <w:r w:rsidRPr="00BE516E">
        <w:rPr>
          <w:rFonts w:ascii="Times New Roman" w:hAnsi="Times New Roman" w:cs="Times New Roman"/>
          <w:sz w:val="20"/>
          <w:szCs w:val="20"/>
        </w:rPr>
        <w:fldChar w:fldCharType="end"/>
      </w:r>
      <w:r w:rsidRPr="00BE516E">
        <w:rPr>
          <w:rFonts w:ascii="Times New Roman" w:hAnsi="Times New Roman" w:cs="Times New Roman"/>
          <w:sz w:val="20"/>
          <w:szCs w:val="20"/>
        </w:rPr>
        <w:t>.</w:t>
      </w:r>
    </w:p>
    <w:p w:rsidR="007A0F4B" w:rsidRPr="00BE516E" w:rsidRDefault="007A0F4B" w:rsidP="00B27A17">
      <w:pPr>
        <w:spacing w:before="100" w:beforeAutospacing="1" w:after="100" w:afterAutospacing="1" w:line="360" w:lineRule="auto"/>
        <w:jc w:val="both"/>
        <w:rPr>
          <w:rFonts w:ascii="Times New Roman" w:hAnsi="Times New Roman" w:cs="Times New Roman"/>
          <w:b/>
          <w:sz w:val="20"/>
          <w:szCs w:val="20"/>
        </w:rPr>
      </w:pPr>
      <w:r w:rsidRPr="00BE516E">
        <w:rPr>
          <w:rFonts w:ascii="Times New Roman" w:hAnsi="Times New Roman" w:cs="Times New Roman"/>
          <w:b/>
          <w:i/>
          <w:sz w:val="20"/>
          <w:szCs w:val="20"/>
        </w:rPr>
        <w:t xml:space="preserve">In </w:t>
      </w:r>
      <w:proofErr w:type="spellStart"/>
      <w:r w:rsidRPr="00BE516E">
        <w:rPr>
          <w:rFonts w:ascii="Times New Roman" w:hAnsi="Times New Roman" w:cs="Times New Roman"/>
          <w:b/>
          <w:i/>
          <w:sz w:val="20"/>
          <w:szCs w:val="20"/>
        </w:rPr>
        <w:t>silico</w:t>
      </w:r>
      <w:proofErr w:type="spellEnd"/>
      <w:r w:rsidRPr="00BE516E">
        <w:rPr>
          <w:rFonts w:ascii="Times New Roman" w:hAnsi="Times New Roman" w:cs="Times New Roman"/>
          <w:b/>
          <w:sz w:val="20"/>
          <w:szCs w:val="20"/>
        </w:rPr>
        <w:t xml:space="preserve"> molecular dynamics simulation</w:t>
      </w:r>
    </w:p>
    <w:p w:rsidR="00F56D19" w:rsidRPr="00BE516E" w:rsidRDefault="00362487" w:rsidP="00B27A17">
      <w:pPr>
        <w:spacing w:before="100" w:beforeAutospacing="1" w:after="100" w:afterAutospacing="1" w:line="360" w:lineRule="auto"/>
        <w:jc w:val="both"/>
        <w:rPr>
          <w:rFonts w:ascii="Times New Roman" w:hAnsi="Times New Roman" w:cs="Times New Roman"/>
          <w:sz w:val="20"/>
          <w:szCs w:val="20"/>
          <w:lang w:val="en-IN"/>
        </w:rPr>
      </w:pPr>
      <w:r w:rsidRPr="00BE516E">
        <w:rPr>
          <w:rFonts w:ascii="Times New Roman" w:hAnsi="Times New Roman" w:cs="Times New Roman"/>
          <w:sz w:val="20"/>
          <w:szCs w:val="20"/>
        </w:rPr>
        <w:t xml:space="preserve">The 113 unit stretch of PEG along with 10 unit side-chain </w:t>
      </w:r>
      <w:proofErr w:type="spellStart"/>
      <w:r w:rsidRPr="00BE516E">
        <w:rPr>
          <w:rFonts w:ascii="Times New Roman" w:hAnsi="Times New Roman" w:cs="Times New Roman"/>
          <w:sz w:val="20"/>
          <w:szCs w:val="20"/>
        </w:rPr>
        <w:t>tripeptide</w:t>
      </w:r>
      <w:proofErr w:type="spellEnd"/>
      <w:r w:rsidRPr="00BE516E">
        <w:rPr>
          <w:rFonts w:ascii="Times New Roman" w:hAnsi="Times New Roman" w:cs="Times New Roman"/>
          <w:sz w:val="20"/>
          <w:szCs w:val="20"/>
        </w:rPr>
        <w:t xml:space="preserve"> viz. ‘LVF’ was simulated using </w:t>
      </w:r>
      <w:r w:rsidRPr="00BD5662">
        <w:rPr>
          <w:rFonts w:ascii="Times New Roman" w:hAnsi="Times New Roman" w:cs="Times New Roman"/>
          <w:sz w:val="20"/>
          <w:szCs w:val="20"/>
        </w:rPr>
        <w:t>the smile formula</w:t>
      </w:r>
      <w:r w:rsidRPr="00BE516E">
        <w:rPr>
          <w:rFonts w:ascii="Times New Roman" w:hAnsi="Times New Roman" w:cs="Times New Roman"/>
          <w:sz w:val="20"/>
          <w:szCs w:val="20"/>
        </w:rPr>
        <w:t xml:space="preserve"> to obtain the 3D structure of the compound. The structural stability and dynamics of this 3D structure were analyzed through 1.5 µs long MD simulation. </w:t>
      </w:r>
      <w:r w:rsidR="00F56D19" w:rsidRPr="00BE516E">
        <w:rPr>
          <w:rFonts w:ascii="Times New Roman" w:hAnsi="Times New Roman" w:cs="Times New Roman"/>
          <w:sz w:val="20"/>
          <w:szCs w:val="20"/>
          <w:lang w:val="en-IN"/>
        </w:rPr>
        <w:t xml:space="preserve">Molecular dynamic (MD) simulation was performed using the Desmond simulation package </w:t>
      </w:r>
      <w:r w:rsidR="00F56D19" w:rsidRPr="00BE516E">
        <w:rPr>
          <w:rFonts w:ascii="Times New Roman" w:hAnsi="Times New Roman" w:cs="Times New Roman"/>
          <w:sz w:val="20"/>
          <w:szCs w:val="20"/>
          <w:lang w:val="en-IN"/>
        </w:rPr>
        <w:fldChar w:fldCharType="begin" w:fldLock="1"/>
      </w:r>
      <w:r w:rsidR="007E520B">
        <w:rPr>
          <w:rFonts w:ascii="Times New Roman" w:hAnsi="Times New Roman" w:cs="Times New Roman"/>
          <w:sz w:val="20"/>
          <w:szCs w:val="20"/>
          <w:lang w:val="en-IN"/>
        </w:rPr>
        <w:instrText>ADDIN CSL_CITATION {"citationItems":[{"id":"ITEM-1","itemData":{"DOI":"10.1109/SC.2006.54","abstract":"Although molecular dynamics (MD) simulations of biomolecular systems often run for days to months, many events of great scientific interest and pharmaceutical relevance occur on long time scales that remain beyond reach. We present several new algorithms and implementation techniques that significantly accelerate parallel MD simulations compared with current state-of-the-art codes. These include a novel parallel decomposition method and message-passing techniques that reduce communication requirements, as well as novel communication primitives that further reduce communication time. We have also developed numerical techniques that maintain high accuracy while using single precision computation in order to exploit processor-level vector instructions. These methods are embodied in a newly developed MD code called Desmond that achieves unprecedented simulation throughput and parallel scalability on commodity clusters. Our results suggest that Desmond's parallel performance substantially surpasses that of any previously described code. For example, on a standard benchmark, Desmond's performance on a conventional Opteron cluster with 2K processors slightly exceeded the reported performance of IBM's Blue Gene/L machine with 32K processors running its Blue Matter MD code","author":[{"dropping-particle":"","family":"Bowers","given":"K J","non-dropping-particle":"","parse-names":false,"suffix":""},{"dropping-particle":"","family":"Chow","given":"D E","non-dropping-particle":"","parse-names":false,"suffix":""},{"dropping-particle":"","family":"Xu","given":"H","non-dropping-particle":"","parse-names":false,"suffix":""},{"dropping-particle":"","family":"Dror","given":"R O","non-dropping-particle":"","parse-names":false,"suffix":""},{"dropping-particle":"","family":"Eastwood","given":"M P","non-dropping-particle":"","parse-names":false,"suffix":""},{"dropping-particle":"","family":"Gregersen","given":"B A","non-dropping-particle":"","parse-names":false,"suffix":""},{"dropping-particle":"","family":"Klepeis","given":"J L","non-dropping-particle":"","parse-names":false,"suffix":""},{"dropping-particle":"","family":"Kolossvary","given":"I","non-dropping-particle":"","parse-names":false,"suffix":""},{"dropping-particle":"","family":"Moraes","given":"M A","non-dropping-particle":"","parse-names":false,"suffix":""},{"dropping-particle":"","family":"Sacerdoti","given":"F D","non-dropping-particle":"","parse-names":false,"suffix":""},{"dropping-particle":"","family":"Salmon","given":"J K","non-dropping-particle":"","parse-names":false,"suffix":""},{"dropping-particle":"","family":"Shan","given":"Y","non-dropping-particle":"","parse-names":false,"suffix":""},{"dropping-particle":"","family":"Shaw","given":"D E","non-dropping-particle":"","parse-names":false,"suffix":""}],"container-title":"SC '06: Proceedings of the 2006 ACM/IEEE Conference on Supercomputing","id":"ITEM-1","issued":{"date-parts":[["2006","11"]]},"page":"43","title":"Scalable Algorithms for Molecular Dynamics Simulations on Commodity Clusters","type":"paper-conference"},"uris":["http://www.mendeley.com/documents/?uuid=6b852eff-e482-4f30-8350-dd84d641ab1d"]}],"mendeley":{"formattedCitation":"[23]","plainTextFormattedCitation":"[23]","previouslyFormattedCitation":"[24]"},"properties":{"noteIndex":0},"schema":"https://github.com/citation-style-language/schema/raw/master/csl-citation.json"}</w:instrText>
      </w:r>
      <w:r w:rsidR="00F56D19" w:rsidRPr="00BE516E">
        <w:rPr>
          <w:rFonts w:ascii="Times New Roman" w:hAnsi="Times New Roman" w:cs="Times New Roman"/>
          <w:sz w:val="20"/>
          <w:szCs w:val="20"/>
          <w:lang w:val="en-IN"/>
        </w:rPr>
        <w:fldChar w:fldCharType="separate"/>
      </w:r>
      <w:r w:rsidR="007E520B" w:rsidRPr="007E520B">
        <w:rPr>
          <w:rFonts w:ascii="Times New Roman" w:hAnsi="Times New Roman" w:cs="Times New Roman"/>
          <w:noProof/>
          <w:sz w:val="20"/>
          <w:szCs w:val="20"/>
          <w:lang w:val="en-IN"/>
        </w:rPr>
        <w:t>[23]</w:t>
      </w:r>
      <w:r w:rsidR="00F56D19" w:rsidRPr="00BE516E">
        <w:rPr>
          <w:rFonts w:ascii="Times New Roman" w:hAnsi="Times New Roman" w:cs="Times New Roman"/>
          <w:sz w:val="20"/>
          <w:szCs w:val="20"/>
          <w:lang w:val="en-IN"/>
        </w:rPr>
        <w:fldChar w:fldCharType="end"/>
      </w:r>
      <w:r w:rsidR="00F56D19" w:rsidRPr="00BE516E">
        <w:rPr>
          <w:rFonts w:ascii="Times New Roman" w:hAnsi="Times New Roman" w:cs="Times New Roman"/>
          <w:sz w:val="20"/>
          <w:szCs w:val="20"/>
          <w:lang w:val="en-IN"/>
        </w:rPr>
        <w:t xml:space="preserve">. The OPLS_2005 force field parameters were used to generate the coordinates and topology of the molecule </w:t>
      </w:r>
      <w:r w:rsidR="00F56D19" w:rsidRPr="00BE516E">
        <w:rPr>
          <w:rFonts w:ascii="Times New Roman" w:hAnsi="Times New Roman" w:cs="Times New Roman"/>
          <w:sz w:val="20"/>
          <w:szCs w:val="20"/>
          <w:lang w:val="en-IN"/>
        </w:rPr>
        <w:fldChar w:fldCharType="begin" w:fldLock="1"/>
      </w:r>
      <w:r w:rsidR="007E520B">
        <w:rPr>
          <w:rFonts w:ascii="Times New Roman" w:hAnsi="Times New Roman" w:cs="Times New Roman"/>
          <w:sz w:val="20"/>
          <w:szCs w:val="20"/>
          <w:lang w:val="en-IN"/>
        </w:rPr>
        <w:instrText>ADDIN CSL_CITATION {"citationItems":[{"id":"ITEM-1","itemData":{"DOI":"10.1021/ja9621760","ISSN":"0002-7863","author":[{"dropping-particle":"","family":"Jorgensen","given":"William L","non-dropping-particle":"","parse-names":false,"suffix":""},{"dropping-particle":"","family":"Maxwell","given":"David S","non-dropping-particle":"","parse-names":false,"suffix":""},{"dropping-particle":"","family":"Tirado-Rives","given":"Julian","non-dropping-particle":"","parse-names":false,"suffix":""}],"container-title":"Journal of the American Chemical Society","id":"ITEM-1","issue":"45","issued":{"date-parts":[["1996","11","13"]]},"note":"doi: 10.1021/ja9621760","page":"11225-11236","publisher":"American Chemical Society","title":"Development and Testing of the OPLS All-Atom Force Field on Conformational Energetics and Properties of Organic Liquids","type":"article-journal","volume":"118"},"uris":["http://www.mendeley.com/documents/?uuid=6e036c16-adb9-44ad-92e2-7fd78371444b"]},{"id":"ITEM-2","itemData":{"DOI":"10.1021/jp003919d","ISSN":"1520-6106","author":[{"dropping-particle":"","family":"Kaminski","given":"George A","non-dropping-particle":"","parse-names":false,"suffix":""},{"dropping-particle":"","family":"Friesner","given":"Richard A","non-dropping-particle":"","parse-names":false,"suffix":""},{"dropping-particle":"","family":"Tirado-Rives","given":"Julian","non-dropping-particle":"","parse-names":false,"suffix":""},{"dropping-particle":"","family":"Jorgensen","given":"William L","non-dropping-particle":"","parse-names":false,"suffix":""}],"container-title":"The Journal of Physical Chemistry B","id":"ITEM-2","issue":"28","issued":{"date-parts":[["2001","7","1"]]},"note":"doi: 10.1021/jp003919d","page":"6474-6487","publisher":"American Chemical Society","title":"Evaluation and Reparametrization of the OPLS-AA Force Field for Proteins via Comparison with Accurate Quantum Chemical Calculations on Peptides","type":"article-journal","volume":"105"},"uris":["http://www.mendeley.com/documents/?uuid=2d75f0a9-63c0-4444-bdcf-f76bee208eaa"]}],"mendeley":{"formattedCitation":"[24, 25]","plainTextFormattedCitation":"[24, 25]","previouslyFormattedCitation":"[25, 26]"},"properties":{"noteIndex":0},"schema":"https://github.com/citation-style-language/schema/raw/master/csl-citation.json"}</w:instrText>
      </w:r>
      <w:r w:rsidR="00F56D19" w:rsidRPr="00BE516E">
        <w:rPr>
          <w:rFonts w:ascii="Times New Roman" w:hAnsi="Times New Roman" w:cs="Times New Roman"/>
          <w:sz w:val="20"/>
          <w:szCs w:val="20"/>
          <w:lang w:val="en-IN"/>
        </w:rPr>
        <w:fldChar w:fldCharType="separate"/>
      </w:r>
      <w:r w:rsidR="007E520B" w:rsidRPr="007E520B">
        <w:rPr>
          <w:rFonts w:ascii="Times New Roman" w:hAnsi="Times New Roman" w:cs="Times New Roman"/>
          <w:noProof/>
          <w:sz w:val="20"/>
          <w:szCs w:val="20"/>
          <w:lang w:val="en-IN"/>
        </w:rPr>
        <w:t>[24, 25]</w:t>
      </w:r>
      <w:r w:rsidR="00F56D19" w:rsidRPr="00BE516E">
        <w:rPr>
          <w:rFonts w:ascii="Times New Roman" w:hAnsi="Times New Roman" w:cs="Times New Roman"/>
          <w:sz w:val="20"/>
          <w:szCs w:val="20"/>
          <w:lang w:val="en-IN"/>
        </w:rPr>
        <w:fldChar w:fldCharType="end"/>
      </w:r>
      <w:r w:rsidR="00F56D19" w:rsidRPr="00BE516E">
        <w:rPr>
          <w:rFonts w:ascii="Times New Roman" w:hAnsi="Times New Roman" w:cs="Times New Roman"/>
          <w:sz w:val="20"/>
          <w:szCs w:val="20"/>
          <w:lang w:val="en-IN"/>
        </w:rPr>
        <w:t xml:space="preserve">. The system was solvated with TIP3P water, and counter ions were added to neutralize the charge </w:t>
      </w:r>
      <w:r w:rsidR="00F56D19" w:rsidRPr="00BE516E">
        <w:rPr>
          <w:rFonts w:ascii="Times New Roman" w:hAnsi="Times New Roman" w:cs="Times New Roman"/>
          <w:sz w:val="20"/>
          <w:szCs w:val="20"/>
          <w:lang w:val="en-IN"/>
        </w:rPr>
        <w:fldChar w:fldCharType="begin" w:fldLock="1"/>
      </w:r>
      <w:r w:rsidR="007E520B">
        <w:rPr>
          <w:rFonts w:ascii="Times New Roman" w:hAnsi="Times New Roman" w:cs="Times New Roman"/>
          <w:sz w:val="20"/>
          <w:szCs w:val="20"/>
          <w:lang w:val="en-IN"/>
        </w:rPr>
        <w:instrText>ADDIN CSL_CITATION {"citationItems":[{"id":"ITEM-1","itemData":{"DOI":"10.1021/jp003020w","ISSN":"1089-5639","author":[{"dropping-particle":"","family":"Mark","given":"Pekka","non-dropping-particle":"","parse-names":false,"suffix":""},{"dropping-particle":"","family":"Nilsson","given":"Lennart","non-dropping-particle":"","parse-names":false,"suffix":""}],"container-title":"The Journal of Physical Chemistry A","id":"ITEM-1","issue":"43","issued":{"date-parts":[["2001","11","1"]]},"note":"doi: 10.1021/jp003020w","page":"9954-9960","publisher":"American Chemical Society","title":"Structure and Dynamics of the TIP3P, SPC, and SPC/E Water Models at 298 K","type":"article-journal","volume":"105"},"uris":["http://www.mendeley.com/documents/?uuid=624d7753-1dc9-4507-9310-c6f40ccb9909"]}],"mendeley":{"formattedCitation":"[26]","plainTextFormattedCitation":"[26]","previouslyFormattedCitation":"[27]"},"properties":{"noteIndex":0},"schema":"https://github.com/citation-style-language/schema/raw/master/csl-citation.json"}</w:instrText>
      </w:r>
      <w:r w:rsidR="00F56D19" w:rsidRPr="00BE516E">
        <w:rPr>
          <w:rFonts w:ascii="Times New Roman" w:hAnsi="Times New Roman" w:cs="Times New Roman"/>
          <w:sz w:val="20"/>
          <w:szCs w:val="20"/>
          <w:lang w:val="en-IN"/>
        </w:rPr>
        <w:fldChar w:fldCharType="separate"/>
      </w:r>
      <w:r w:rsidR="007E520B" w:rsidRPr="007E520B">
        <w:rPr>
          <w:rFonts w:ascii="Times New Roman" w:hAnsi="Times New Roman" w:cs="Times New Roman"/>
          <w:noProof/>
          <w:sz w:val="20"/>
          <w:szCs w:val="20"/>
          <w:lang w:val="en-IN"/>
        </w:rPr>
        <w:t>[26]</w:t>
      </w:r>
      <w:r w:rsidR="00F56D19" w:rsidRPr="00BE516E">
        <w:rPr>
          <w:rFonts w:ascii="Times New Roman" w:hAnsi="Times New Roman" w:cs="Times New Roman"/>
          <w:sz w:val="20"/>
          <w:szCs w:val="20"/>
          <w:lang w:val="en-IN"/>
        </w:rPr>
        <w:fldChar w:fldCharType="end"/>
      </w:r>
      <w:r w:rsidR="00F56D19" w:rsidRPr="00BE516E">
        <w:rPr>
          <w:rFonts w:ascii="Times New Roman" w:hAnsi="Times New Roman" w:cs="Times New Roman"/>
          <w:sz w:val="20"/>
          <w:szCs w:val="20"/>
          <w:lang w:val="en-IN"/>
        </w:rPr>
        <w:t xml:space="preserve">. Orthorhombic periodic boundary conditions were defined to specify the shape and size of the simulation box buffered at 10 Å distances. A hybrid method combining the steepest decent and the </w:t>
      </w:r>
      <w:bookmarkStart w:id="1" w:name="OLE_LINK5"/>
      <w:bookmarkStart w:id="2" w:name="OLE_LINK6"/>
      <w:r w:rsidR="00F56D19" w:rsidRPr="00BE516E">
        <w:rPr>
          <w:rFonts w:ascii="Times New Roman" w:hAnsi="Times New Roman" w:cs="Times New Roman"/>
          <w:sz w:val="20"/>
          <w:szCs w:val="20"/>
          <w:lang w:val="en-IN"/>
        </w:rPr>
        <w:t xml:space="preserve">limited-memory </w:t>
      </w:r>
      <w:proofErr w:type="spellStart"/>
      <w:r w:rsidR="00F56D19" w:rsidRPr="00BE516E">
        <w:rPr>
          <w:rFonts w:ascii="Times New Roman" w:hAnsi="Times New Roman" w:cs="Times New Roman"/>
          <w:sz w:val="20"/>
          <w:szCs w:val="20"/>
          <w:lang w:val="en-IN"/>
        </w:rPr>
        <w:t>Broyden</w:t>
      </w:r>
      <w:proofErr w:type="spellEnd"/>
      <w:r w:rsidR="00F56D19" w:rsidRPr="00BE516E">
        <w:rPr>
          <w:rFonts w:ascii="Times New Roman" w:hAnsi="Times New Roman" w:cs="Times New Roman"/>
          <w:sz w:val="20"/>
          <w:szCs w:val="20"/>
          <w:lang w:val="en-IN"/>
        </w:rPr>
        <w:t>-Fletcher-Goldfarb-</w:t>
      </w:r>
      <w:proofErr w:type="spellStart"/>
      <w:r w:rsidR="00F56D19" w:rsidRPr="00BE516E">
        <w:rPr>
          <w:rFonts w:ascii="Times New Roman" w:hAnsi="Times New Roman" w:cs="Times New Roman"/>
          <w:sz w:val="20"/>
          <w:szCs w:val="20"/>
          <w:lang w:val="en-IN"/>
        </w:rPr>
        <w:t>Shanno</w:t>
      </w:r>
      <w:proofErr w:type="spellEnd"/>
      <w:r w:rsidR="00F56D19" w:rsidRPr="00BE516E">
        <w:rPr>
          <w:rFonts w:ascii="Times New Roman" w:hAnsi="Times New Roman" w:cs="Times New Roman"/>
          <w:sz w:val="20"/>
          <w:szCs w:val="20"/>
          <w:lang w:val="en-IN"/>
        </w:rPr>
        <w:t xml:space="preserve"> (LBFGS) algorithm</w:t>
      </w:r>
      <w:bookmarkEnd w:id="1"/>
      <w:bookmarkEnd w:id="2"/>
      <w:r w:rsidR="00F56D19" w:rsidRPr="00BE516E">
        <w:rPr>
          <w:rFonts w:ascii="Times New Roman" w:hAnsi="Times New Roman" w:cs="Times New Roman"/>
          <w:sz w:val="20"/>
          <w:szCs w:val="20"/>
          <w:lang w:val="en-IN"/>
        </w:rPr>
        <w:t xml:space="preserve"> was used for minimizing the system </w:t>
      </w:r>
      <w:r w:rsidR="00F56D19" w:rsidRPr="00BE516E">
        <w:rPr>
          <w:rFonts w:ascii="Times New Roman" w:hAnsi="Times New Roman" w:cs="Times New Roman"/>
          <w:sz w:val="20"/>
          <w:szCs w:val="20"/>
          <w:lang w:val="en-IN"/>
        </w:rPr>
        <w:fldChar w:fldCharType="begin" w:fldLock="1"/>
      </w:r>
      <w:r w:rsidR="007E520B">
        <w:rPr>
          <w:rFonts w:ascii="Times New Roman" w:hAnsi="Times New Roman" w:cs="Times New Roman"/>
          <w:sz w:val="20"/>
          <w:szCs w:val="20"/>
          <w:lang w:val="en-IN"/>
        </w:rPr>
        <w:instrText>ADDIN CSL_CITATION {"citationItems":[{"id":"ITEM-1","itemData":{"DOI":"10.1063/1.4995124","ISSN":"0094-243X","author":[{"dropping-particle":"","family":"Saputro","given":"Dewi Retno Sari","non-dropping-particle":"","parse-names":false,"suffix":""},{"dropping-particle":"","family":"Widyaningsih","given":"Purnami","non-dropping-particle":"","parse-names":false,"suffix":""}],"container-title":"AIP Conference Proceedings","id":"ITEM-1","issue":"1","issued":{"date-parts":[["2017","8","4"]]},"note":"doi: 10.1063/1.4995124","page":"40009","publisher":"American Institute of Physics","title":"Limited memory Broyden-Fletcher-Goldfarb-Shanno (L-BFGS) method for the parameter estimation on geographically weighted ordinal logistic regression model (GWOLR)","type":"article-journal","volume":"1868"},"uris":["http://www.mendeley.com/documents/?uuid=d84bb776-a1ce-459e-bbb2-e5ccba501b2f"]}],"mendeley":{"formattedCitation":"[27]","plainTextFormattedCitation":"[27]","previouslyFormattedCitation":"[28]"},"properties":{"noteIndex":0},"schema":"https://github.com/citation-style-language/schema/raw/master/csl-citation.json"}</w:instrText>
      </w:r>
      <w:r w:rsidR="00F56D19" w:rsidRPr="00BE516E">
        <w:rPr>
          <w:rFonts w:ascii="Times New Roman" w:hAnsi="Times New Roman" w:cs="Times New Roman"/>
          <w:sz w:val="20"/>
          <w:szCs w:val="20"/>
          <w:lang w:val="en-IN"/>
        </w:rPr>
        <w:fldChar w:fldCharType="separate"/>
      </w:r>
      <w:r w:rsidR="007E520B" w:rsidRPr="007E520B">
        <w:rPr>
          <w:rFonts w:ascii="Times New Roman" w:hAnsi="Times New Roman" w:cs="Times New Roman"/>
          <w:noProof/>
          <w:sz w:val="20"/>
          <w:szCs w:val="20"/>
          <w:lang w:val="en-IN"/>
        </w:rPr>
        <w:t>[27]</w:t>
      </w:r>
      <w:r w:rsidR="00F56D19" w:rsidRPr="00BE516E">
        <w:rPr>
          <w:rFonts w:ascii="Times New Roman" w:hAnsi="Times New Roman" w:cs="Times New Roman"/>
          <w:sz w:val="20"/>
          <w:szCs w:val="20"/>
          <w:lang w:val="en-IN"/>
        </w:rPr>
        <w:fldChar w:fldCharType="end"/>
      </w:r>
      <w:r w:rsidR="00F56D19" w:rsidRPr="00BE516E">
        <w:rPr>
          <w:rFonts w:ascii="Times New Roman" w:hAnsi="Times New Roman" w:cs="Times New Roman"/>
          <w:sz w:val="20"/>
          <w:szCs w:val="20"/>
          <w:lang w:val="en-IN"/>
        </w:rPr>
        <w:t xml:space="preserve">. Further, the system was equilibrated in NVT followed by NPT conditions using the default protocol of Desmond. Finally, the production run was performed at 300K temperature and 1 atmospheric pressure with a time step of 2 </w:t>
      </w:r>
      <w:proofErr w:type="spellStart"/>
      <w:r w:rsidR="00F56D19" w:rsidRPr="00BE516E">
        <w:rPr>
          <w:rFonts w:ascii="Times New Roman" w:hAnsi="Times New Roman" w:cs="Times New Roman"/>
          <w:sz w:val="20"/>
          <w:szCs w:val="20"/>
          <w:lang w:val="en-IN"/>
        </w:rPr>
        <w:t>fs</w:t>
      </w:r>
      <w:proofErr w:type="spellEnd"/>
      <w:r w:rsidR="00F56D19" w:rsidRPr="00BE516E">
        <w:rPr>
          <w:rFonts w:ascii="Times New Roman" w:hAnsi="Times New Roman" w:cs="Times New Roman"/>
          <w:sz w:val="20"/>
          <w:szCs w:val="20"/>
          <w:lang w:val="en-IN"/>
        </w:rPr>
        <w:t xml:space="preserve"> for 1.5 </w:t>
      </w:r>
      <w:r w:rsidR="00F56D19" w:rsidRPr="00BE516E">
        <w:rPr>
          <w:rFonts w:ascii="Times New Roman" w:hAnsi="Times New Roman" w:cs="Times New Roman"/>
          <w:sz w:val="20"/>
          <w:szCs w:val="20"/>
          <w:lang w:val="en-IN"/>
        </w:rPr>
        <w:sym w:font="Symbol" w:char="F06D"/>
      </w:r>
      <w:r w:rsidR="00F56D19" w:rsidRPr="00BE516E">
        <w:rPr>
          <w:rFonts w:ascii="Times New Roman" w:hAnsi="Times New Roman" w:cs="Times New Roman"/>
          <w:sz w:val="20"/>
          <w:szCs w:val="20"/>
          <w:lang w:val="en-IN"/>
        </w:rPr>
        <w:t xml:space="preserve">s. The temperature and pressure of the NPT ensemble were regulated by using the Nose-Hoover Chain thermostat and </w:t>
      </w:r>
      <w:proofErr w:type="spellStart"/>
      <w:r w:rsidR="00F56D19" w:rsidRPr="00BE516E">
        <w:rPr>
          <w:rFonts w:ascii="Times New Roman" w:hAnsi="Times New Roman" w:cs="Times New Roman"/>
          <w:sz w:val="20"/>
          <w:szCs w:val="20"/>
          <w:lang w:val="en-IN"/>
        </w:rPr>
        <w:t>Martyna</w:t>
      </w:r>
      <w:proofErr w:type="spellEnd"/>
      <w:r w:rsidR="00F56D19" w:rsidRPr="00BE516E">
        <w:rPr>
          <w:rFonts w:ascii="Times New Roman" w:hAnsi="Times New Roman" w:cs="Times New Roman"/>
          <w:sz w:val="20"/>
          <w:szCs w:val="20"/>
          <w:lang w:val="en-IN"/>
        </w:rPr>
        <w:t xml:space="preserve">-Tobias-Klein </w:t>
      </w:r>
      <w:proofErr w:type="spellStart"/>
      <w:r w:rsidR="00F56D19" w:rsidRPr="00BE516E">
        <w:rPr>
          <w:rFonts w:ascii="Times New Roman" w:hAnsi="Times New Roman" w:cs="Times New Roman"/>
          <w:sz w:val="20"/>
          <w:szCs w:val="20"/>
          <w:lang w:val="en-IN"/>
        </w:rPr>
        <w:t>barostat</w:t>
      </w:r>
      <w:proofErr w:type="spellEnd"/>
      <w:r w:rsidR="00F56D19" w:rsidRPr="00BE516E">
        <w:rPr>
          <w:rFonts w:ascii="Times New Roman" w:hAnsi="Times New Roman" w:cs="Times New Roman"/>
          <w:sz w:val="20"/>
          <w:szCs w:val="20"/>
          <w:lang w:val="en-IN"/>
        </w:rPr>
        <w:t xml:space="preserve">, respectively </w:t>
      </w:r>
      <w:r w:rsidR="00F56D19" w:rsidRPr="00BE516E">
        <w:rPr>
          <w:rFonts w:ascii="Times New Roman" w:hAnsi="Times New Roman" w:cs="Times New Roman"/>
          <w:sz w:val="20"/>
          <w:szCs w:val="20"/>
          <w:lang w:val="en-IN"/>
        </w:rPr>
        <w:fldChar w:fldCharType="begin" w:fldLock="1"/>
      </w:r>
      <w:r w:rsidR="007E520B">
        <w:rPr>
          <w:rFonts w:ascii="Times New Roman" w:hAnsi="Times New Roman" w:cs="Times New Roman"/>
          <w:sz w:val="20"/>
          <w:szCs w:val="20"/>
          <w:lang w:val="en-IN"/>
        </w:rPr>
        <w:instrText>ADDIN CSL_CITATION {"citationItems":[{"id":"ITEM-1","itemData":{"DOI":"10.1063/1.447334","ISSN":"0021-9606","author":[{"dropping-particle":"","family":"Nosé","given":"Shuichi","non-dropping-particle":"","parse-names":false,"suffix":""}],"container-title":"The Journal of Chemical Physics","id":"ITEM-1","issue":"1","issued":{"date-parts":[["1984","7","1"]]},"note":"doi: 10.1063/1.447334","page":"511-519","publisher":"American Institute of Physics","title":"A unified formulation of the constant temperature molecular dynamics methods","type":"article-journal","volume":"81"},"uris":["http://www.mendeley.com/documents/?uuid=4be2924f-143c-4e2e-a10f-d341d6d11caf"]},{"id":"ITEM-2","itemData":{"DOI":"10.1063/1.467468","ISSN":"0021-9606","author":[{"dropping-particle":"","family":"Martyna","given":"Glenn J","non-dropping-particle":"","parse-names":false,"suffix":""},{"dropping-particle":"","family":"Tobias","given":"Douglas J","non-dropping-particle":"","parse-names":false,"suffix":""},{"dropping-particle":"","family":"Klein","given":"Michael L","non-dropping-particle":"","parse-names":false,"suffix":""}],"container-title":"The Journal of Chemical Physics","id":"ITEM-2","issue":"5","issued":{"date-parts":[["1994","9","1"]]},"note":"doi: 10.1063/1.467468","page":"4177-4189","publisher":"American Institute of Physics","title":"Constant pressure molecular dynamics algorithms","type":"article-journal","volume":"101"},"uris":["http://www.mendeley.com/documents/?uuid=5407a55c-9cd2-4c29-a346-99383c6bab7a"]}],"mendeley":{"formattedCitation":"[28, 29]","plainTextFormattedCitation":"[28, 29]","previouslyFormattedCitation":"[29, 30]"},"properties":{"noteIndex":0},"schema":"https://github.com/citation-style-language/schema/raw/master/csl-citation.json"}</w:instrText>
      </w:r>
      <w:r w:rsidR="00F56D19" w:rsidRPr="00BE516E">
        <w:rPr>
          <w:rFonts w:ascii="Times New Roman" w:hAnsi="Times New Roman" w:cs="Times New Roman"/>
          <w:sz w:val="20"/>
          <w:szCs w:val="20"/>
          <w:lang w:val="en-IN"/>
        </w:rPr>
        <w:fldChar w:fldCharType="separate"/>
      </w:r>
      <w:r w:rsidR="007E520B" w:rsidRPr="007E520B">
        <w:rPr>
          <w:rFonts w:ascii="Times New Roman" w:hAnsi="Times New Roman" w:cs="Times New Roman"/>
          <w:noProof/>
          <w:sz w:val="20"/>
          <w:szCs w:val="20"/>
          <w:lang w:val="en-IN"/>
        </w:rPr>
        <w:t>[28, 29]</w:t>
      </w:r>
      <w:r w:rsidR="00F56D19" w:rsidRPr="00BE516E">
        <w:rPr>
          <w:rFonts w:ascii="Times New Roman" w:hAnsi="Times New Roman" w:cs="Times New Roman"/>
          <w:sz w:val="20"/>
          <w:szCs w:val="20"/>
          <w:lang w:val="en-IN"/>
        </w:rPr>
        <w:fldChar w:fldCharType="end"/>
      </w:r>
      <w:r w:rsidR="00F56D19" w:rsidRPr="00BE516E">
        <w:rPr>
          <w:rFonts w:ascii="Times New Roman" w:hAnsi="Times New Roman" w:cs="Times New Roman"/>
          <w:sz w:val="20"/>
          <w:szCs w:val="20"/>
          <w:lang w:val="en-IN"/>
        </w:rPr>
        <w:t xml:space="preserve">. The RESPA integrator was used for integrating the equations of motion </w:t>
      </w:r>
      <w:r w:rsidR="00F56D19" w:rsidRPr="00BE516E">
        <w:rPr>
          <w:rFonts w:ascii="Times New Roman" w:hAnsi="Times New Roman" w:cs="Times New Roman"/>
          <w:sz w:val="20"/>
          <w:szCs w:val="20"/>
          <w:lang w:val="en-IN"/>
        </w:rPr>
        <w:fldChar w:fldCharType="begin" w:fldLock="1"/>
      </w:r>
      <w:r w:rsidR="007E520B">
        <w:rPr>
          <w:rFonts w:ascii="Times New Roman" w:hAnsi="Times New Roman" w:cs="Times New Roman"/>
          <w:sz w:val="20"/>
          <w:szCs w:val="20"/>
          <w:lang w:val="en-IN"/>
        </w:rPr>
        <w:instrText>ADDIN CSL_CITATION {"citationItems":[{"id":"ITEM-1","itemData":{"DOI":"10.1063/1.463137","ISSN":"0021-9606","author":[{"dropping-particle":"","family":"Tuckerman","given":"M","non-dropping-particle":"","parse-names":false,"suffix":""},{"dropping-particle":"","family":"Berne","given":"B J","non-dropping-particle":"","parse-names":false,"suffix":""},{"dropping-particle":"","family":"Martyna","given":"G J","non-dropping-particle":"","parse-names":false,"suffix":""}],"container-title":"The Journal of Chemical Physics","id":"ITEM-1","issue":"3","issued":{"date-parts":[["1992","8","1"]]},"note":"doi: 10.1063/1.463137","page":"1990-2001","publisher":"American Institute of Physics","title":"Reversible multiple time scale molecular dynamics","type":"article-journal","volume":"97"},"uris":["http://www.mendeley.com/documents/?uuid=7ec70db7-b1fa-4493-aae0-229d63df47ec"]}],"mendeley":{"formattedCitation":"[30]","plainTextFormattedCitation":"[30]","previouslyFormattedCitation":"[31]"},"properties":{"noteIndex":0},"schema":"https://github.com/citation-style-language/schema/raw/master/csl-citation.json"}</w:instrText>
      </w:r>
      <w:r w:rsidR="00F56D19" w:rsidRPr="00BE516E">
        <w:rPr>
          <w:rFonts w:ascii="Times New Roman" w:hAnsi="Times New Roman" w:cs="Times New Roman"/>
          <w:sz w:val="20"/>
          <w:szCs w:val="20"/>
          <w:lang w:val="en-IN"/>
        </w:rPr>
        <w:fldChar w:fldCharType="separate"/>
      </w:r>
      <w:r w:rsidR="007E520B" w:rsidRPr="007E520B">
        <w:rPr>
          <w:rFonts w:ascii="Times New Roman" w:hAnsi="Times New Roman" w:cs="Times New Roman"/>
          <w:noProof/>
          <w:sz w:val="20"/>
          <w:szCs w:val="20"/>
          <w:lang w:val="en-IN"/>
        </w:rPr>
        <w:t>[30]</w:t>
      </w:r>
      <w:r w:rsidR="00F56D19" w:rsidRPr="00BE516E">
        <w:rPr>
          <w:rFonts w:ascii="Times New Roman" w:hAnsi="Times New Roman" w:cs="Times New Roman"/>
          <w:sz w:val="20"/>
          <w:szCs w:val="20"/>
          <w:lang w:val="en-IN"/>
        </w:rPr>
        <w:fldChar w:fldCharType="end"/>
      </w:r>
      <w:r w:rsidR="00F56D19" w:rsidRPr="00BE516E">
        <w:rPr>
          <w:rFonts w:ascii="Times New Roman" w:hAnsi="Times New Roman" w:cs="Times New Roman"/>
          <w:sz w:val="20"/>
          <w:szCs w:val="20"/>
          <w:lang w:val="en-IN"/>
        </w:rPr>
        <w:t>.</w:t>
      </w:r>
    </w:p>
    <w:p w:rsidR="00B90C4A" w:rsidRPr="00BE516E" w:rsidRDefault="00B90C4A" w:rsidP="00B90C4A">
      <w:pPr>
        <w:jc w:val="both"/>
        <w:rPr>
          <w:rFonts w:ascii="Times New Roman" w:hAnsi="Times New Roman" w:cs="Times New Roman"/>
          <w:sz w:val="20"/>
          <w:szCs w:val="20"/>
        </w:rPr>
      </w:pPr>
      <w:r w:rsidRPr="00BE516E">
        <w:rPr>
          <w:rFonts w:ascii="Times New Roman" w:hAnsi="Times New Roman" w:cs="Times New Roman"/>
          <w:sz w:val="20"/>
          <w:szCs w:val="20"/>
        </w:rPr>
        <w:t>COCCOCCOC(CCC(C)(C#N)CC(C)(CC(C)(CC(C)(CC(C)(CC(C)(CC(C)(CC(C)(CC(C)(CC(C)(CC(SC(SCCCCCCCCCCCC)=S)(C)C(OCCOC(C(NC(C(C(C)C)NC(C(CC(C)C)[NH3+])=O)=O)CC1=CC=CC=C1)=O)=O)C(OCCOC(C(NC(C(C(C)C)NC(C(CC(C)C)[NH3+])=O)=O)CC2=CC=CC=C2)=O)=O)C(OCCOC(C(NC(C(C(C)C)NC(C(CC(C)C)[NH3+])=O)=O)CC3=CC=CC=C3)=O)=O)C(OCCOC(C(NC(C(C(C)C)NC(C(CC(C)C)[NH3+])=O)=O)CC4=CC=CC=C4)=O)=O)C(OCCOC(C(NC(C(C(C)C)NC(C(CC(C)C)[NH3+])=O)=O)CC5=CC=CC=C5)=O)=O)C(OCCOC(C(NC(C(C(C)C)NC(C(CC(C)C)[NH3+])=O)=O)CC6=CC=CC=C6)=O)=O)C(OCCOC(C(NC(C(C(C)C)NC(C(CC(C)C)[NH3+])=O)=O)CC7=CC=CC=C7)=O)=O)C(OCCOC(C(NC(C(C(C)C)NC(C(CC(C)C)[NH3+])=O)=O)CC8=CC=CC=C8)=O)=O)C(OCCOC(C(NC(C(C(C)C)NC(C(CC(C)C)[NH3+])=O)=O)CC9=CC=CC=C9)=O)=O)C(OCCOC(C(NC(C(C(C)C)NC(C(CC(C)C)[NH3+])=O)=O)CC%10=CC=CC=C%10)=O)=O)=O</w:t>
      </w:r>
    </w:p>
    <w:p w:rsidR="0004260F" w:rsidRDefault="00664826" w:rsidP="00871458">
      <w:pPr>
        <w:spacing w:before="100" w:beforeAutospacing="1" w:after="100" w:afterAutospacing="1" w:line="360" w:lineRule="auto"/>
        <w:jc w:val="both"/>
        <w:rPr>
          <w:rFonts w:ascii="Times New Roman" w:hAnsi="Times New Roman" w:cs="Times New Roman"/>
          <w:sz w:val="20"/>
          <w:szCs w:val="20"/>
        </w:rPr>
      </w:pPr>
      <w:r>
        <w:rPr>
          <w:rFonts w:ascii="Times New Roman" w:hAnsi="Times New Roman" w:cs="Times New Roman"/>
          <w:b/>
          <w:sz w:val="20"/>
          <w:szCs w:val="20"/>
        </w:rPr>
        <w:lastRenderedPageBreak/>
        <w:t>Fig S10</w:t>
      </w:r>
      <w:r w:rsidR="00B90C4A" w:rsidRPr="00BE516E">
        <w:rPr>
          <w:rFonts w:ascii="Times New Roman" w:hAnsi="Times New Roman" w:cs="Times New Roman"/>
          <w:b/>
          <w:sz w:val="20"/>
          <w:szCs w:val="20"/>
        </w:rPr>
        <w:t>:</w:t>
      </w:r>
      <w:r w:rsidR="00B90C4A" w:rsidRPr="00BE516E">
        <w:rPr>
          <w:rFonts w:ascii="Times New Roman" w:hAnsi="Times New Roman" w:cs="Times New Roman"/>
          <w:sz w:val="20"/>
          <w:szCs w:val="20"/>
        </w:rPr>
        <w:t xml:space="preserve"> The smile formula of the </w:t>
      </w:r>
      <w:proofErr w:type="spellStart"/>
      <w:r w:rsidR="00B90C4A" w:rsidRPr="00BE516E">
        <w:rPr>
          <w:rFonts w:ascii="Times New Roman" w:hAnsi="Times New Roman" w:cs="Times New Roman"/>
          <w:sz w:val="20"/>
          <w:szCs w:val="20"/>
        </w:rPr>
        <w:t>PEGylated</w:t>
      </w:r>
      <w:proofErr w:type="spellEnd"/>
      <w:r w:rsidR="00B90C4A" w:rsidRPr="00BE516E">
        <w:rPr>
          <w:rFonts w:ascii="Times New Roman" w:hAnsi="Times New Roman" w:cs="Times New Roman"/>
          <w:sz w:val="20"/>
          <w:szCs w:val="20"/>
        </w:rPr>
        <w:t xml:space="preserve"> block copolymer with 113 units of PEG attached at a stretch and to this 10 units of side chain </w:t>
      </w:r>
      <w:proofErr w:type="spellStart"/>
      <w:r w:rsidR="00B90C4A" w:rsidRPr="00BE516E">
        <w:rPr>
          <w:rFonts w:ascii="Times New Roman" w:hAnsi="Times New Roman" w:cs="Times New Roman"/>
          <w:sz w:val="20"/>
          <w:szCs w:val="20"/>
        </w:rPr>
        <w:t>tripeptide</w:t>
      </w:r>
      <w:proofErr w:type="spellEnd"/>
      <w:r w:rsidR="00B90C4A" w:rsidRPr="00BE516E">
        <w:rPr>
          <w:rFonts w:ascii="Times New Roman" w:hAnsi="Times New Roman" w:cs="Times New Roman"/>
          <w:sz w:val="20"/>
          <w:szCs w:val="20"/>
        </w:rPr>
        <w:t xml:space="preserve"> </w:t>
      </w:r>
      <w:proofErr w:type="spellStart"/>
      <w:r w:rsidR="00B90C4A" w:rsidRPr="00BE516E">
        <w:rPr>
          <w:rFonts w:ascii="Times New Roman" w:hAnsi="Times New Roman" w:cs="Times New Roman"/>
          <w:sz w:val="20"/>
          <w:szCs w:val="20"/>
        </w:rPr>
        <w:t>viz</w:t>
      </w:r>
      <w:proofErr w:type="spellEnd"/>
      <w:r w:rsidR="00B90C4A" w:rsidRPr="00BE516E">
        <w:rPr>
          <w:rFonts w:ascii="Times New Roman" w:hAnsi="Times New Roman" w:cs="Times New Roman"/>
          <w:sz w:val="20"/>
          <w:szCs w:val="20"/>
        </w:rPr>
        <w:t xml:space="preserve"> “LVF” are attached via a chain transfer reagent CDP (4-Cyano-4-[(</w:t>
      </w:r>
      <w:proofErr w:type="spellStart"/>
      <w:r w:rsidR="00B90C4A" w:rsidRPr="00BE516E">
        <w:rPr>
          <w:rFonts w:ascii="Times New Roman" w:hAnsi="Times New Roman" w:cs="Times New Roman"/>
          <w:sz w:val="20"/>
          <w:szCs w:val="20"/>
        </w:rPr>
        <w:t>dodecylsulfanylthiocarbonyl</w:t>
      </w:r>
      <w:proofErr w:type="spellEnd"/>
      <w:r w:rsidR="00B90C4A" w:rsidRPr="00BE516E">
        <w:rPr>
          <w:rFonts w:ascii="Times New Roman" w:hAnsi="Times New Roman" w:cs="Times New Roman"/>
          <w:sz w:val="20"/>
          <w:szCs w:val="20"/>
        </w:rPr>
        <w:t>)</w:t>
      </w:r>
      <w:proofErr w:type="spellStart"/>
      <w:r w:rsidR="00B90C4A" w:rsidRPr="00BE516E">
        <w:rPr>
          <w:rFonts w:ascii="Times New Roman" w:hAnsi="Times New Roman" w:cs="Times New Roman"/>
          <w:sz w:val="20"/>
          <w:szCs w:val="20"/>
        </w:rPr>
        <w:t>sulfanyl</w:t>
      </w:r>
      <w:proofErr w:type="spellEnd"/>
      <w:r w:rsidR="00B90C4A" w:rsidRPr="00BE516E">
        <w:rPr>
          <w:rFonts w:ascii="Times New Roman" w:hAnsi="Times New Roman" w:cs="Times New Roman"/>
          <w:sz w:val="20"/>
          <w:szCs w:val="20"/>
        </w:rPr>
        <w:t xml:space="preserve">] </w:t>
      </w:r>
      <w:proofErr w:type="spellStart"/>
      <w:r w:rsidR="00B90C4A" w:rsidRPr="00BE516E">
        <w:rPr>
          <w:rFonts w:ascii="Times New Roman" w:hAnsi="Times New Roman" w:cs="Times New Roman"/>
          <w:sz w:val="20"/>
          <w:szCs w:val="20"/>
        </w:rPr>
        <w:t>pentanoic</w:t>
      </w:r>
      <w:proofErr w:type="spellEnd"/>
      <w:r w:rsidR="00B90C4A" w:rsidRPr="00BE516E">
        <w:rPr>
          <w:rFonts w:ascii="Times New Roman" w:hAnsi="Times New Roman" w:cs="Times New Roman"/>
          <w:sz w:val="20"/>
          <w:szCs w:val="20"/>
        </w:rPr>
        <w:t xml:space="preserve"> acid).</w:t>
      </w:r>
    </w:p>
    <w:p w:rsidR="008E5B8F" w:rsidRPr="00BE516E" w:rsidRDefault="008E5B8F" w:rsidP="0036578C">
      <w:pPr>
        <w:spacing w:after="120" w:line="240" w:lineRule="auto"/>
        <w:jc w:val="both"/>
        <w:rPr>
          <w:rFonts w:ascii="Times New Roman" w:hAnsi="Times New Roman" w:cs="Times New Roman"/>
          <w:sz w:val="20"/>
          <w:szCs w:val="20"/>
        </w:rPr>
      </w:pPr>
    </w:p>
    <w:p w:rsidR="008E5B8F" w:rsidRDefault="004660B6" w:rsidP="008E5B8F">
      <w:pPr>
        <w:widowControl w:val="0"/>
        <w:autoSpaceDE w:val="0"/>
        <w:autoSpaceDN w:val="0"/>
        <w:adjustRightInd w:val="0"/>
        <w:spacing w:before="100" w:after="100" w:line="360" w:lineRule="auto"/>
        <w:ind w:left="480" w:hanging="480"/>
        <w:rPr>
          <w:rFonts w:ascii="Times New Roman" w:eastAsia="Calibri" w:hAnsi="Times New Roman" w:cs="Times New Roman"/>
          <w:b/>
          <w:sz w:val="20"/>
          <w:szCs w:val="20"/>
        </w:rPr>
      </w:pPr>
      <w:r w:rsidRPr="00BE516E">
        <w:rPr>
          <w:rFonts w:ascii="Times New Roman" w:eastAsia="Calibri" w:hAnsi="Times New Roman" w:cs="Times New Roman"/>
          <w:b/>
          <w:sz w:val="20"/>
          <w:szCs w:val="20"/>
        </w:rPr>
        <w:t>References</w:t>
      </w:r>
    </w:p>
    <w:p w:rsidR="007E520B" w:rsidRPr="007E520B" w:rsidRDefault="00D02C8D"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BE516E">
        <w:rPr>
          <w:rFonts w:ascii="Times New Roman" w:eastAsia="Calibri" w:hAnsi="Times New Roman" w:cs="Times New Roman"/>
          <w:b/>
          <w:sz w:val="20"/>
          <w:szCs w:val="20"/>
        </w:rPr>
        <w:fldChar w:fldCharType="begin" w:fldLock="1"/>
      </w:r>
      <w:r w:rsidR="004660B6" w:rsidRPr="00BE516E">
        <w:rPr>
          <w:rFonts w:ascii="Times New Roman" w:eastAsia="Calibri" w:hAnsi="Times New Roman" w:cs="Times New Roman"/>
          <w:b/>
          <w:sz w:val="20"/>
          <w:szCs w:val="20"/>
        </w:rPr>
        <w:instrText xml:space="preserve">ADDIN Mendeley Bibliography CSL_BIBLIOGRAPHY </w:instrText>
      </w:r>
      <w:r w:rsidRPr="00BE516E">
        <w:rPr>
          <w:rFonts w:ascii="Times New Roman" w:eastAsia="Calibri" w:hAnsi="Times New Roman" w:cs="Times New Roman"/>
          <w:b/>
          <w:sz w:val="20"/>
          <w:szCs w:val="20"/>
        </w:rPr>
        <w:fldChar w:fldCharType="separate"/>
      </w:r>
      <w:r w:rsidR="007E520B" w:rsidRPr="007E520B">
        <w:rPr>
          <w:rFonts w:ascii="Times New Roman" w:hAnsi="Times New Roman" w:cs="Times New Roman"/>
          <w:noProof/>
          <w:sz w:val="20"/>
          <w:szCs w:val="24"/>
        </w:rPr>
        <w:t xml:space="preserve">1. </w:t>
      </w:r>
      <w:r w:rsidR="007E520B" w:rsidRPr="007E520B">
        <w:rPr>
          <w:rFonts w:ascii="Times New Roman" w:hAnsi="Times New Roman" w:cs="Times New Roman"/>
          <w:noProof/>
          <w:sz w:val="20"/>
          <w:szCs w:val="24"/>
        </w:rPr>
        <w:tab/>
        <w:t>Kumar S, Roy SG, De P (2012) Cationic methacrylate polymers containing chiral amino acid moieties: controlled synthesis via RAFT polymerization. Polym Chem 3:1239–1248</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2. </w:t>
      </w:r>
      <w:r w:rsidRPr="007E520B">
        <w:rPr>
          <w:rFonts w:ascii="Times New Roman" w:hAnsi="Times New Roman" w:cs="Times New Roman"/>
          <w:noProof/>
          <w:sz w:val="20"/>
          <w:szCs w:val="24"/>
        </w:rPr>
        <w:tab/>
        <w:t>Som Chaudhury S, Sannigrahi A, Nandi M, et al (2019) A Novel PEGylated Block Copolymer in New Age Therapeutics for Alzheimer’s Disease. Mol Neurobiol 56:6551–6565. https://doi.org/10.1007/s12035-019-1542-1</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3. </w:t>
      </w:r>
      <w:r w:rsidRPr="007E520B">
        <w:rPr>
          <w:rFonts w:ascii="Times New Roman" w:hAnsi="Times New Roman" w:cs="Times New Roman"/>
          <w:noProof/>
          <w:sz w:val="20"/>
          <w:szCs w:val="24"/>
        </w:rPr>
        <w:tab/>
        <w:t>Kumar S, Acharya R, Chatterji U, De P (2014) Controlled synthesis of β-sheet polymers based on side-chain amyloidogenic short peptide segments via RAFT polymerization. Polym Chem 5:6039–6050. https://doi.org/10.1039/C4PY00620H</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4. </w:t>
      </w:r>
      <w:r w:rsidRPr="007E520B">
        <w:rPr>
          <w:rFonts w:ascii="Times New Roman" w:hAnsi="Times New Roman" w:cs="Times New Roman"/>
          <w:noProof/>
          <w:sz w:val="20"/>
          <w:szCs w:val="24"/>
        </w:rPr>
        <w:tab/>
        <w:t>Kumar S, Maiti B, De P (2015) Carbohydrate-Conjugated Amino Acid-Based Fluorescent Block Copolymers: Their Self-Assembly, pH Responsiveness, and/or Lectin Recognition. Langmuir 31:9422–9431. https://doi.org/10.1021/acs.langmuir.5b02245</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5. </w:t>
      </w:r>
      <w:r w:rsidRPr="007E520B">
        <w:rPr>
          <w:rFonts w:ascii="Times New Roman" w:hAnsi="Times New Roman" w:cs="Times New Roman"/>
          <w:noProof/>
          <w:sz w:val="20"/>
          <w:szCs w:val="24"/>
        </w:rPr>
        <w:tab/>
        <w:t>Nandi M, Maiti B, Srikanth K, De P (2017) Supramolecular Interaction-Assisted Fluorescence and Tunable Stimuli-Responsiveness of l-Phenylalanine-Based Polymers. Langmuir 33:10588–10597. https://doi.org/10.1021/acs.langmuir.7b02431</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6. </w:t>
      </w:r>
      <w:r w:rsidRPr="007E520B">
        <w:rPr>
          <w:rFonts w:ascii="Times New Roman" w:hAnsi="Times New Roman" w:cs="Times New Roman"/>
          <w:noProof/>
          <w:sz w:val="20"/>
          <w:szCs w:val="24"/>
        </w:rPr>
        <w:tab/>
        <w:t>OECD (2009) Test No. 403: Acute Inhalation Toxicity</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7. </w:t>
      </w:r>
      <w:r w:rsidRPr="007E520B">
        <w:rPr>
          <w:rFonts w:ascii="Times New Roman" w:hAnsi="Times New Roman" w:cs="Times New Roman"/>
          <w:noProof/>
          <w:sz w:val="20"/>
          <w:szCs w:val="24"/>
        </w:rPr>
        <w:tab/>
        <w:t>Veerendra Kumar MH, Gupta YK (2002) Intracerebroventricular administration of colchicine produces cognitive impairment  associated with oxidative stress in rats. Pharmacol Biochem Behav 73:565–571. https://doi.org/10.1016/s0091-3057(02)00838-9</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8. </w:t>
      </w:r>
      <w:r w:rsidRPr="007E520B">
        <w:rPr>
          <w:rFonts w:ascii="Times New Roman" w:hAnsi="Times New Roman" w:cs="Times New Roman"/>
          <w:noProof/>
          <w:sz w:val="20"/>
          <w:szCs w:val="24"/>
        </w:rPr>
        <w:tab/>
        <w:t>Paxinos G, Watson CRR, Emson PC (1980) AChE-stained horizontal sections of the rat brain in stereotaxic coordinates. J Neurosci Methods 3:129–149. https://doi.org/https://doi.org/10.1016/0165-0270(80)90021-7</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9. </w:t>
      </w:r>
      <w:r w:rsidRPr="007E520B">
        <w:rPr>
          <w:rFonts w:ascii="Times New Roman" w:hAnsi="Times New Roman" w:cs="Times New Roman"/>
          <w:noProof/>
          <w:sz w:val="20"/>
          <w:szCs w:val="24"/>
        </w:rPr>
        <w:tab/>
        <w:t>Cheng Y-S, Chen Z-T, Liao T-Y, et al (2017) An intranasally delivered peptide drug ameliorates cognitive decline in Alzheimer transgenic mice. EMBO Mol Med 9:703–715. https://doi.org/10.15252/emmm.201606666</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10. </w:t>
      </w:r>
      <w:r w:rsidRPr="007E520B">
        <w:rPr>
          <w:rFonts w:ascii="Times New Roman" w:hAnsi="Times New Roman" w:cs="Times New Roman"/>
          <w:noProof/>
          <w:sz w:val="20"/>
          <w:szCs w:val="24"/>
        </w:rPr>
        <w:tab/>
        <w:t>Xing Y, Hou J, Meng Q, et al (2015) Novel antidepressant candidate RO-05 modulated glucocorticoid receptors activation and FKBP5 expression in chronic mild stress model in rats. Neuroscience 290:255–265. https://doi.org/https://doi.org/10.1016/j.neuroscience.2015.01.044</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11. </w:t>
      </w:r>
      <w:r w:rsidRPr="007E520B">
        <w:rPr>
          <w:rFonts w:ascii="Times New Roman" w:hAnsi="Times New Roman" w:cs="Times New Roman"/>
          <w:noProof/>
          <w:sz w:val="20"/>
          <w:szCs w:val="24"/>
        </w:rPr>
        <w:tab/>
        <w:t>Davenport JW, Hagquist WW, Rankin GR (1970) The symmetrical maze: An automated closed-field test series for rats. Behav Res Methods Instrum 2:112–118. https://doi.org/10.3758/BF03211017</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lastRenderedPageBreak/>
        <w:t xml:space="preserve">12. </w:t>
      </w:r>
      <w:r w:rsidRPr="007E520B">
        <w:rPr>
          <w:rFonts w:ascii="Times New Roman" w:hAnsi="Times New Roman" w:cs="Times New Roman"/>
          <w:noProof/>
          <w:sz w:val="20"/>
          <w:szCs w:val="24"/>
        </w:rPr>
        <w:tab/>
        <w:t xml:space="preserve">Lee G-Y, Lee C, Park GH, Jang J-H (2017) Amelioration of Scopolamine-Induced Learning and Memory Impairment by </w:t>
      </w:r>
      <w:r w:rsidRPr="007E520B">
        <w:rPr>
          <w:rFonts w:ascii="Times New Roman" w:hAnsi="Times New Roman" w:cs="Times New Roman"/>
          <w:i/>
          <w:iCs/>
          <w:noProof/>
          <w:sz w:val="20"/>
          <w:szCs w:val="24"/>
        </w:rPr>
        <w:t>α</w:t>
      </w:r>
      <w:r w:rsidRPr="007E520B">
        <w:rPr>
          <w:rFonts w:ascii="Times New Roman" w:hAnsi="Times New Roman" w:cs="Times New Roman"/>
          <w:noProof/>
          <w:sz w:val="20"/>
          <w:szCs w:val="24"/>
        </w:rPr>
        <w:t>-Pinene in C57BL/6 Mice. Evidence-Based Complement Altern Med 2017:4926815. https://doi.org/10.1155/2017/4926815</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13. </w:t>
      </w:r>
      <w:r w:rsidRPr="007E520B">
        <w:rPr>
          <w:rFonts w:ascii="Times New Roman" w:hAnsi="Times New Roman" w:cs="Times New Roman"/>
          <w:noProof/>
          <w:sz w:val="20"/>
          <w:szCs w:val="24"/>
        </w:rPr>
        <w:tab/>
        <w:t>Sharma AC, Kulkarni SK (1992) Evaluation of learning and memory mechanisms employing elevated plus-maze in rats and mice. Prog Neuro-Psychopharmacology Biol Psychiatry 16:117–125. https://doi.org/https://doi.org/10.1016/0278-5846(92)90014-6</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14. </w:t>
      </w:r>
      <w:r w:rsidRPr="007E520B">
        <w:rPr>
          <w:rFonts w:ascii="Times New Roman" w:hAnsi="Times New Roman" w:cs="Times New Roman"/>
          <w:noProof/>
          <w:sz w:val="20"/>
          <w:szCs w:val="24"/>
        </w:rPr>
        <w:tab/>
        <w:t>Gupta R, Gupta LK, Mediratta PK, Bhattacharya SK (2012) Effect of resveratrol on scopolamine-induced cognitive impairment in mice. Pharmacol Reports 64:438–444. https://doi.org/10.1016/S1734-1140(12)70785-5</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15. </w:t>
      </w:r>
      <w:r w:rsidRPr="007E520B">
        <w:rPr>
          <w:rFonts w:ascii="Times New Roman" w:hAnsi="Times New Roman" w:cs="Times New Roman"/>
          <w:noProof/>
          <w:sz w:val="20"/>
          <w:szCs w:val="24"/>
        </w:rPr>
        <w:tab/>
        <w:t>Zhang L, Fang Y, Lian Y, et al (2015) Brain-Derived Neurotrophic Factor Ameliorates Learning Deficits in a Rat Model of Alzheimer’s Disease Induced by Aβ1-42. PLoS One 10:e0122415</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16. </w:t>
      </w:r>
      <w:r w:rsidRPr="007E520B">
        <w:rPr>
          <w:rFonts w:ascii="Times New Roman" w:hAnsi="Times New Roman" w:cs="Times New Roman"/>
          <w:noProof/>
          <w:sz w:val="20"/>
          <w:szCs w:val="24"/>
        </w:rPr>
        <w:tab/>
        <w:t>Ellman GL, Courtney KD, Andres V, Featherstone RM (1961) A new and rapid colorimetric determination of acetylcholinesterase activity. Biochem Pharmacol 7:88–95. https://doi.org/https://doi.org/10.1016/0006-2952(61)90145-9</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17. </w:t>
      </w:r>
      <w:r w:rsidRPr="007E520B">
        <w:rPr>
          <w:rFonts w:ascii="Times New Roman" w:hAnsi="Times New Roman" w:cs="Times New Roman"/>
          <w:noProof/>
          <w:sz w:val="20"/>
          <w:szCs w:val="24"/>
        </w:rPr>
        <w:tab/>
        <w:t>Buege JA, Aust SD (1978) Microsomal lipid peroxidation. Methods Enzymol 52:302–310. https://doi.org/10.1016/s0076-6879(78)52032-6</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18. </w:t>
      </w:r>
      <w:r w:rsidRPr="007E520B">
        <w:rPr>
          <w:rFonts w:ascii="Times New Roman" w:hAnsi="Times New Roman" w:cs="Times New Roman"/>
          <w:noProof/>
          <w:sz w:val="20"/>
          <w:szCs w:val="24"/>
        </w:rPr>
        <w:tab/>
        <w:t>Ellman GL (1959) Tissue sulfhydryl groups. Arch Biochem Biophys 82:70–77. https://doi.org/10.1016/0003-9861(59)90090-6</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19. </w:t>
      </w:r>
      <w:r w:rsidRPr="007E520B">
        <w:rPr>
          <w:rFonts w:ascii="Times New Roman" w:hAnsi="Times New Roman" w:cs="Times New Roman"/>
          <w:noProof/>
          <w:sz w:val="20"/>
          <w:szCs w:val="24"/>
        </w:rPr>
        <w:tab/>
        <w:t>Sharma P, Tripathi A, Tripathi PN, et al (2019) Design and development of multitarget-directed N-Benzylpiperidine analogs as potential candidates for the treatment of Alzheimer’s disease. Eur J Med Chem 167:510–524. https://doi.org/https://doi.org/10.1016/j.ejmech.2019.02.030</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20. </w:t>
      </w:r>
      <w:r w:rsidRPr="007E520B">
        <w:rPr>
          <w:rFonts w:ascii="Times New Roman" w:hAnsi="Times New Roman" w:cs="Times New Roman"/>
          <w:noProof/>
          <w:sz w:val="20"/>
          <w:szCs w:val="24"/>
        </w:rPr>
        <w:tab/>
        <w:t>Liu Y, Wu Y-M, Yu Y, et al (2015) Curcumin and resveratrol in combination modulate drug-metabolizing enzymes as well as antioxidant indices during lung carcinogenesis in mice. Hum Exp Toxicol 34:620–627. https://doi.org/10.1177/0960327114551396</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21. </w:t>
      </w:r>
      <w:r w:rsidRPr="007E520B">
        <w:rPr>
          <w:rFonts w:ascii="Times New Roman" w:hAnsi="Times New Roman" w:cs="Times New Roman"/>
          <w:noProof/>
          <w:sz w:val="20"/>
          <w:szCs w:val="24"/>
        </w:rPr>
        <w:tab/>
        <w:t>Amri F, Ghouili I, Amri M, et al (2017) Neuroglobin protects astroglial cells from hydrogen peroxide-induced oxidative stress and apoptotic cell death. J Neurochem 140:151–169. https://doi.org/https://doi.org/10.1111/jnc.13876</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22. </w:t>
      </w:r>
      <w:r w:rsidRPr="007E520B">
        <w:rPr>
          <w:rFonts w:ascii="Times New Roman" w:hAnsi="Times New Roman" w:cs="Times New Roman"/>
          <w:noProof/>
          <w:sz w:val="20"/>
          <w:szCs w:val="24"/>
        </w:rPr>
        <w:tab/>
        <w:t>Ruidas B, Sur TK, Pal K, et al (2020) Herbometallic nano-drug inducing metastatic growth inhibition in breast cancer  through intracellular energy depletion. Mol Biol Rep 47:3745–3763. https://doi.org/10.1007/s11033-020-05467-7</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23. </w:t>
      </w:r>
      <w:r w:rsidRPr="007E520B">
        <w:rPr>
          <w:rFonts w:ascii="Times New Roman" w:hAnsi="Times New Roman" w:cs="Times New Roman"/>
          <w:noProof/>
          <w:sz w:val="20"/>
          <w:szCs w:val="24"/>
        </w:rPr>
        <w:tab/>
        <w:t>Bowers KJ, Chow DE, Xu H, et al (2006) Scalable Algorithms for Molecular Dynamics Simulations on Commodity Clusters. In: SC ’06: Proceedings of the 2006 ACM/IEEE Conference on Supercomputing. p 43</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24. </w:t>
      </w:r>
      <w:r w:rsidRPr="007E520B">
        <w:rPr>
          <w:rFonts w:ascii="Times New Roman" w:hAnsi="Times New Roman" w:cs="Times New Roman"/>
          <w:noProof/>
          <w:sz w:val="20"/>
          <w:szCs w:val="24"/>
        </w:rPr>
        <w:tab/>
        <w:t xml:space="preserve">Jorgensen WL, Maxwell DS, Tirado-Rives J (1996) Development and Testing of the OPLS All-Atom Force Field on Conformational Energetics and Properties of Organic Liquids. J Am Chem Soc 118:11225–11236. </w:t>
      </w:r>
      <w:r w:rsidRPr="007E520B">
        <w:rPr>
          <w:rFonts w:ascii="Times New Roman" w:hAnsi="Times New Roman" w:cs="Times New Roman"/>
          <w:noProof/>
          <w:sz w:val="20"/>
          <w:szCs w:val="24"/>
        </w:rPr>
        <w:lastRenderedPageBreak/>
        <w:t>https://doi.org/10.1021/ja9621760</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25. </w:t>
      </w:r>
      <w:r w:rsidRPr="007E520B">
        <w:rPr>
          <w:rFonts w:ascii="Times New Roman" w:hAnsi="Times New Roman" w:cs="Times New Roman"/>
          <w:noProof/>
          <w:sz w:val="20"/>
          <w:szCs w:val="24"/>
        </w:rPr>
        <w:tab/>
        <w:t>Kaminski GA, Friesner RA, Tirado-Rives J, Jorgensen WL (2001) Evaluation and Reparametrization of the OPLS-AA Force Field for Proteins via Comparison with Accurate Quantum Chemical Calculations on Peptides. J Phys Chem B 105:6474–6487. https://doi.org/10.1021/jp003919d</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26. </w:t>
      </w:r>
      <w:r w:rsidRPr="007E520B">
        <w:rPr>
          <w:rFonts w:ascii="Times New Roman" w:hAnsi="Times New Roman" w:cs="Times New Roman"/>
          <w:noProof/>
          <w:sz w:val="20"/>
          <w:szCs w:val="24"/>
        </w:rPr>
        <w:tab/>
        <w:t>Mark P, Nilsson L (2001) Structure and Dynamics of the TIP3P, SPC, and SPC/E Water Models at 298 K. J Phys Chem A 105:9954–9960. https://doi.org/10.1021/jp003020w</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27. </w:t>
      </w:r>
      <w:r w:rsidRPr="007E520B">
        <w:rPr>
          <w:rFonts w:ascii="Times New Roman" w:hAnsi="Times New Roman" w:cs="Times New Roman"/>
          <w:noProof/>
          <w:sz w:val="20"/>
          <w:szCs w:val="24"/>
        </w:rPr>
        <w:tab/>
        <w:t>Saputro DRS, Widyaningsih P (2017) Limited memory Broyden-Fletcher-Goldfarb-Shanno (L-BFGS) method for the parameter estimation on geographically weighted ordinal logistic regression model (GWOLR). AIP Conf Proc 1868:40009. https://doi.org/10.1063/1.4995124</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28. </w:t>
      </w:r>
      <w:r w:rsidRPr="007E520B">
        <w:rPr>
          <w:rFonts w:ascii="Times New Roman" w:hAnsi="Times New Roman" w:cs="Times New Roman"/>
          <w:noProof/>
          <w:sz w:val="20"/>
          <w:szCs w:val="24"/>
        </w:rPr>
        <w:tab/>
        <w:t>Nosé S (1984) A unified formulation of the constant temperature molecular dynamics methods. J Chem Phys 81:511–519. https://doi.org/10.1063/1.447334</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szCs w:val="24"/>
        </w:rPr>
      </w:pPr>
      <w:r w:rsidRPr="007E520B">
        <w:rPr>
          <w:rFonts w:ascii="Times New Roman" w:hAnsi="Times New Roman" w:cs="Times New Roman"/>
          <w:noProof/>
          <w:sz w:val="20"/>
          <w:szCs w:val="24"/>
        </w:rPr>
        <w:t xml:space="preserve">29. </w:t>
      </w:r>
      <w:r w:rsidRPr="007E520B">
        <w:rPr>
          <w:rFonts w:ascii="Times New Roman" w:hAnsi="Times New Roman" w:cs="Times New Roman"/>
          <w:noProof/>
          <w:sz w:val="20"/>
          <w:szCs w:val="24"/>
        </w:rPr>
        <w:tab/>
        <w:t>Martyna GJ, Tobias DJ, Klein ML (1994) Constant pressure molecular dynamics algorithms. J Chem Phys 101:4177–4189. https://doi.org/10.1063/1.467468</w:t>
      </w:r>
    </w:p>
    <w:p w:rsidR="007E520B" w:rsidRPr="007E520B" w:rsidRDefault="007E520B" w:rsidP="007E520B">
      <w:pPr>
        <w:widowControl w:val="0"/>
        <w:autoSpaceDE w:val="0"/>
        <w:autoSpaceDN w:val="0"/>
        <w:adjustRightInd w:val="0"/>
        <w:spacing w:before="100" w:after="100" w:line="360" w:lineRule="auto"/>
        <w:ind w:left="640" w:hanging="640"/>
        <w:rPr>
          <w:rFonts w:ascii="Times New Roman" w:hAnsi="Times New Roman" w:cs="Times New Roman"/>
          <w:noProof/>
          <w:sz w:val="20"/>
        </w:rPr>
      </w:pPr>
      <w:r w:rsidRPr="007E520B">
        <w:rPr>
          <w:rFonts w:ascii="Times New Roman" w:hAnsi="Times New Roman" w:cs="Times New Roman"/>
          <w:noProof/>
          <w:sz w:val="20"/>
          <w:szCs w:val="24"/>
        </w:rPr>
        <w:t xml:space="preserve">30. </w:t>
      </w:r>
      <w:r w:rsidRPr="007E520B">
        <w:rPr>
          <w:rFonts w:ascii="Times New Roman" w:hAnsi="Times New Roman" w:cs="Times New Roman"/>
          <w:noProof/>
          <w:sz w:val="20"/>
          <w:szCs w:val="24"/>
        </w:rPr>
        <w:tab/>
        <w:t>Tuckerman M, Berne BJ, Martyna GJ (1992) Reversible multiple time scale molecular dynamics. J Chem Phys 97:1990–2001. https://doi.org/10.1063/1.463137</w:t>
      </w:r>
    </w:p>
    <w:p w:rsidR="004660B6" w:rsidRPr="00BE516E" w:rsidRDefault="00D02C8D" w:rsidP="007E520B">
      <w:pPr>
        <w:widowControl w:val="0"/>
        <w:autoSpaceDE w:val="0"/>
        <w:autoSpaceDN w:val="0"/>
        <w:adjustRightInd w:val="0"/>
        <w:spacing w:before="100" w:after="100" w:line="360" w:lineRule="auto"/>
        <w:ind w:left="640" w:hanging="640"/>
        <w:rPr>
          <w:rFonts w:ascii="Times New Roman" w:eastAsia="Calibri" w:hAnsi="Times New Roman" w:cs="Times New Roman"/>
          <w:b/>
          <w:sz w:val="20"/>
          <w:szCs w:val="20"/>
        </w:rPr>
      </w:pPr>
      <w:r w:rsidRPr="00BE516E">
        <w:rPr>
          <w:rFonts w:ascii="Times New Roman" w:eastAsia="Calibri" w:hAnsi="Times New Roman" w:cs="Times New Roman"/>
          <w:b/>
          <w:sz w:val="20"/>
          <w:szCs w:val="20"/>
        </w:rPr>
        <w:fldChar w:fldCharType="end"/>
      </w:r>
    </w:p>
    <w:p w:rsidR="004660B6" w:rsidRPr="00BE516E" w:rsidRDefault="004660B6" w:rsidP="0099077E">
      <w:pPr>
        <w:pStyle w:val="NoSpacing"/>
        <w:spacing w:before="100" w:beforeAutospacing="1" w:after="100" w:afterAutospacing="1" w:line="360" w:lineRule="auto"/>
        <w:jc w:val="both"/>
        <w:rPr>
          <w:rFonts w:ascii="Times New Roman" w:eastAsia="Calibri" w:hAnsi="Times New Roman" w:cs="Times New Roman"/>
          <w:b/>
          <w:sz w:val="20"/>
          <w:szCs w:val="20"/>
        </w:rPr>
      </w:pPr>
    </w:p>
    <w:p w:rsidR="00B62AE7" w:rsidRPr="00BE516E" w:rsidRDefault="00B62AE7" w:rsidP="00464400">
      <w:pPr>
        <w:spacing w:before="100" w:beforeAutospacing="1" w:after="100" w:afterAutospacing="1" w:line="360" w:lineRule="auto"/>
        <w:rPr>
          <w:rFonts w:ascii="Times New Roman" w:hAnsi="Times New Roman" w:cs="Times New Roman"/>
          <w:b/>
          <w:sz w:val="20"/>
          <w:szCs w:val="20"/>
        </w:rPr>
      </w:pPr>
    </w:p>
    <w:sectPr w:rsidR="00B62AE7" w:rsidRPr="00BE516E" w:rsidSect="00DE7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12798"/>
    <w:rsid w:val="00000C0F"/>
    <w:rsid w:val="00006C1D"/>
    <w:rsid w:val="00014681"/>
    <w:rsid w:val="00034B2A"/>
    <w:rsid w:val="0003791B"/>
    <w:rsid w:val="0004260F"/>
    <w:rsid w:val="00054B47"/>
    <w:rsid w:val="00072E04"/>
    <w:rsid w:val="00086C0A"/>
    <w:rsid w:val="00092FBA"/>
    <w:rsid w:val="00093B80"/>
    <w:rsid w:val="00097C68"/>
    <w:rsid w:val="000F0788"/>
    <w:rsid w:val="000F3C60"/>
    <w:rsid w:val="00103866"/>
    <w:rsid w:val="00120E37"/>
    <w:rsid w:val="00136D0B"/>
    <w:rsid w:val="001427CA"/>
    <w:rsid w:val="001459A6"/>
    <w:rsid w:val="00151164"/>
    <w:rsid w:val="00154AB6"/>
    <w:rsid w:val="001712A4"/>
    <w:rsid w:val="00174C49"/>
    <w:rsid w:val="001818E9"/>
    <w:rsid w:val="00184591"/>
    <w:rsid w:val="00185C4B"/>
    <w:rsid w:val="0018728E"/>
    <w:rsid w:val="0019416C"/>
    <w:rsid w:val="001968D6"/>
    <w:rsid w:val="001C1FB5"/>
    <w:rsid w:val="001D293B"/>
    <w:rsid w:val="001E4313"/>
    <w:rsid w:val="001E6616"/>
    <w:rsid w:val="001F177C"/>
    <w:rsid w:val="001F5660"/>
    <w:rsid w:val="002112E5"/>
    <w:rsid w:val="0022604A"/>
    <w:rsid w:val="00244B58"/>
    <w:rsid w:val="00252758"/>
    <w:rsid w:val="002564AF"/>
    <w:rsid w:val="0026104B"/>
    <w:rsid w:val="002671F1"/>
    <w:rsid w:val="0027782C"/>
    <w:rsid w:val="00280FB2"/>
    <w:rsid w:val="002816FB"/>
    <w:rsid w:val="00282F8B"/>
    <w:rsid w:val="0028373C"/>
    <w:rsid w:val="002B1A46"/>
    <w:rsid w:val="002C2C54"/>
    <w:rsid w:val="002C44B5"/>
    <w:rsid w:val="002E6DD5"/>
    <w:rsid w:val="002F7FA7"/>
    <w:rsid w:val="00304C56"/>
    <w:rsid w:val="00330505"/>
    <w:rsid w:val="0033466B"/>
    <w:rsid w:val="003369DF"/>
    <w:rsid w:val="0034010B"/>
    <w:rsid w:val="00340D38"/>
    <w:rsid w:val="003524C7"/>
    <w:rsid w:val="00352BC4"/>
    <w:rsid w:val="00362487"/>
    <w:rsid w:val="0036578C"/>
    <w:rsid w:val="00367A58"/>
    <w:rsid w:val="00380424"/>
    <w:rsid w:val="0038313D"/>
    <w:rsid w:val="00392453"/>
    <w:rsid w:val="003A3512"/>
    <w:rsid w:val="003B0031"/>
    <w:rsid w:val="003B1727"/>
    <w:rsid w:val="003D5298"/>
    <w:rsid w:val="003E279D"/>
    <w:rsid w:val="003E5F0F"/>
    <w:rsid w:val="003E6444"/>
    <w:rsid w:val="00400508"/>
    <w:rsid w:val="0040493A"/>
    <w:rsid w:val="00404A40"/>
    <w:rsid w:val="00405D9A"/>
    <w:rsid w:val="004064E7"/>
    <w:rsid w:val="00417FCB"/>
    <w:rsid w:val="00420E8D"/>
    <w:rsid w:val="00441A55"/>
    <w:rsid w:val="00464400"/>
    <w:rsid w:val="004660B6"/>
    <w:rsid w:val="004A6919"/>
    <w:rsid w:val="004D5866"/>
    <w:rsid w:val="004F2DD6"/>
    <w:rsid w:val="005044FD"/>
    <w:rsid w:val="00510492"/>
    <w:rsid w:val="00512798"/>
    <w:rsid w:val="005158EF"/>
    <w:rsid w:val="00516699"/>
    <w:rsid w:val="00541F14"/>
    <w:rsid w:val="005434BF"/>
    <w:rsid w:val="00566CB0"/>
    <w:rsid w:val="005761DE"/>
    <w:rsid w:val="0058049C"/>
    <w:rsid w:val="00581CAC"/>
    <w:rsid w:val="00585CF1"/>
    <w:rsid w:val="005A2302"/>
    <w:rsid w:val="005A3659"/>
    <w:rsid w:val="005A6A6E"/>
    <w:rsid w:val="005D1D6E"/>
    <w:rsid w:val="005D2F92"/>
    <w:rsid w:val="005E6E81"/>
    <w:rsid w:val="005F0099"/>
    <w:rsid w:val="005F1AC1"/>
    <w:rsid w:val="00612ECE"/>
    <w:rsid w:val="00614597"/>
    <w:rsid w:val="00650450"/>
    <w:rsid w:val="00654E0C"/>
    <w:rsid w:val="00664826"/>
    <w:rsid w:val="006706F3"/>
    <w:rsid w:val="006745B1"/>
    <w:rsid w:val="00682E4A"/>
    <w:rsid w:val="006A1ABF"/>
    <w:rsid w:val="006C2613"/>
    <w:rsid w:val="006C4B31"/>
    <w:rsid w:val="006E1746"/>
    <w:rsid w:val="00721151"/>
    <w:rsid w:val="00721159"/>
    <w:rsid w:val="00723B54"/>
    <w:rsid w:val="00723E18"/>
    <w:rsid w:val="007608A6"/>
    <w:rsid w:val="00776211"/>
    <w:rsid w:val="007916F1"/>
    <w:rsid w:val="007A0F4B"/>
    <w:rsid w:val="007B29F2"/>
    <w:rsid w:val="007C2A7F"/>
    <w:rsid w:val="007E520B"/>
    <w:rsid w:val="007F6D17"/>
    <w:rsid w:val="00800504"/>
    <w:rsid w:val="0080645B"/>
    <w:rsid w:val="00832889"/>
    <w:rsid w:val="008623B6"/>
    <w:rsid w:val="0086437D"/>
    <w:rsid w:val="00871458"/>
    <w:rsid w:val="008A1688"/>
    <w:rsid w:val="008A7051"/>
    <w:rsid w:val="008B5D4A"/>
    <w:rsid w:val="008C00FB"/>
    <w:rsid w:val="008C37C0"/>
    <w:rsid w:val="008C599F"/>
    <w:rsid w:val="008D243D"/>
    <w:rsid w:val="008D2C4F"/>
    <w:rsid w:val="008D343A"/>
    <w:rsid w:val="008E39BB"/>
    <w:rsid w:val="008E5B8F"/>
    <w:rsid w:val="008F113A"/>
    <w:rsid w:val="008F3EC0"/>
    <w:rsid w:val="009043E0"/>
    <w:rsid w:val="00932256"/>
    <w:rsid w:val="00964965"/>
    <w:rsid w:val="00967345"/>
    <w:rsid w:val="0097551C"/>
    <w:rsid w:val="0099077E"/>
    <w:rsid w:val="00997173"/>
    <w:rsid w:val="009B36C3"/>
    <w:rsid w:val="009E4800"/>
    <w:rsid w:val="009E6819"/>
    <w:rsid w:val="009E7803"/>
    <w:rsid w:val="00A04D92"/>
    <w:rsid w:val="00A113BE"/>
    <w:rsid w:val="00A132E4"/>
    <w:rsid w:val="00A2222F"/>
    <w:rsid w:val="00A259F8"/>
    <w:rsid w:val="00A35CD7"/>
    <w:rsid w:val="00A42C57"/>
    <w:rsid w:val="00A47F29"/>
    <w:rsid w:val="00A54492"/>
    <w:rsid w:val="00AA082C"/>
    <w:rsid w:val="00AA200F"/>
    <w:rsid w:val="00AE0FAE"/>
    <w:rsid w:val="00AF2E01"/>
    <w:rsid w:val="00B03DAC"/>
    <w:rsid w:val="00B0448E"/>
    <w:rsid w:val="00B2174A"/>
    <w:rsid w:val="00B27A17"/>
    <w:rsid w:val="00B27BC3"/>
    <w:rsid w:val="00B33013"/>
    <w:rsid w:val="00B3450A"/>
    <w:rsid w:val="00B36527"/>
    <w:rsid w:val="00B456D9"/>
    <w:rsid w:val="00B62AE7"/>
    <w:rsid w:val="00B81972"/>
    <w:rsid w:val="00B82473"/>
    <w:rsid w:val="00B90C4A"/>
    <w:rsid w:val="00B97D12"/>
    <w:rsid w:val="00BC3D47"/>
    <w:rsid w:val="00BD5662"/>
    <w:rsid w:val="00BE516E"/>
    <w:rsid w:val="00BE62BB"/>
    <w:rsid w:val="00BE696C"/>
    <w:rsid w:val="00C10409"/>
    <w:rsid w:val="00C12758"/>
    <w:rsid w:val="00C31A22"/>
    <w:rsid w:val="00C62472"/>
    <w:rsid w:val="00C65345"/>
    <w:rsid w:val="00C72816"/>
    <w:rsid w:val="00C76FA1"/>
    <w:rsid w:val="00C82C65"/>
    <w:rsid w:val="00C93BDB"/>
    <w:rsid w:val="00CA0D2C"/>
    <w:rsid w:val="00CA33F8"/>
    <w:rsid w:val="00CA6D28"/>
    <w:rsid w:val="00CB32A0"/>
    <w:rsid w:val="00CC5108"/>
    <w:rsid w:val="00CC6488"/>
    <w:rsid w:val="00CF3DF0"/>
    <w:rsid w:val="00CF5433"/>
    <w:rsid w:val="00D026A8"/>
    <w:rsid w:val="00D02C8D"/>
    <w:rsid w:val="00D20A08"/>
    <w:rsid w:val="00D2108E"/>
    <w:rsid w:val="00D57566"/>
    <w:rsid w:val="00D86D64"/>
    <w:rsid w:val="00DA7D0A"/>
    <w:rsid w:val="00DB0644"/>
    <w:rsid w:val="00DB70BB"/>
    <w:rsid w:val="00DD5E44"/>
    <w:rsid w:val="00DE6531"/>
    <w:rsid w:val="00DE7401"/>
    <w:rsid w:val="00DF0A53"/>
    <w:rsid w:val="00E0196F"/>
    <w:rsid w:val="00E10DEE"/>
    <w:rsid w:val="00E142E1"/>
    <w:rsid w:val="00E256A4"/>
    <w:rsid w:val="00E3509D"/>
    <w:rsid w:val="00E40D2D"/>
    <w:rsid w:val="00E450AF"/>
    <w:rsid w:val="00E47085"/>
    <w:rsid w:val="00E53152"/>
    <w:rsid w:val="00E5316B"/>
    <w:rsid w:val="00E729F6"/>
    <w:rsid w:val="00EA445D"/>
    <w:rsid w:val="00EB5077"/>
    <w:rsid w:val="00EE3B32"/>
    <w:rsid w:val="00F05785"/>
    <w:rsid w:val="00F075A9"/>
    <w:rsid w:val="00F078F7"/>
    <w:rsid w:val="00F254C7"/>
    <w:rsid w:val="00F34F4E"/>
    <w:rsid w:val="00F42197"/>
    <w:rsid w:val="00F51502"/>
    <w:rsid w:val="00F56D19"/>
    <w:rsid w:val="00F57C72"/>
    <w:rsid w:val="00F624C1"/>
    <w:rsid w:val="00F6328C"/>
    <w:rsid w:val="00F71ADB"/>
    <w:rsid w:val="00F81C12"/>
    <w:rsid w:val="00F87587"/>
    <w:rsid w:val="00F95F84"/>
    <w:rsid w:val="00FA332D"/>
    <w:rsid w:val="00FC458D"/>
    <w:rsid w:val="00FC4EF3"/>
    <w:rsid w:val="00FC67E7"/>
    <w:rsid w:val="00FF58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7C72"/>
    <w:pPr>
      <w:spacing w:after="0" w:line="240" w:lineRule="auto"/>
    </w:pPr>
    <w:rPr>
      <w:rFonts w:eastAsiaTheme="minorEastAsia"/>
    </w:rPr>
  </w:style>
  <w:style w:type="character" w:customStyle="1" w:styleId="NoSpacingChar">
    <w:name w:val="No Spacing Char"/>
    <w:basedOn w:val="DefaultParagraphFont"/>
    <w:link w:val="NoSpacing"/>
    <w:uiPriority w:val="1"/>
    <w:rsid w:val="00F57C72"/>
    <w:rPr>
      <w:rFonts w:eastAsiaTheme="minorEastAsia"/>
    </w:rPr>
  </w:style>
  <w:style w:type="paragraph" w:styleId="BalloonText">
    <w:name w:val="Balloon Text"/>
    <w:basedOn w:val="Normal"/>
    <w:link w:val="BalloonTextChar"/>
    <w:uiPriority w:val="99"/>
    <w:semiHidden/>
    <w:unhideWhenUsed/>
    <w:rsid w:val="001712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2A4"/>
    <w:rPr>
      <w:rFonts w:ascii="Tahoma" w:hAnsi="Tahoma" w:cs="Tahoma"/>
      <w:sz w:val="16"/>
      <w:szCs w:val="16"/>
    </w:rPr>
  </w:style>
  <w:style w:type="table" w:styleId="TableGrid">
    <w:name w:val="Table Grid"/>
    <w:basedOn w:val="TableNormal"/>
    <w:uiPriority w:val="59"/>
    <w:rsid w:val="003B00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3E279D"/>
    <w:rPr>
      <w:sz w:val="16"/>
      <w:szCs w:val="16"/>
    </w:rPr>
  </w:style>
  <w:style w:type="paragraph" w:styleId="CommentText">
    <w:name w:val="annotation text"/>
    <w:basedOn w:val="Normal"/>
    <w:link w:val="CommentTextChar"/>
    <w:uiPriority w:val="99"/>
    <w:semiHidden/>
    <w:unhideWhenUsed/>
    <w:rsid w:val="003E279D"/>
    <w:pPr>
      <w:spacing w:line="240" w:lineRule="auto"/>
    </w:pPr>
    <w:rPr>
      <w:sz w:val="20"/>
      <w:szCs w:val="20"/>
    </w:rPr>
  </w:style>
  <w:style w:type="character" w:customStyle="1" w:styleId="CommentTextChar">
    <w:name w:val="Comment Text Char"/>
    <w:basedOn w:val="DefaultParagraphFont"/>
    <w:link w:val="CommentText"/>
    <w:uiPriority w:val="99"/>
    <w:semiHidden/>
    <w:rsid w:val="003E279D"/>
    <w:rPr>
      <w:sz w:val="20"/>
      <w:szCs w:val="20"/>
    </w:rPr>
  </w:style>
  <w:style w:type="table" w:styleId="LightShading">
    <w:name w:val="Light Shading"/>
    <w:basedOn w:val="TableNormal"/>
    <w:uiPriority w:val="60"/>
    <w:rsid w:val="0080050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wmf"/><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Personal\Desktop\Sutapa%20Final\Results\Sutapa%20Work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scatterChart>
        <c:scatterStyle val="lineMarker"/>
        <c:varyColors val="0"/>
        <c:ser>
          <c:idx val="0"/>
          <c:order val="0"/>
          <c:spPr>
            <a:ln w="28575">
              <a:noFill/>
            </a:ln>
          </c:spPr>
          <c:trendline>
            <c:trendlineType val="linear"/>
            <c:dispRSqr val="1"/>
            <c:dispEq val="1"/>
            <c:trendlineLbl>
              <c:layout>
                <c:manualLayout>
                  <c:x val="-0.24182139216069104"/>
                  <c:y val="-3.2590219026592008E-4"/>
                </c:manualLayout>
              </c:layout>
              <c:numFmt formatCode="General" sourceLinked="0"/>
              <c:txPr>
                <a:bodyPr/>
                <a:lstStyle/>
                <a:p>
                  <a:pPr>
                    <a:defRPr lang="en-IN" sz="1100" b="1"/>
                  </a:pPr>
                  <a:endParaRPr lang="en-US"/>
                </a:p>
              </c:txPr>
            </c:trendlineLbl>
          </c:trendline>
          <c:xVal>
            <c:numRef>
              <c:f>'LD50'!$E$5:$E$9</c:f>
              <c:numCache>
                <c:formatCode>General</c:formatCode>
                <c:ptCount val="5"/>
                <c:pt idx="0">
                  <c:v>3</c:v>
                </c:pt>
                <c:pt idx="1">
                  <c:v>3.3009999999999997</c:v>
                </c:pt>
                <c:pt idx="2">
                  <c:v>3.6019999999999999</c:v>
                </c:pt>
                <c:pt idx="3">
                  <c:v>3.6989000000000001</c:v>
                </c:pt>
                <c:pt idx="4">
                  <c:v>3.8749999999999987</c:v>
                </c:pt>
              </c:numCache>
            </c:numRef>
          </c:xVal>
          <c:yVal>
            <c:numRef>
              <c:f>'LD50'!$F$5:$F$9</c:f>
              <c:numCache>
                <c:formatCode>General</c:formatCode>
                <c:ptCount val="5"/>
                <c:pt idx="0">
                  <c:v>3.6109999999999998</c:v>
                </c:pt>
                <c:pt idx="1">
                  <c:v>3.6109999999999998</c:v>
                </c:pt>
                <c:pt idx="2">
                  <c:v>3.6109999999999998</c:v>
                </c:pt>
                <c:pt idx="3">
                  <c:v>5.4279999999999955</c:v>
                </c:pt>
                <c:pt idx="4">
                  <c:v>6.3819999999999997</c:v>
                </c:pt>
              </c:numCache>
            </c:numRef>
          </c:yVal>
          <c:smooth val="0"/>
        </c:ser>
        <c:dLbls>
          <c:showLegendKey val="0"/>
          <c:showVal val="0"/>
          <c:showCatName val="0"/>
          <c:showSerName val="0"/>
          <c:showPercent val="0"/>
          <c:showBubbleSize val="0"/>
        </c:dLbls>
        <c:axId val="154219584"/>
        <c:axId val="154220160"/>
      </c:scatterChart>
      <c:valAx>
        <c:axId val="154219584"/>
        <c:scaling>
          <c:orientation val="minMax"/>
        </c:scaling>
        <c:delete val="0"/>
        <c:axPos val="b"/>
        <c:majorGridlines/>
        <c:minorGridlines/>
        <c:title>
          <c:tx>
            <c:rich>
              <a:bodyPr/>
              <a:lstStyle/>
              <a:p>
                <a:pPr>
                  <a:defRPr lang="en-IN"/>
                </a:pPr>
                <a:r>
                  <a:rPr lang="en-US"/>
                  <a:t>Log Dose</a:t>
                </a:r>
              </a:p>
            </c:rich>
          </c:tx>
          <c:layout/>
          <c:overlay val="0"/>
        </c:title>
        <c:numFmt formatCode="General" sourceLinked="1"/>
        <c:majorTickMark val="out"/>
        <c:minorTickMark val="none"/>
        <c:tickLblPos val="nextTo"/>
        <c:txPr>
          <a:bodyPr/>
          <a:lstStyle/>
          <a:p>
            <a:pPr>
              <a:defRPr lang="en-IN"/>
            </a:pPr>
            <a:endParaRPr lang="en-US"/>
          </a:p>
        </c:txPr>
        <c:crossAx val="154220160"/>
        <c:crosses val="autoZero"/>
        <c:crossBetween val="midCat"/>
      </c:valAx>
      <c:valAx>
        <c:axId val="154220160"/>
        <c:scaling>
          <c:orientation val="minMax"/>
        </c:scaling>
        <c:delete val="0"/>
        <c:axPos val="l"/>
        <c:minorGridlines/>
        <c:title>
          <c:tx>
            <c:rich>
              <a:bodyPr/>
              <a:lstStyle/>
              <a:p>
                <a:pPr>
                  <a:defRPr lang="en-IN"/>
                </a:pPr>
                <a:r>
                  <a:rPr lang="en-US"/>
                  <a:t>Probit</a:t>
                </a:r>
              </a:p>
            </c:rich>
          </c:tx>
          <c:layout/>
          <c:overlay val="0"/>
        </c:title>
        <c:numFmt formatCode="General" sourceLinked="1"/>
        <c:majorTickMark val="out"/>
        <c:minorTickMark val="none"/>
        <c:tickLblPos val="nextTo"/>
        <c:txPr>
          <a:bodyPr/>
          <a:lstStyle/>
          <a:p>
            <a:pPr>
              <a:defRPr lang="en-IN"/>
            </a:pPr>
            <a:endParaRPr lang="en-US"/>
          </a:p>
        </c:txPr>
        <c:crossAx val="154219584"/>
        <c:crossesAt val="0"/>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E688D-036E-42DB-BC59-2DFC58A09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2174</TotalTime>
  <Pages>22</Pages>
  <Words>16385</Words>
  <Characters>93400</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SUTAPA</dc:creator>
  <cp:keywords/>
  <dc:description/>
  <cp:lastModifiedBy>abc</cp:lastModifiedBy>
  <cp:revision>182</cp:revision>
  <dcterms:created xsi:type="dcterms:W3CDTF">2019-08-11T16:57:00Z</dcterms:created>
  <dcterms:modified xsi:type="dcterms:W3CDTF">2022-07-29T01:36:00Z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http://www.zotero.org/styles/molecular-neurobiology</vt:lpwstr>
  </property>
  <property fmtid="{D5CDD505-2E9C-101B-9397-08002B2CF9AE}" pid="19" name="Mendeley Recent Style Name 8_1">
    <vt:lpwstr>Molecular Neurobiology</vt:lpwstr>
  </property>
  <property fmtid="{D5CDD505-2E9C-101B-9397-08002B2CF9AE}" pid="20" name="Mendeley Recent Style Id 9_1">
    <vt:lpwstr>http://www.zotero.org/styles/neuromolecular-medicine</vt:lpwstr>
  </property>
  <property fmtid="{D5CDD505-2E9C-101B-9397-08002B2CF9AE}" pid="21" name="Mendeley Recent Style Name 9_1">
    <vt:lpwstr>NeuroMolecular Medicine</vt:lpwstr>
  </property>
  <property fmtid="{D5CDD505-2E9C-101B-9397-08002B2CF9AE}" pid="22" name="Mendeley Document_1">
    <vt:lpwstr>True</vt:lpwstr>
  </property>
  <property fmtid="{D5CDD505-2E9C-101B-9397-08002B2CF9AE}" pid="23" name="Mendeley Unique User Id_1">
    <vt:lpwstr>0a95a9fa-37bd-3dcb-b47d-26bbd326463e</vt:lpwstr>
  </property>
  <property fmtid="{D5CDD505-2E9C-101B-9397-08002B2CF9AE}" pid="24" name="Mendeley Citation Style_1">
    <vt:lpwstr>http://www.zotero.org/styles/molecular-neurobiology</vt:lpwstr>
  </property>
</Properties>
</file>