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06879" w14:textId="77777777" w:rsidR="000F6DA2" w:rsidRPr="00D55422" w:rsidRDefault="000F6DA2" w:rsidP="000F6DA2">
      <w:pPr>
        <w:keepNext/>
        <w:spacing w:after="120" w:line="480" w:lineRule="auto"/>
        <w:ind w:left="576" w:hanging="576"/>
        <w:jc w:val="center"/>
        <w:outlineLvl w:val="1"/>
        <w:rPr>
          <w:b/>
          <w:bCs/>
          <w:lang w:val="en-US" w:eastAsia="de-CH"/>
        </w:rPr>
      </w:pPr>
      <w:r w:rsidRPr="00D55422">
        <w:rPr>
          <w:b/>
          <w:bCs/>
          <w:lang w:val="en-US" w:eastAsia="de-CH"/>
        </w:rPr>
        <w:t>Atorvastatin Improves Cisplatin Sensitivity Through Modulation of Cholesteryl Ester Homeostasis in Breast Cancer Cells</w:t>
      </w:r>
    </w:p>
    <w:p w14:paraId="3BF4B75C" w14:textId="77777777" w:rsidR="000F6DA2" w:rsidRPr="00D55422" w:rsidRDefault="000F6DA2" w:rsidP="000F6DA2">
      <w:pPr>
        <w:spacing w:after="120" w:line="480" w:lineRule="auto"/>
        <w:jc w:val="both"/>
        <w:rPr>
          <w:lang w:val="en-US" w:eastAsia="de-CH"/>
        </w:rPr>
      </w:pPr>
      <w:r w:rsidRPr="00D55422">
        <w:rPr>
          <w:lang w:val="en-US" w:eastAsia="de-CH"/>
        </w:rPr>
        <w:t>Diandra Zipinotti dos Santos</w:t>
      </w:r>
      <w:r w:rsidRPr="00D55422">
        <w:rPr>
          <w:vertAlign w:val="superscript"/>
          <w:lang w:val="en-US" w:eastAsia="de-CH"/>
        </w:rPr>
        <w:t>1</w:t>
      </w:r>
      <w:r w:rsidRPr="00D55422">
        <w:rPr>
          <w:lang w:val="en-US" w:eastAsia="de-CH"/>
        </w:rPr>
        <w:t>, Isabella dos Santos Guimaraes</w:t>
      </w:r>
      <w:r w:rsidRPr="00D55422">
        <w:rPr>
          <w:vertAlign w:val="superscript"/>
          <w:lang w:val="en-US" w:eastAsia="de-CH"/>
        </w:rPr>
        <w:t>2</w:t>
      </w:r>
      <w:r w:rsidRPr="00D55422">
        <w:rPr>
          <w:lang w:val="en-US" w:eastAsia="de-CH"/>
        </w:rPr>
        <w:t>, Mariam F. Hakeem-Sanni</w:t>
      </w:r>
      <w:r w:rsidRPr="00D55422">
        <w:rPr>
          <w:vertAlign w:val="superscript"/>
          <w:lang w:val="en-US" w:eastAsia="de-CH"/>
        </w:rPr>
        <w:t>3</w:t>
      </w:r>
      <w:r w:rsidRPr="00D55422">
        <w:rPr>
          <w:lang w:val="en-US" w:eastAsia="de-CH"/>
        </w:rPr>
        <w:t xml:space="preserve">, </w:t>
      </w:r>
      <w:r w:rsidRPr="00D55422">
        <w:rPr>
          <w:lang w:val="en-US"/>
        </w:rPr>
        <w:t>Blake J. Cochran</w:t>
      </w:r>
      <w:r w:rsidRPr="00D55422">
        <w:rPr>
          <w:vertAlign w:val="superscript"/>
          <w:lang w:val="en-US"/>
        </w:rPr>
        <w:t>4</w:t>
      </w:r>
      <w:r w:rsidRPr="00D55422">
        <w:rPr>
          <w:lang w:val="en-US"/>
        </w:rPr>
        <w:t xml:space="preserve">, </w:t>
      </w:r>
      <w:r w:rsidRPr="00D55422">
        <w:rPr>
          <w:lang w:val="en-US" w:eastAsia="de-CH"/>
        </w:rPr>
        <w:t>Kerry-Anne Rye</w:t>
      </w:r>
      <w:r w:rsidRPr="00D55422">
        <w:rPr>
          <w:vertAlign w:val="superscript"/>
          <w:lang w:val="en-US" w:eastAsia="de-CH"/>
        </w:rPr>
        <w:t>4</w:t>
      </w:r>
      <w:r w:rsidRPr="00D55422">
        <w:rPr>
          <w:lang w:val="en-US" w:eastAsia="de-CH"/>
        </w:rPr>
        <w:t>, Thomas Grewal</w:t>
      </w:r>
      <w:r w:rsidRPr="00D55422">
        <w:rPr>
          <w:vertAlign w:val="superscript"/>
          <w:lang w:val="en-US" w:eastAsia="de-CH"/>
        </w:rPr>
        <w:t>5</w:t>
      </w:r>
      <w:r w:rsidRPr="00D55422">
        <w:rPr>
          <w:lang w:val="en-US" w:eastAsia="de-CH"/>
        </w:rPr>
        <w:t xml:space="preserve">, Andrew J. Hoy </w:t>
      </w:r>
      <w:r w:rsidRPr="00D55422">
        <w:rPr>
          <w:vertAlign w:val="superscript"/>
          <w:lang w:val="en-US" w:eastAsia="de-CH"/>
        </w:rPr>
        <w:t>3#</w:t>
      </w:r>
      <w:r w:rsidRPr="00D55422">
        <w:rPr>
          <w:lang w:val="en-US" w:eastAsia="de-CH"/>
        </w:rPr>
        <w:t>, Leticia B.A. Rangel</w:t>
      </w:r>
      <w:r w:rsidRPr="00D55422">
        <w:rPr>
          <w:vertAlign w:val="superscript"/>
          <w:lang w:val="en-US" w:eastAsia="de-CH"/>
        </w:rPr>
        <w:t>1,6#</w:t>
      </w:r>
    </w:p>
    <w:p w14:paraId="362B1040" w14:textId="77777777" w:rsidR="000F6DA2" w:rsidRPr="00D55422" w:rsidRDefault="000F6DA2" w:rsidP="000F6D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lang w:val="en-US" w:eastAsia="en-AU"/>
        </w:rPr>
      </w:pPr>
      <w:r w:rsidRPr="00D55422">
        <w:rPr>
          <w:vertAlign w:val="superscript"/>
          <w:lang w:val="en-US" w:eastAsia="en-AU"/>
        </w:rPr>
        <w:t>1</w:t>
      </w:r>
      <w:r w:rsidRPr="00D55422">
        <w:rPr>
          <w:lang w:val="en-US" w:eastAsia="en-AU"/>
        </w:rPr>
        <w:t xml:space="preserve"> Biotechnology Program/RENORBIO, Health Sciences Center, Federal University of Espirito Santo, Vitoria, ES, Brazil</w:t>
      </w:r>
    </w:p>
    <w:p w14:paraId="2D1B3A32" w14:textId="77777777" w:rsidR="000F6DA2" w:rsidRPr="00D55422" w:rsidRDefault="000F6DA2" w:rsidP="000F6D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lang w:val="en-US" w:eastAsia="en-AU"/>
        </w:rPr>
      </w:pPr>
      <w:r w:rsidRPr="00D55422">
        <w:rPr>
          <w:vertAlign w:val="superscript"/>
          <w:lang w:val="en-US" w:eastAsia="en-AU"/>
        </w:rPr>
        <w:t>2</w:t>
      </w:r>
      <w:r w:rsidRPr="00D55422">
        <w:rPr>
          <w:lang w:val="en-US" w:eastAsia="en-AU"/>
        </w:rPr>
        <w:t xml:space="preserve"> Division of Clinical Research, Research Center, Instituto Nacional de Cancer, Rio de Janeiro, Brazil</w:t>
      </w:r>
    </w:p>
    <w:p w14:paraId="08946CEE" w14:textId="77777777" w:rsidR="000F6DA2" w:rsidRPr="00D55422" w:rsidRDefault="000F6DA2" w:rsidP="000F6D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lang w:val="en-US" w:eastAsia="en-AU"/>
        </w:rPr>
      </w:pPr>
      <w:r w:rsidRPr="00D55422">
        <w:rPr>
          <w:vertAlign w:val="superscript"/>
          <w:lang w:val="en-US" w:eastAsia="en-AU"/>
        </w:rPr>
        <w:t xml:space="preserve">3 </w:t>
      </w:r>
      <w:r w:rsidRPr="00D55422">
        <w:rPr>
          <w:lang w:val="en-US" w:eastAsia="en-AU"/>
        </w:rPr>
        <w:t xml:space="preserve">School of Medical Sciences, Charles Perkins Centre, Faculty of Medicine and Health, The University of Sydney, Sydney, New South Wales, Australia. </w:t>
      </w:r>
    </w:p>
    <w:p w14:paraId="412394FE" w14:textId="77777777" w:rsidR="000F6DA2" w:rsidRPr="00D55422" w:rsidRDefault="000F6DA2" w:rsidP="000F6D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lang w:val="en-US" w:eastAsia="en-AU"/>
        </w:rPr>
      </w:pPr>
      <w:r w:rsidRPr="00D55422">
        <w:rPr>
          <w:vertAlign w:val="superscript"/>
          <w:lang w:val="en-US" w:eastAsia="en-AU"/>
        </w:rPr>
        <w:t xml:space="preserve">4 </w:t>
      </w:r>
      <w:r w:rsidRPr="00D55422">
        <w:rPr>
          <w:lang w:val="en-US" w:eastAsia="en-AU"/>
        </w:rPr>
        <w:t>School of Medical Sciences, Faculty of Medicine, University of New South Wales, Sydney, New South Wales, Australia</w:t>
      </w:r>
    </w:p>
    <w:p w14:paraId="0D17A666" w14:textId="77777777" w:rsidR="000F6DA2" w:rsidRPr="00D55422" w:rsidRDefault="000F6DA2" w:rsidP="000F6D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lang w:val="en-US" w:eastAsia="en-AU"/>
        </w:rPr>
      </w:pPr>
      <w:r w:rsidRPr="00D55422">
        <w:rPr>
          <w:vertAlign w:val="superscript"/>
          <w:lang w:val="en-US" w:eastAsia="en-AU"/>
        </w:rPr>
        <w:t>5</w:t>
      </w:r>
      <w:r w:rsidRPr="00D55422">
        <w:rPr>
          <w:lang w:val="en-US"/>
        </w:rPr>
        <w:t xml:space="preserve"> </w:t>
      </w:r>
      <w:r w:rsidRPr="00D55422">
        <w:rPr>
          <w:lang w:val="en-US" w:eastAsia="en-AU"/>
        </w:rPr>
        <w:t>School of Pharmacy, Faculty of Medicine and Health, The University of Sydney, Sydney, New South Wales, Australia</w:t>
      </w:r>
    </w:p>
    <w:p w14:paraId="5F574D87" w14:textId="77777777" w:rsidR="000F6DA2" w:rsidRPr="00D55422" w:rsidRDefault="000F6DA2" w:rsidP="000F6D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lang w:val="en-US" w:eastAsia="en-AU"/>
        </w:rPr>
      </w:pPr>
      <w:r w:rsidRPr="00D55422">
        <w:rPr>
          <w:vertAlign w:val="superscript"/>
          <w:lang w:val="en-US" w:eastAsia="en-AU"/>
        </w:rPr>
        <w:t xml:space="preserve">5 </w:t>
      </w:r>
      <w:r w:rsidRPr="00D55422">
        <w:rPr>
          <w:lang w:val="en-US" w:eastAsia="en-AU"/>
        </w:rPr>
        <w:t>Biochemistry Program, Health Sciences Center, Federal University of Espirito Santo, Vitoria, ES, Brazil</w:t>
      </w:r>
    </w:p>
    <w:p w14:paraId="33460FE8" w14:textId="77777777" w:rsidR="000F6DA2" w:rsidRPr="00D55422" w:rsidRDefault="000F6DA2" w:rsidP="000F6D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lang w:val="en-US" w:eastAsia="en-AU"/>
        </w:rPr>
      </w:pPr>
      <w:r w:rsidRPr="00D55422">
        <w:rPr>
          <w:vertAlign w:val="superscript"/>
          <w:lang w:val="en-US" w:eastAsia="en-AU"/>
        </w:rPr>
        <w:t>6</w:t>
      </w:r>
      <w:r w:rsidRPr="00D55422">
        <w:rPr>
          <w:lang w:val="en-US" w:eastAsia="en-AU"/>
        </w:rPr>
        <w:t>Department of Pharmaceutical Sciences, Federal University of Espirito Santo, Vitória, Brazil</w:t>
      </w:r>
    </w:p>
    <w:p w14:paraId="618377FE" w14:textId="24E539CF" w:rsidR="00DD67F4" w:rsidRDefault="00DD67F4"/>
    <w:p w14:paraId="08E78954" w14:textId="54147BE0" w:rsidR="000F6DA2" w:rsidRDefault="000F6DA2">
      <w:pPr>
        <w:rPr>
          <w:b/>
          <w:bCs/>
        </w:rPr>
      </w:pPr>
      <w:r w:rsidRPr="000F6DA2">
        <w:rPr>
          <w:b/>
          <w:bCs/>
        </w:rPr>
        <w:t>Supplementary Data</w:t>
      </w:r>
    </w:p>
    <w:p w14:paraId="30E12E4C" w14:textId="49B9DEFE" w:rsidR="000F6DA2" w:rsidRDefault="000F6DA2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1CA606B6" w14:textId="3152ADAE" w:rsidR="000F6DA2" w:rsidRPr="000F6DA2" w:rsidRDefault="000F6DA2" w:rsidP="000F6DA2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  <w:r>
        <w:rPr>
          <w:b/>
          <w:bCs/>
          <w:noProof/>
          <w:sz w:val="20"/>
          <w:szCs w:val="20"/>
          <w:lang w:val="en-US" w:eastAsia="de-CH"/>
          <w14:ligatures w14:val="standardContextual"/>
        </w:rPr>
        <w:lastRenderedPageBreak/>
        <w:drawing>
          <wp:anchor distT="0" distB="0" distL="114300" distR="114300" simplePos="0" relativeHeight="251658240" behindDoc="0" locked="0" layoutInCell="1" allowOverlap="1" wp14:anchorId="4BDDC5C0" wp14:editId="48265E3E">
            <wp:simplePos x="0" y="0"/>
            <wp:positionH relativeFrom="margin">
              <wp:posOffset>-163992</wp:posOffset>
            </wp:positionH>
            <wp:positionV relativeFrom="paragraph">
              <wp:posOffset>342</wp:posOffset>
            </wp:positionV>
            <wp:extent cx="6059016" cy="2491056"/>
            <wp:effectExtent l="0" t="0" r="0" b="508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4" t="10255" r="5240" b="22547"/>
                    <a:stretch/>
                  </pic:blipFill>
                  <pic:spPr bwMode="auto">
                    <a:xfrm>
                      <a:off x="0" y="0"/>
                      <a:ext cx="6083442" cy="25010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6DA2">
        <w:rPr>
          <w:b/>
          <w:bCs/>
          <w:sz w:val="20"/>
          <w:szCs w:val="20"/>
          <w:lang w:val="en-US" w:eastAsia="de-CH"/>
        </w:rPr>
        <w:t>Figure S1</w:t>
      </w:r>
      <w:r w:rsidRPr="000F6DA2">
        <w:rPr>
          <w:b/>
          <w:bCs/>
          <w:sz w:val="20"/>
          <w:szCs w:val="20"/>
          <w:lang w:val="en-US"/>
        </w:rPr>
        <w:t xml:space="preserve">: Effect of combined CDDP and ATV treatment on apoptotic rates in MCF-7 and MDA-MB-231 cell lines. </w:t>
      </w:r>
    </w:p>
    <w:p w14:paraId="285C317C" w14:textId="3E102611" w:rsidR="000F6DA2" w:rsidRDefault="000F6DA2" w:rsidP="000F6DA2">
      <w:pPr>
        <w:spacing w:after="240" w:line="480" w:lineRule="auto"/>
        <w:jc w:val="both"/>
        <w:rPr>
          <w:sz w:val="20"/>
          <w:szCs w:val="20"/>
          <w:lang w:val="en-US"/>
        </w:rPr>
      </w:pPr>
      <w:r w:rsidRPr="000F6DA2">
        <w:rPr>
          <w:sz w:val="20"/>
          <w:szCs w:val="20"/>
          <w:lang w:val="en-US"/>
        </w:rPr>
        <w:t>(A) MCF-7 and (B) MDA-MB-231 cells treated without ATV (control), 0.1 µM</w:t>
      </w:r>
      <w:r w:rsidRPr="000F6DA2" w:rsidDel="004C2B44">
        <w:rPr>
          <w:sz w:val="20"/>
          <w:szCs w:val="20"/>
          <w:lang w:val="en-US"/>
        </w:rPr>
        <w:t xml:space="preserve"> </w:t>
      </w:r>
      <w:r w:rsidRPr="000F6DA2">
        <w:rPr>
          <w:sz w:val="20"/>
          <w:szCs w:val="20"/>
          <w:lang w:val="en-US"/>
        </w:rPr>
        <w:t>ATV, 0.1 µM</w:t>
      </w:r>
      <w:r w:rsidRPr="000F6DA2" w:rsidDel="004C2B44">
        <w:rPr>
          <w:sz w:val="20"/>
          <w:szCs w:val="20"/>
          <w:lang w:val="en-US"/>
        </w:rPr>
        <w:t xml:space="preserve"> </w:t>
      </w:r>
      <w:r w:rsidRPr="000F6DA2">
        <w:rPr>
          <w:sz w:val="20"/>
          <w:szCs w:val="20"/>
          <w:lang w:val="en-US"/>
        </w:rPr>
        <w:t>(IC</w:t>
      </w:r>
      <w:r w:rsidRPr="000F6DA2">
        <w:rPr>
          <w:sz w:val="20"/>
          <w:szCs w:val="20"/>
          <w:vertAlign w:val="subscript"/>
          <w:lang w:val="en-US"/>
        </w:rPr>
        <w:t>50</w:t>
      </w:r>
      <w:r w:rsidRPr="000F6DA2">
        <w:rPr>
          <w:sz w:val="20"/>
          <w:szCs w:val="20"/>
          <w:lang w:val="en-US"/>
        </w:rPr>
        <w:t>) ATV (top panels), or 2 µM CDDP alone, 2 µM CDDP + 0.1 µM ATV or 2 µM CDDP + 5 µM ATV (bottom panels). Flow cytometric analysis results are shown after treatment for 48 h.</w:t>
      </w:r>
    </w:p>
    <w:p w14:paraId="73E332D1" w14:textId="1F6BE33E" w:rsidR="000F6DA2" w:rsidRPr="000F6DA2" w:rsidRDefault="000F6DA2" w:rsidP="000F6DA2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26093726" wp14:editId="6011A175">
            <wp:simplePos x="0" y="0"/>
            <wp:positionH relativeFrom="margin">
              <wp:posOffset>1147790</wp:posOffset>
            </wp:positionH>
            <wp:positionV relativeFrom="paragraph">
              <wp:posOffset>195</wp:posOffset>
            </wp:positionV>
            <wp:extent cx="3435940" cy="2841870"/>
            <wp:effectExtent l="0" t="0" r="0" b="0"/>
            <wp:wrapTopAndBottom/>
            <wp:docPr id="2" name="Picture 2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graphical user interface&#10;&#10;Description automatically generated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01" t="12000" r="61588" b="47400"/>
                    <a:stretch/>
                  </pic:blipFill>
                  <pic:spPr bwMode="auto">
                    <a:xfrm>
                      <a:off x="0" y="0"/>
                      <a:ext cx="3450273" cy="2853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6DA2">
        <w:rPr>
          <w:b/>
          <w:bCs/>
          <w:sz w:val="20"/>
          <w:szCs w:val="20"/>
          <w:lang w:val="en-US" w:eastAsia="de-CH"/>
        </w:rPr>
        <w:t>Figure S2</w:t>
      </w:r>
      <w:r w:rsidRPr="000F6DA2">
        <w:rPr>
          <w:b/>
          <w:bCs/>
          <w:sz w:val="20"/>
          <w:szCs w:val="20"/>
          <w:lang w:val="en-US"/>
        </w:rPr>
        <w:t xml:space="preserve">: Effect of cholesterol deprivation on cholesterol esterification. </w:t>
      </w:r>
    </w:p>
    <w:p w14:paraId="6E2174C8" w14:textId="3BBAB18A" w:rsidR="000F6DA2" w:rsidRDefault="000F6DA2" w:rsidP="000F6DA2">
      <w:pPr>
        <w:spacing w:after="240" w:line="480" w:lineRule="auto"/>
        <w:jc w:val="both"/>
        <w:rPr>
          <w:sz w:val="20"/>
          <w:szCs w:val="20"/>
          <w:lang w:val="en-US"/>
        </w:rPr>
      </w:pPr>
      <w:r w:rsidRPr="000F6DA2">
        <w:rPr>
          <w:sz w:val="20"/>
          <w:szCs w:val="20"/>
          <w:lang w:val="en-US"/>
        </w:rPr>
        <w:t xml:space="preserve">Incorporation of radiolabeled oleate into CE in MCF-7 and MDA-MB-231 cells. BC cells were plated and cultivated in standard culture medium for 24h and then radiolabeled oleate was added and incorporation into CE was determined. </w:t>
      </w:r>
      <w:proofErr w:type="gramStart"/>
      <w:r w:rsidRPr="000F6DA2">
        <w:rPr>
          <w:sz w:val="20"/>
          <w:szCs w:val="20"/>
          <w:lang w:val="en-US"/>
        </w:rPr>
        <w:t>Two</w:t>
      </w:r>
      <w:proofErr w:type="gramEnd"/>
      <w:r w:rsidRPr="000F6DA2">
        <w:rPr>
          <w:sz w:val="20"/>
          <w:szCs w:val="20"/>
          <w:lang w:val="en-US"/>
        </w:rPr>
        <w:t>-Way ANOVA multiple comparisons test was used. Error bars represent the mean ± SD, n = 3, *p &lt;0.05, **p &lt;0.005, ***p &lt;0.0001.</w:t>
      </w:r>
    </w:p>
    <w:p w14:paraId="0439E097" w14:textId="77777777" w:rsidR="000F6DA2" w:rsidRDefault="000F6DA2">
      <w:pPr>
        <w:spacing w:after="160" w:line="259" w:lineRule="auto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14:paraId="148A1C69" w14:textId="702A5735" w:rsidR="000F6DA2" w:rsidRPr="000F6DA2" w:rsidRDefault="000F6DA2" w:rsidP="000F6DA2">
      <w:pPr>
        <w:spacing w:line="480" w:lineRule="auto"/>
        <w:jc w:val="both"/>
        <w:rPr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  <w14:ligatures w14:val="standardContextual"/>
        </w:rPr>
        <w:lastRenderedPageBreak/>
        <w:drawing>
          <wp:anchor distT="0" distB="0" distL="114300" distR="114300" simplePos="0" relativeHeight="251660288" behindDoc="0" locked="0" layoutInCell="1" allowOverlap="1" wp14:anchorId="1ACDA2DE" wp14:editId="7FE786C6">
            <wp:simplePos x="0" y="0"/>
            <wp:positionH relativeFrom="margin">
              <wp:posOffset>718493</wp:posOffset>
            </wp:positionH>
            <wp:positionV relativeFrom="paragraph">
              <wp:posOffset>35</wp:posOffset>
            </wp:positionV>
            <wp:extent cx="4294280" cy="2469382"/>
            <wp:effectExtent l="0" t="0" r="0" b="7620"/>
            <wp:wrapTopAndBottom/>
            <wp:docPr id="3" name="Picture 3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able&#10;&#10;Description automatically generated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17" t="13970" r="58765" b="50025"/>
                    <a:stretch/>
                  </pic:blipFill>
                  <pic:spPr bwMode="auto">
                    <a:xfrm>
                      <a:off x="0" y="0"/>
                      <a:ext cx="4310173" cy="24785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6DA2">
        <w:rPr>
          <w:b/>
          <w:bCs/>
          <w:sz w:val="20"/>
          <w:szCs w:val="20"/>
          <w:lang w:val="en-US" w:eastAsia="de-CH"/>
        </w:rPr>
        <w:t>Figure S3</w:t>
      </w:r>
      <w:r w:rsidRPr="000F6DA2">
        <w:rPr>
          <w:b/>
          <w:bCs/>
          <w:sz w:val="20"/>
          <w:szCs w:val="20"/>
          <w:lang w:val="en-US"/>
        </w:rPr>
        <w:t xml:space="preserve">: Effect of ATV on ACAT-1 expression. </w:t>
      </w:r>
    </w:p>
    <w:p w14:paraId="1170B673" w14:textId="4E207BE4" w:rsidR="000F6DA2" w:rsidRDefault="000F6DA2" w:rsidP="000F6DA2">
      <w:pPr>
        <w:spacing w:after="240" w:line="480" w:lineRule="auto"/>
        <w:jc w:val="both"/>
        <w:rPr>
          <w:sz w:val="20"/>
          <w:szCs w:val="20"/>
          <w:lang w:val="en-US"/>
        </w:rPr>
      </w:pPr>
      <w:r w:rsidRPr="000F6DA2">
        <w:rPr>
          <w:sz w:val="20"/>
          <w:szCs w:val="20"/>
          <w:lang w:val="en-US"/>
        </w:rPr>
        <w:t xml:space="preserve">MCF-7 and MDA-MB-231 cell lines were cultivated in DMEM containing FBS overnight, followed by ATV treatment (0.1µM, 1µM or 10µM) for 48h. A representative </w:t>
      </w:r>
      <w:proofErr w:type="gramStart"/>
      <w:r w:rsidRPr="000F6DA2">
        <w:rPr>
          <w:sz w:val="20"/>
          <w:szCs w:val="20"/>
          <w:lang w:val="en-US"/>
        </w:rPr>
        <w:t>immunoblot</w:t>
      </w:r>
      <w:proofErr w:type="gramEnd"/>
      <w:r w:rsidRPr="000F6DA2">
        <w:rPr>
          <w:sz w:val="20"/>
          <w:szCs w:val="20"/>
          <w:lang w:val="en-US"/>
        </w:rPr>
        <w:t xml:space="preserve"> of ACAT-1 and 14-3-3 (loading control) proteins is shown (n=3).</w:t>
      </w:r>
    </w:p>
    <w:p w14:paraId="2C140623" w14:textId="2341E477" w:rsidR="000F6DA2" w:rsidRPr="000F6DA2" w:rsidRDefault="000F6DA2" w:rsidP="000F6DA2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  <w14:ligatures w14:val="standardContextual"/>
        </w:rPr>
        <w:drawing>
          <wp:anchor distT="0" distB="0" distL="114300" distR="114300" simplePos="0" relativeHeight="251661312" behindDoc="0" locked="0" layoutInCell="1" allowOverlap="1" wp14:anchorId="7ED43639" wp14:editId="62B3B55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0251" cy="2271932"/>
            <wp:effectExtent l="0" t="0" r="3810" b="0"/>
            <wp:wrapTopAndBottom/>
            <wp:docPr id="4" name="Picture 4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graphical user interface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236" b="12276"/>
                    <a:stretch/>
                  </pic:blipFill>
                  <pic:spPr bwMode="auto">
                    <a:xfrm>
                      <a:off x="0" y="0"/>
                      <a:ext cx="5730251" cy="22719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6DA2">
        <w:rPr>
          <w:b/>
          <w:bCs/>
          <w:sz w:val="20"/>
          <w:szCs w:val="20"/>
          <w:lang w:val="en-US" w:eastAsia="de-CH"/>
        </w:rPr>
        <w:t>Figure S4</w:t>
      </w:r>
      <w:r w:rsidRPr="000F6DA2">
        <w:rPr>
          <w:b/>
          <w:bCs/>
          <w:sz w:val="20"/>
          <w:szCs w:val="20"/>
          <w:lang w:val="en-US"/>
        </w:rPr>
        <w:t>:</w:t>
      </w:r>
      <w:r w:rsidRPr="000F6DA2">
        <w:rPr>
          <w:b/>
          <w:bCs/>
          <w:sz w:val="20"/>
          <w:szCs w:val="20"/>
          <w:lang w:val="en-US" w:eastAsia="de-CH"/>
        </w:rPr>
        <w:t xml:space="preserve"> </w:t>
      </w:r>
      <w:r w:rsidRPr="000F6DA2">
        <w:rPr>
          <w:b/>
          <w:bCs/>
          <w:sz w:val="20"/>
          <w:szCs w:val="20"/>
          <w:lang w:val="en-US"/>
        </w:rPr>
        <w:t xml:space="preserve">Breast cancer cell morphology. </w:t>
      </w:r>
    </w:p>
    <w:p w14:paraId="173C3493" w14:textId="5B652FE9" w:rsidR="000F6DA2" w:rsidRDefault="000F6DA2" w:rsidP="000F6DA2">
      <w:pPr>
        <w:spacing w:after="240" w:line="480" w:lineRule="auto"/>
        <w:jc w:val="both"/>
        <w:rPr>
          <w:sz w:val="20"/>
          <w:szCs w:val="20"/>
          <w:lang w:val="en-US"/>
        </w:rPr>
      </w:pPr>
      <w:r w:rsidRPr="000F6DA2">
        <w:rPr>
          <w:sz w:val="20"/>
          <w:szCs w:val="20"/>
          <w:lang w:val="en-US"/>
        </w:rPr>
        <w:t xml:space="preserve">(A) MDA-MB-231 and (B) MDACR. MDACR cells have distinct morphological changes exposed to CDDP (indicated by the red arrow). Cell morphology was analyzed in a Zeiss Observer Z1 microscope, and all images were acquired by </w:t>
      </w:r>
      <w:proofErr w:type="spellStart"/>
      <w:r w:rsidRPr="000F6DA2">
        <w:rPr>
          <w:sz w:val="20"/>
          <w:szCs w:val="20"/>
          <w:lang w:val="en-US"/>
        </w:rPr>
        <w:t>Axio</w:t>
      </w:r>
      <w:proofErr w:type="spellEnd"/>
      <w:r w:rsidRPr="000F6DA2">
        <w:rPr>
          <w:sz w:val="20"/>
          <w:szCs w:val="20"/>
          <w:lang w:val="en-US"/>
        </w:rPr>
        <w:t xml:space="preserve">-Vision Rel. 4.8 software (Carl Zeiss). Magnification 10x. The scale bars are 10 mm. </w:t>
      </w:r>
    </w:p>
    <w:p w14:paraId="53EBEFAF" w14:textId="77777777" w:rsidR="000F6DA2" w:rsidRDefault="000F6DA2">
      <w:pPr>
        <w:spacing w:after="160" w:line="259" w:lineRule="auto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14:paraId="7BB9A64B" w14:textId="1CB36FC4" w:rsidR="000F6DA2" w:rsidRPr="000F6DA2" w:rsidRDefault="000F6DA2" w:rsidP="000F6DA2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  <w:r>
        <w:rPr>
          <w:b/>
          <w:bCs/>
          <w:noProof/>
          <w:sz w:val="20"/>
          <w:szCs w:val="20"/>
          <w:lang w:val="en-US" w:eastAsia="de-CH"/>
          <w14:ligatures w14:val="standardContextual"/>
        </w:rPr>
        <w:lastRenderedPageBreak/>
        <w:drawing>
          <wp:anchor distT="0" distB="0" distL="114300" distR="114300" simplePos="0" relativeHeight="251662336" behindDoc="0" locked="0" layoutInCell="1" allowOverlap="1" wp14:anchorId="6F0D93D7" wp14:editId="0C12E8D3">
            <wp:simplePos x="0" y="0"/>
            <wp:positionH relativeFrom="margin">
              <wp:align>center</wp:align>
            </wp:positionH>
            <wp:positionV relativeFrom="paragraph">
              <wp:posOffset>488</wp:posOffset>
            </wp:positionV>
            <wp:extent cx="3429292" cy="3707424"/>
            <wp:effectExtent l="0" t="0" r="0" b="7620"/>
            <wp:wrapTopAndBottom/>
            <wp:docPr id="5" name="Picture 5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, engineering drawing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77" r="31153" b="3765"/>
                    <a:stretch/>
                  </pic:blipFill>
                  <pic:spPr bwMode="auto">
                    <a:xfrm>
                      <a:off x="0" y="0"/>
                      <a:ext cx="3429292" cy="37074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6DA2">
        <w:rPr>
          <w:b/>
          <w:bCs/>
          <w:sz w:val="20"/>
          <w:szCs w:val="20"/>
          <w:lang w:val="en-US" w:eastAsia="de-CH"/>
        </w:rPr>
        <w:t>Figure S5</w:t>
      </w:r>
      <w:r w:rsidRPr="000F6DA2">
        <w:rPr>
          <w:b/>
          <w:bCs/>
          <w:sz w:val="20"/>
          <w:szCs w:val="20"/>
          <w:lang w:val="en-US"/>
        </w:rPr>
        <w:t>:</w:t>
      </w:r>
      <w:r w:rsidRPr="000F6DA2">
        <w:rPr>
          <w:b/>
          <w:bCs/>
          <w:sz w:val="20"/>
          <w:szCs w:val="20"/>
          <w:lang w:val="en-US" w:eastAsia="de-CH"/>
        </w:rPr>
        <w:t xml:space="preserve"> </w:t>
      </w:r>
      <w:r w:rsidRPr="000F6DA2">
        <w:rPr>
          <w:b/>
          <w:bCs/>
          <w:sz w:val="20"/>
          <w:szCs w:val="20"/>
          <w:lang w:val="en-US"/>
        </w:rPr>
        <w:t xml:space="preserve">Analysis of cross-resistance to paclitaxel and doxorubicin in MDA-MB-231 and MDACR cells. </w:t>
      </w:r>
    </w:p>
    <w:p w14:paraId="1C2D829C" w14:textId="2CCF48E8" w:rsidR="001763DB" w:rsidRDefault="000F6DA2" w:rsidP="000F6DA2">
      <w:pPr>
        <w:spacing w:after="240" w:line="480" w:lineRule="auto"/>
        <w:jc w:val="both"/>
        <w:rPr>
          <w:sz w:val="20"/>
          <w:szCs w:val="20"/>
          <w:lang w:val="en-US"/>
        </w:rPr>
      </w:pPr>
      <w:r w:rsidRPr="000F6DA2">
        <w:rPr>
          <w:sz w:val="20"/>
          <w:szCs w:val="20"/>
          <w:lang w:val="en-US"/>
        </w:rPr>
        <w:t xml:space="preserve">MDA-MB-231 and MDACR cells were treated with (A) paclitaxel (concentration 0.001 - 10 </w:t>
      </w:r>
      <w:proofErr w:type="spellStart"/>
      <w:r w:rsidRPr="000F6DA2">
        <w:rPr>
          <w:sz w:val="20"/>
          <w:szCs w:val="20"/>
          <w:lang w:val="en-US"/>
        </w:rPr>
        <w:t>μM</w:t>
      </w:r>
      <w:proofErr w:type="spellEnd"/>
      <w:r w:rsidRPr="000F6DA2">
        <w:rPr>
          <w:sz w:val="20"/>
          <w:szCs w:val="20"/>
          <w:lang w:val="en-US"/>
        </w:rPr>
        <w:t>) and (B) doxorubicin (0.1 -100μM) for 48h. IC</w:t>
      </w:r>
      <w:r w:rsidRPr="000F6DA2">
        <w:rPr>
          <w:sz w:val="20"/>
          <w:szCs w:val="20"/>
          <w:vertAlign w:val="subscript"/>
          <w:lang w:val="en-US"/>
        </w:rPr>
        <w:t>50</w:t>
      </w:r>
      <w:r w:rsidRPr="000F6DA2">
        <w:rPr>
          <w:sz w:val="20"/>
          <w:szCs w:val="20"/>
          <w:lang w:val="en-US"/>
        </w:rPr>
        <w:t xml:space="preserve"> values calculated by nonlinear regression of log(inhibitor) vs. response using least squares as fitting method in a 4 parameters calculation with variable slope. IC</w:t>
      </w:r>
      <w:r w:rsidRPr="000F6DA2">
        <w:rPr>
          <w:sz w:val="20"/>
          <w:szCs w:val="20"/>
          <w:vertAlign w:val="subscript"/>
          <w:lang w:val="en-US"/>
        </w:rPr>
        <w:t>50</w:t>
      </w:r>
      <w:r w:rsidRPr="000F6DA2">
        <w:rPr>
          <w:sz w:val="20"/>
          <w:szCs w:val="20"/>
          <w:lang w:val="en-US"/>
        </w:rPr>
        <w:t xml:space="preserve"> represents loss of 50% cell viability. Results are expressed as percentage of control (untreated cells). Error bars represent the mean ± SD, n = 3, *p &lt;0.05, **p &lt;0.005, ***p &lt;0.0001. </w:t>
      </w:r>
    </w:p>
    <w:p w14:paraId="308B518A" w14:textId="77777777" w:rsidR="001763DB" w:rsidRDefault="001763DB">
      <w:pPr>
        <w:spacing w:after="160" w:line="259" w:lineRule="auto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14:paraId="18F85BCA" w14:textId="38EA9982" w:rsidR="000F6DA2" w:rsidRPr="000F6DA2" w:rsidRDefault="001763DB" w:rsidP="001763DB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  <w:r>
        <w:rPr>
          <w:b/>
          <w:bCs/>
          <w:noProof/>
          <w:sz w:val="20"/>
          <w:szCs w:val="20"/>
          <w:lang w:val="en-US" w:eastAsia="de-CH"/>
          <w14:ligatures w14:val="standardContextual"/>
        </w:rPr>
        <w:lastRenderedPageBreak/>
        <w:drawing>
          <wp:anchor distT="0" distB="0" distL="114300" distR="114300" simplePos="0" relativeHeight="251663360" behindDoc="0" locked="0" layoutInCell="1" allowOverlap="1" wp14:anchorId="3F79DDE5" wp14:editId="78948924">
            <wp:simplePos x="0" y="0"/>
            <wp:positionH relativeFrom="margin">
              <wp:align>center</wp:align>
            </wp:positionH>
            <wp:positionV relativeFrom="paragraph">
              <wp:posOffset>147</wp:posOffset>
            </wp:positionV>
            <wp:extent cx="3756660" cy="2278380"/>
            <wp:effectExtent l="0" t="0" r="0" b="7620"/>
            <wp:wrapTopAndBottom/>
            <wp:docPr id="6" name="Picture 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&#10;&#10;Description automatically generated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23" t="9170" r="49438" b="49811"/>
                    <a:stretch/>
                  </pic:blipFill>
                  <pic:spPr bwMode="auto">
                    <a:xfrm>
                      <a:off x="0" y="0"/>
                      <a:ext cx="3756660" cy="2278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6DA2" w:rsidRPr="000F6DA2">
        <w:rPr>
          <w:b/>
          <w:bCs/>
          <w:sz w:val="20"/>
          <w:szCs w:val="20"/>
          <w:lang w:val="en-US" w:eastAsia="de-CH"/>
        </w:rPr>
        <w:t>Figure S6</w:t>
      </w:r>
      <w:r w:rsidR="000F6DA2" w:rsidRPr="000F6DA2">
        <w:rPr>
          <w:b/>
          <w:bCs/>
          <w:sz w:val="20"/>
          <w:szCs w:val="20"/>
          <w:lang w:val="en-US"/>
        </w:rPr>
        <w:t>:</w:t>
      </w:r>
      <w:r w:rsidR="000F6DA2" w:rsidRPr="000F6DA2">
        <w:rPr>
          <w:b/>
          <w:bCs/>
          <w:sz w:val="20"/>
          <w:szCs w:val="20"/>
          <w:lang w:val="en-US" w:eastAsia="de-CH"/>
        </w:rPr>
        <w:t xml:space="preserve"> </w:t>
      </w:r>
      <w:r w:rsidR="000F6DA2" w:rsidRPr="000F6DA2">
        <w:rPr>
          <w:b/>
          <w:bCs/>
          <w:sz w:val="20"/>
          <w:szCs w:val="20"/>
          <w:lang w:val="en-US"/>
        </w:rPr>
        <w:t>Comparison of ATV sensitivity in MDA-MB-231 and MDACR cells.</w:t>
      </w:r>
    </w:p>
    <w:p w14:paraId="0AE601F1" w14:textId="7A8B86A3" w:rsidR="000F6DA2" w:rsidRDefault="000F6DA2" w:rsidP="000F6DA2">
      <w:pPr>
        <w:spacing w:after="240" w:line="480" w:lineRule="auto"/>
        <w:jc w:val="both"/>
        <w:rPr>
          <w:sz w:val="20"/>
          <w:szCs w:val="20"/>
          <w:lang w:val="en-US"/>
        </w:rPr>
      </w:pPr>
      <w:r w:rsidRPr="000F6DA2">
        <w:rPr>
          <w:sz w:val="20"/>
          <w:szCs w:val="20"/>
          <w:lang w:val="en-US"/>
        </w:rPr>
        <w:t xml:space="preserve">Cells were treated with ATV (0.001 - 10 </w:t>
      </w:r>
      <w:proofErr w:type="spellStart"/>
      <w:r w:rsidRPr="000F6DA2">
        <w:rPr>
          <w:sz w:val="20"/>
          <w:szCs w:val="20"/>
          <w:lang w:val="en-US"/>
        </w:rPr>
        <w:t>μM</w:t>
      </w:r>
      <w:proofErr w:type="spellEnd"/>
      <w:r w:rsidRPr="000F6DA2">
        <w:rPr>
          <w:sz w:val="20"/>
          <w:szCs w:val="20"/>
          <w:lang w:val="en-US"/>
        </w:rPr>
        <w:t>) for 48h. IC</w:t>
      </w:r>
      <w:r w:rsidRPr="000F6DA2">
        <w:rPr>
          <w:sz w:val="20"/>
          <w:szCs w:val="20"/>
          <w:vertAlign w:val="subscript"/>
          <w:lang w:val="en-US"/>
        </w:rPr>
        <w:t>50</w:t>
      </w:r>
      <w:r w:rsidRPr="000F6DA2">
        <w:rPr>
          <w:sz w:val="20"/>
          <w:szCs w:val="20"/>
          <w:lang w:val="en-US"/>
        </w:rPr>
        <w:t xml:space="preserve"> values calculated by nonlinear regression of log(inhibitor) vs. response using least squares as fitting method in a 4 parameters calculation with variable slope. IC</w:t>
      </w:r>
      <w:r w:rsidRPr="000F6DA2">
        <w:rPr>
          <w:sz w:val="20"/>
          <w:szCs w:val="20"/>
          <w:vertAlign w:val="subscript"/>
          <w:lang w:val="en-US"/>
        </w:rPr>
        <w:t>50</w:t>
      </w:r>
      <w:r w:rsidRPr="000F6DA2">
        <w:rPr>
          <w:sz w:val="20"/>
          <w:szCs w:val="20"/>
          <w:lang w:val="en-US"/>
        </w:rPr>
        <w:t xml:space="preserve"> represents loss of 50% of viability. Results were expressed as percentage of control (untreated cells). Error bars represent the </w:t>
      </w:r>
      <w:proofErr w:type="gramStart"/>
      <w:r w:rsidRPr="000F6DA2">
        <w:rPr>
          <w:sz w:val="20"/>
          <w:szCs w:val="20"/>
          <w:lang w:val="en-US"/>
        </w:rPr>
        <w:t>mean</w:t>
      </w:r>
      <w:proofErr w:type="gramEnd"/>
      <w:r w:rsidRPr="000F6DA2">
        <w:rPr>
          <w:sz w:val="20"/>
          <w:szCs w:val="20"/>
          <w:lang w:val="en-US"/>
        </w:rPr>
        <w:t xml:space="preserve"> +/- SD, n = 3, *p &lt;0.05, **p &lt;0.005, ***p &lt;0.0001.</w:t>
      </w:r>
    </w:p>
    <w:p w14:paraId="5E7FDA1B" w14:textId="27AB25D7" w:rsidR="000F6DA2" w:rsidRDefault="000F6DA2">
      <w:pPr>
        <w:spacing w:after="160" w:line="259" w:lineRule="auto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14:paraId="34E53ED0" w14:textId="49D03FA9" w:rsidR="000F6DA2" w:rsidRPr="000F6DA2" w:rsidRDefault="001763DB" w:rsidP="000F6DA2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  <w:r>
        <w:rPr>
          <w:b/>
          <w:bCs/>
          <w:noProof/>
          <w:sz w:val="20"/>
          <w:szCs w:val="20"/>
          <w:lang w:val="en-US" w:eastAsia="de-CH"/>
          <w14:ligatures w14:val="standardContextual"/>
        </w:rPr>
        <w:lastRenderedPageBreak/>
        <w:drawing>
          <wp:anchor distT="0" distB="0" distL="114300" distR="114300" simplePos="0" relativeHeight="251664384" behindDoc="0" locked="0" layoutInCell="1" allowOverlap="1" wp14:anchorId="5527201E" wp14:editId="0B072140">
            <wp:simplePos x="0" y="0"/>
            <wp:positionH relativeFrom="margin">
              <wp:posOffset>1937441</wp:posOffset>
            </wp:positionH>
            <wp:positionV relativeFrom="paragraph">
              <wp:posOffset>422</wp:posOffset>
            </wp:positionV>
            <wp:extent cx="1842414" cy="2772380"/>
            <wp:effectExtent l="0" t="0" r="5715" b="9525"/>
            <wp:wrapTopAndBottom/>
            <wp:docPr id="7" name="Picture 7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&#10;&#10;Description automatically generated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22" t="8297" r="71651" b="49362"/>
                    <a:stretch/>
                  </pic:blipFill>
                  <pic:spPr bwMode="auto">
                    <a:xfrm>
                      <a:off x="0" y="0"/>
                      <a:ext cx="1844030" cy="27748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6DA2" w:rsidRPr="000F6DA2">
        <w:rPr>
          <w:b/>
          <w:bCs/>
          <w:sz w:val="20"/>
          <w:szCs w:val="20"/>
          <w:lang w:val="en-US" w:eastAsia="de-CH"/>
        </w:rPr>
        <w:t>Figure S7</w:t>
      </w:r>
      <w:r w:rsidR="000F6DA2" w:rsidRPr="000F6DA2">
        <w:rPr>
          <w:b/>
          <w:bCs/>
          <w:sz w:val="20"/>
          <w:szCs w:val="20"/>
          <w:lang w:val="en-US"/>
        </w:rPr>
        <w:t>:</w:t>
      </w:r>
      <w:r w:rsidR="000F6DA2" w:rsidRPr="000F6DA2">
        <w:rPr>
          <w:b/>
          <w:bCs/>
          <w:sz w:val="20"/>
          <w:szCs w:val="20"/>
          <w:lang w:val="en-US" w:eastAsia="de-CH"/>
        </w:rPr>
        <w:t xml:space="preserve"> </w:t>
      </w:r>
      <w:r w:rsidR="000F6DA2" w:rsidRPr="000F6DA2">
        <w:rPr>
          <w:b/>
          <w:bCs/>
          <w:sz w:val="20"/>
          <w:szCs w:val="20"/>
          <w:lang w:val="en-US"/>
        </w:rPr>
        <w:t xml:space="preserve">Intracellular free cholesterol content in MCF-7 and MDA-MB-231 cells. </w:t>
      </w:r>
    </w:p>
    <w:p w14:paraId="59A7773F" w14:textId="77777777" w:rsidR="000F6DA2" w:rsidRPr="000F6DA2" w:rsidRDefault="000F6DA2" w:rsidP="000F6DA2">
      <w:pPr>
        <w:spacing w:line="480" w:lineRule="auto"/>
        <w:jc w:val="both"/>
        <w:rPr>
          <w:sz w:val="20"/>
          <w:szCs w:val="20"/>
          <w:lang w:val="en-US"/>
        </w:rPr>
      </w:pPr>
      <w:r w:rsidRPr="000F6DA2">
        <w:rPr>
          <w:sz w:val="20"/>
          <w:szCs w:val="20"/>
          <w:lang w:val="en-US"/>
        </w:rPr>
        <w:t xml:space="preserve">BC cells were plated and cultivated in standard FCS-containing medium for 24h and then cholesterol content was determined with the </w:t>
      </w:r>
      <w:proofErr w:type="spellStart"/>
      <w:r w:rsidRPr="000F6DA2">
        <w:rPr>
          <w:sz w:val="20"/>
          <w:szCs w:val="20"/>
          <w:lang w:val="en-US"/>
        </w:rPr>
        <w:t>Amplex</w:t>
      </w:r>
      <w:proofErr w:type="spellEnd"/>
      <w:r w:rsidRPr="000F6DA2">
        <w:rPr>
          <w:sz w:val="20"/>
          <w:szCs w:val="20"/>
          <w:lang w:val="en-US"/>
        </w:rPr>
        <w:t xml:space="preserve">® Red Cholesterol Assay Kit. </w:t>
      </w:r>
      <w:proofErr w:type="gramStart"/>
      <w:r w:rsidRPr="000F6DA2">
        <w:rPr>
          <w:sz w:val="20"/>
          <w:szCs w:val="20"/>
          <w:lang w:val="en-US"/>
        </w:rPr>
        <w:t>Two</w:t>
      </w:r>
      <w:proofErr w:type="gramEnd"/>
      <w:r w:rsidRPr="000F6DA2">
        <w:rPr>
          <w:sz w:val="20"/>
          <w:szCs w:val="20"/>
          <w:lang w:val="en-US"/>
        </w:rPr>
        <w:t>-tailed unpaired t-test was used for statistical significance analysis of comparison between the two cell lines. *p &lt; 0.05</w:t>
      </w:r>
    </w:p>
    <w:p w14:paraId="7AAC97C0" w14:textId="059169F6" w:rsidR="00C720D0" w:rsidRDefault="00C720D0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5B680412" w14:textId="344E1BA0" w:rsidR="00C720D0" w:rsidRPr="00C22773" w:rsidRDefault="0045630D" w:rsidP="00C22773">
      <w:pPr>
        <w:spacing w:before="480" w:line="480" w:lineRule="auto"/>
        <w:jc w:val="both"/>
        <w:rPr>
          <w:b/>
          <w:bCs/>
        </w:rPr>
      </w:pPr>
      <w:r>
        <w:rPr>
          <w:b/>
          <w:bCs/>
          <w:noProof/>
          <w:sz w:val="20"/>
          <w:szCs w:val="20"/>
          <w:lang w:val="en-US" w:eastAsia="de-CH"/>
          <w14:ligatures w14:val="standardContextual"/>
        </w:rPr>
        <w:lastRenderedPageBreak/>
        <w:drawing>
          <wp:inline distT="0" distB="0" distL="0" distR="0" wp14:anchorId="3386A404" wp14:editId="3BFC8284">
            <wp:extent cx="5731510" cy="8659495"/>
            <wp:effectExtent l="0" t="0" r="2540" b="825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65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20D0" w:rsidRPr="0030795B">
        <w:rPr>
          <w:b/>
          <w:bCs/>
          <w:sz w:val="20"/>
          <w:szCs w:val="20"/>
          <w:lang w:val="en-US" w:eastAsia="de-CH"/>
        </w:rPr>
        <w:lastRenderedPageBreak/>
        <w:t>Figure S8</w:t>
      </w:r>
      <w:r w:rsidR="00C720D0" w:rsidRPr="0030795B">
        <w:rPr>
          <w:b/>
          <w:bCs/>
          <w:sz w:val="20"/>
          <w:szCs w:val="20"/>
          <w:lang w:val="en-US"/>
        </w:rPr>
        <w:t>:</w:t>
      </w:r>
      <w:r w:rsidR="00C720D0" w:rsidRPr="0030795B">
        <w:rPr>
          <w:b/>
          <w:bCs/>
          <w:sz w:val="20"/>
          <w:szCs w:val="20"/>
          <w:lang w:val="en-US" w:eastAsia="de-CH"/>
        </w:rPr>
        <w:t xml:space="preserve"> Immunoblots used </w:t>
      </w:r>
      <w:r w:rsidR="0030795B" w:rsidRPr="0030795B">
        <w:rPr>
          <w:b/>
          <w:bCs/>
          <w:sz w:val="20"/>
          <w:szCs w:val="20"/>
          <w:lang w:val="en-US" w:eastAsia="de-CH"/>
        </w:rPr>
        <w:t>as representative blots assemble</w:t>
      </w:r>
      <w:r w:rsidR="0030795B">
        <w:rPr>
          <w:b/>
          <w:bCs/>
          <w:sz w:val="20"/>
          <w:szCs w:val="20"/>
          <w:lang w:val="en-US" w:eastAsia="de-CH"/>
        </w:rPr>
        <w:t>d in various figures of the manuscript.</w:t>
      </w:r>
    </w:p>
    <w:p w14:paraId="5196AE5C" w14:textId="6B3CF14E" w:rsidR="00C720D0" w:rsidRPr="00C720D0" w:rsidRDefault="00C720D0" w:rsidP="00B53469">
      <w:pPr>
        <w:spacing w:line="480" w:lineRule="auto"/>
        <w:jc w:val="both"/>
        <w:rPr>
          <w:sz w:val="20"/>
          <w:szCs w:val="20"/>
        </w:rPr>
      </w:pPr>
      <w:r w:rsidRPr="00C720D0">
        <w:rPr>
          <w:sz w:val="20"/>
          <w:szCs w:val="20"/>
        </w:rPr>
        <w:t xml:space="preserve">(A) </w:t>
      </w:r>
      <w:r w:rsidR="00F11557" w:rsidRPr="00C720D0">
        <w:rPr>
          <w:sz w:val="20"/>
          <w:szCs w:val="20"/>
        </w:rPr>
        <w:t xml:space="preserve">and (B) </w:t>
      </w:r>
      <w:r w:rsidR="00FE7FD3">
        <w:rPr>
          <w:sz w:val="20"/>
          <w:szCs w:val="20"/>
        </w:rPr>
        <w:t>show the full immun</w:t>
      </w:r>
      <w:r w:rsidR="0045630D">
        <w:rPr>
          <w:sz w:val="20"/>
          <w:szCs w:val="20"/>
        </w:rPr>
        <w:t>o</w:t>
      </w:r>
      <w:r w:rsidR="00FE7FD3">
        <w:rPr>
          <w:sz w:val="20"/>
          <w:szCs w:val="20"/>
        </w:rPr>
        <w:t>blot used to assemble Figure 5</w:t>
      </w:r>
      <w:r w:rsidR="00F11557">
        <w:rPr>
          <w:sz w:val="20"/>
          <w:szCs w:val="20"/>
        </w:rPr>
        <w:t xml:space="preserve">A and 5B, respectively. (C), (D) and (E) </w:t>
      </w:r>
      <w:r w:rsidR="00BE2B06">
        <w:rPr>
          <w:sz w:val="20"/>
          <w:szCs w:val="20"/>
        </w:rPr>
        <w:t>show the full immun</w:t>
      </w:r>
      <w:r w:rsidR="0045630D">
        <w:rPr>
          <w:sz w:val="20"/>
          <w:szCs w:val="20"/>
        </w:rPr>
        <w:t>o</w:t>
      </w:r>
      <w:r w:rsidR="00BE2B06">
        <w:rPr>
          <w:sz w:val="20"/>
          <w:szCs w:val="20"/>
        </w:rPr>
        <w:t>blot used to assemble Figure 6C, 6D and 6E, respectively.</w:t>
      </w:r>
      <w:r w:rsidR="00C22773">
        <w:rPr>
          <w:sz w:val="20"/>
          <w:szCs w:val="20"/>
        </w:rPr>
        <w:t xml:space="preserve"> </w:t>
      </w:r>
      <w:r w:rsidR="00BE2B06">
        <w:rPr>
          <w:sz w:val="20"/>
          <w:szCs w:val="20"/>
        </w:rPr>
        <w:t>(F) shows the full immun</w:t>
      </w:r>
      <w:r w:rsidR="0045630D">
        <w:rPr>
          <w:sz w:val="20"/>
          <w:szCs w:val="20"/>
        </w:rPr>
        <w:t>o</w:t>
      </w:r>
      <w:r w:rsidR="00BE2B06">
        <w:rPr>
          <w:sz w:val="20"/>
          <w:szCs w:val="20"/>
        </w:rPr>
        <w:t xml:space="preserve">blot used to assemble Figure </w:t>
      </w:r>
      <w:r w:rsidR="006F5B2A">
        <w:rPr>
          <w:sz w:val="20"/>
          <w:szCs w:val="20"/>
        </w:rPr>
        <w:t>7B. (G) show the full immun</w:t>
      </w:r>
      <w:r w:rsidR="0045630D">
        <w:rPr>
          <w:sz w:val="20"/>
          <w:szCs w:val="20"/>
        </w:rPr>
        <w:t>o</w:t>
      </w:r>
      <w:r w:rsidR="006F5B2A">
        <w:rPr>
          <w:sz w:val="20"/>
          <w:szCs w:val="20"/>
        </w:rPr>
        <w:t>blot used to assemble Figure S3.</w:t>
      </w:r>
      <w:r w:rsidR="00C22773">
        <w:rPr>
          <w:sz w:val="20"/>
          <w:szCs w:val="20"/>
        </w:rPr>
        <w:t xml:space="preserve"> </w:t>
      </w:r>
      <w:r w:rsidR="009D2062" w:rsidRPr="00C720D0">
        <w:rPr>
          <w:sz w:val="20"/>
          <w:szCs w:val="20"/>
        </w:rPr>
        <w:t>All other figures were detected using ECL</w:t>
      </w:r>
      <w:r w:rsidR="009D2062">
        <w:rPr>
          <w:sz w:val="20"/>
          <w:szCs w:val="20"/>
        </w:rPr>
        <w:t xml:space="preserve"> and </w:t>
      </w:r>
      <w:r w:rsidR="00AE3157">
        <w:rPr>
          <w:sz w:val="20"/>
          <w:szCs w:val="20"/>
        </w:rPr>
        <w:t xml:space="preserve">Bio-Rad </w:t>
      </w:r>
      <w:proofErr w:type="spellStart"/>
      <w:r w:rsidR="00AE3157" w:rsidRPr="00AE3157">
        <w:rPr>
          <w:sz w:val="20"/>
          <w:szCs w:val="20"/>
        </w:rPr>
        <w:t>ChemiDoc</w:t>
      </w:r>
      <w:proofErr w:type="spellEnd"/>
      <w:r w:rsidR="00AE3157" w:rsidRPr="00AE3157">
        <w:rPr>
          <w:sz w:val="20"/>
          <w:szCs w:val="20"/>
        </w:rPr>
        <w:t xml:space="preserve"> System</w:t>
      </w:r>
      <w:r w:rsidR="00AE3157">
        <w:rPr>
          <w:sz w:val="20"/>
          <w:szCs w:val="20"/>
        </w:rPr>
        <w:t>.</w:t>
      </w:r>
      <w:r w:rsidR="00C22773">
        <w:rPr>
          <w:sz w:val="20"/>
          <w:szCs w:val="20"/>
        </w:rPr>
        <w:t xml:space="preserve"> </w:t>
      </w:r>
      <w:r w:rsidR="00DE1153">
        <w:rPr>
          <w:sz w:val="20"/>
          <w:szCs w:val="20"/>
        </w:rPr>
        <w:t>Red</w:t>
      </w:r>
      <w:r w:rsidRPr="00C720D0">
        <w:rPr>
          <w:sz w:val="20"/>
          <w:szCs w:val="20"/>
        </w:rPr>
        <w:t xml:space="preserve"> boxes indicate the cropped portion of each immunoblot shown in the corresponding main figures. </w:t>
      </w:r>
      <w:r w:rsidR="00B46A47">
        <w:rPr>
          <w:sz w:val="20"/>
          <w:szCs w:val="20"/>
        </w:rPr>
        <w:t>Paired membranes are evident by common labelling on the membrane</w:t>
      </w:r>
      <w:r w:rsidR="00BE77EA">
        <w:rPr>
          <w:sz w:val="20"/>
          <w:szCs w:val="20"/>
        </w:rPr>
        <w:t>;</w:t>
      </w:r>
      <w:r w:rsidR="00B46A47">
        <w:rPr>
          <w:sz w:val="20"/>
          <w:szCs w:val="20"/>
        </w:rPr>
        <w:t xml:space="preserve"> for example</w:t>
      </w:r>
      <w:r w:rsidR="00BE77EA">
        <w:rPr>
          <w:sz w:val="20"/>
          <w:szCs w:val="20"/>
        </w:rPr>
        <w:t>,</w:t>
      </w:r>
      <w:r w:rsidR="00B46A47">
        <w:rPr>
          <w:sz w:val="20"/>
          <w:szCs w:val="20"/>
        </w:rPr>
        <w:t xml:space="preserve"> (A) </w:t>
      </w:r>
      <w:r w:rsidR="00C255B4">
        <w:rPr>
          <w:sz w:val="20"/>
          <w:szCs w:val="20"/>
        </w:rPr>
        <w:t xml:space="preserve">ACAT-1 and 14-3-3 have “3” on the left, </w:t>
      </w:r>
      <w:r w:rsidR="008202CA">
        <w:rPr>
          <w:sz w:val="20"/>
          <w:szCs w:val="20"/>
        </w:rPr>
        <w:t xml:space="preserve">similarly HMGCR and 14-3-3 pair have “2”. </w:t>
      </w:r>
    </w:p>
    <w:sectPr w:rsidR="00C720D0" w:rsidRPr="00C720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Y1NrU0NjOwMDc2NTVV0lEKTi0uzszPAykwqwUAtsE0biwAAAA="/>
  </w:docVars>
  <w:rsids>
    <w:rsidRoot w:val="000F6DA2"/>
    <w:rsid w:val="000F6DA2"/>
    <w:rsid w:val="00166277"/>
    <w:rsid w:val="001763DB"/>
    <w:rsid w:val="0030795B"/>
    <w:rsid w:val="0045630D"/>
    <w:rsid w:val="005C1845"/>
    <w:rsid w:val="00603059"/>
    <w:rsid w:val="006B2697"/>
    <w:rsid w:val="006F5B2A"/>
    <w:rsid w:val="007C7D2D"/>
    <w:rsid w:val="008202CA"/>
    <w:rsid w:val="008804E5"/>
    <w:rsid w:val="009D2062"/>
    <w:rsid w:val="00AE3157"/>
    <w:rsid w:val="00B46A47"/>
    <w:rsid w:val="00B53469"/>
    <w:rsid w:val="00BA78F2"/>
    <w:rsid w:val="00BE2B06"/>
    <w:rsid w:val="00BE77EA"/>
    <w:rsid w:val="00C22773"/>
    <w:rsid w:val="00C255B4"/>
    <w:rsid w:val="00C720D0"/>
    <w:rsid w:val="00DD67F4"/>
    <w:rsid w:val="00DE1153"/>
    <w:rsid w:val="00F11557"/>
    <w:rsid w:val="00F66AEF"/>
    <w:rsid w:val="00FE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92305"/>
  <w15:chartTrackingRefBased/>
  <w15:docId w15:val="{51E75964-BD75-47D9-B259-4AE2AA20E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6DA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image" Target="media/image8.png"/><Relationship Id="rId5" Type="http://schemas.openxmlformats.org/officeDocument/2006/relationships/image" Target="media/image2.TIF"/><Relationship Id="rId10" Type="http://schemas.openxmlformats.org/officeDocument/2006/relationships/image" Target="media/image7.TIF"/><Relationship Id="rId4" Type="http://schemas.openxmlformats.org/officeDocument/2006/relationships/image" Target="media/image1.TIF"/><Relationship Id="rId9" Type="http://schemas.openxmlformats.org/officeDocument/2006/relationships/image" Target="media/image6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8</Pages>
  <Words>710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Hoy</dc:creator>
  <cp:keywords/>
  <dc:description/>
  <cp:lastModifiedBy>Andrew Hoy</cp:lastModifiedBy>
  <cp:revision>24</cp:revision>
  <dcterms:created xsi:type="dcterms:W3CDTF">2022-07-29T02:38:00Z</dcterms:created>
  <dcterms:modified xsi:type="dcterms:W3CDTF">2022-08-07T01:56:00Z</dcterms:modified>
</cp:coreProperties>
</file>