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1CA1F" w14:textId="7EA5D957" w:rsidR="00E269E2" w:rsidRDefault="00E269E2">
      <w:bookmarkStart w:id="0" w:name="_Hlk83740766"/>
      <w:bookmarkEnd w:id="0"/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eFigure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1.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Study sample attrition </w:t>
      </w:r>
    </w:p>
    <w:p w14:paraId="07E59FB0" w14:textId="58C7638B" w:rsidR="00E269E2" w:rsidRDefault="00CA1BA1">
      <w:r w:rsidRPr="00CA1BA1">
        <w:rPr>
          <w:noProof/>
        </w:rPr>
        <w:drawing>
          <wp:inline distT="0" distB="0" distL="0" distR="0" wp14:anchorId="7442B7B1" wp14:editId="07376B35">
            <wp:extent cx="8229600" cy="43287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32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433F1" w14:textId="5941E404" w:rsidR="00E269E2" w:rsidRDefault="00E269E2">
      <w:r>
        <w:br w:type="page"/>
      </w:r>
    </w:p>
    <w:p w14:paraId="5EC85573" w14:textId="77777777" w:rsidR="00E269E2" w:rsidRDefault="00E269E2">
      <w:pPr>
        <w:sectPr w:rsidR="00E269E2" w:rsidSect="00E269E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A61D562" w14:textId="2AF79D76" w:rsidR="00FD32AC" w:rsidRPr="00A06DE5" w:rsidRDefault="00FD32AC" w:rsidP="00FD32A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>
        <w:lastRenderedPageBreak/>
        <w:t>eFigure</w:t>
      </w:r>
      <w:proofErr w:type="spellEnd"/>
      <w:r>
        <w:t xml:space="preserve"> 2. </w:t>
      </w:r>
      <w:r w:rsidRPr="00A06DE5">
        <w:rPr>
          <w:rFonts w:cstheme="minorHAnsi"/>
        </w:rPr>
        <w:t>Temporal trends in bariatric procedures from 200</w:t>
      </w:r>
      <w:r>
        <w:rPr>
          <w:rFonts w:cstheme="minorHAnsi"/>
        </w:rPr>
        <w:t>8</w:t>
      </w:r>
      <w:r w:rsidRPr="00A06DE5">
        <w:rPr>
          <w:rFonts w:cstheme="minorHAnsi"/>
        </w:rPr>
        <w:t xml:space="preserve"> to 20</w:t>
      </w:r>
      <w:r>
        <w:rPr>
          <w:rFonts w:cstheme="minorHAnsi"/>
        </w:rPr>
        <w:t>18</w:t>
      </w:r>
    </w:p>
    <w:p w14:paraId="3643CF51" w14:textId="77777777" w:rsidR="00FD32AC" w:rsidRDefault="00FD32AC" w:rsidP="00FD32AC"/>
    <w:p w14:paraId="62753189" w14:textId="77777777" w:rsidR="00FD32AC" w:rsidRDefault="00FD32AC" w:rsidP="00FD32AC">
      <w:r>
        <w:rPr>
          <w:noProof/>
        </w:rPr>
        <w:drawing>
          <wp:inline distT="0" distB="0" distL="0" distR="0" wp14:anchorId="1BA48200" wp14:editId="111BEC94">
            <wp:extent cx="6172200" cy="3829050"/>
            <wp:effectExtent l="0" t="0" r="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5767715B-C3EC-443D-B1D0-D4F52071A3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4FA502D" w14:textId="77777777" w:rsidR="00FD32AC" w:rsidRDefault="00FD32AC" w:rsidP="00FD32A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06DE5">
        <w:rPr>
          <w:rFonts w:cstheme="minorHAnsi"/>
        </w:rPr>
        <w:t>Size of the bubble is proportionate to the number of patients at that time point.</w:t>
      </w:r>
      <w:r w:rsidRPr="00F757A1">
        <w:rPr>
          <w:rFonts w:cstheme="minorHAnsi"/>
        </w:rPr>
        <w:t xml:space="preserve"> </w:t>
      </w:r>
      <w:r w:rsidRPr="00A06DE5">
        <w:rPr>
          <w:rFonts w:cstheme="minorHAnsi"/>
        </w:rPr>
        <w:t>AGB=adjustable gastric banding; RYGB=</w:t>
      </w:r>
      <w:proofErr w:type="spellStart"/>
      <w:r w:rsidRPr="00A06DE5">
        <w:rPr>
          <w:rFonts w:cstheme="minorHAnsi"/>
        </w:rPr>
        <w:t>Roux-en-y</w:t>
      </w:r>
      <w:proofErr w:type="spellEnd"/>
      <w:r w:rsidRPr="00A06DE5">
        <w:rPr>
          <w:rFonts w:cstheme="minorHAnsi"/>
        </w:rPr>
        <w:t xml:space="preserve"> gastric bypass procedure; SG=sleeve gastrectomy</w:t>
      </w:r>
    </w:p>
    <w:p w14:paraId="51E2AE68" w14:textId="77777777" w:rsidR="00FD32AC" w:rsidRDefault="00FD32AC" w:rsidP="00FD32A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049A061" w14:textId="21FA918F" w:rsidR="00FD32AC" w:rsidRDefault="00FD32AC" w:rsidP="00FD32A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4AEE7AE" w14:textId="7384B19F" w:rsidR="00153BAB" w:rsidRDefault="00153BAB" w:rsidP="00FD32A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>
        <w:rPr>
          <w:rFonts w:cstheme="minorHAnsi"/>
        </w:rPr>
        <w:t>eFigure</w:t>
      </w:r>
      <w:proofErr w:type="spellEnd"/>
      <w:r>
        <w:rPr>
          <w:rFonts w:cstheme="minorHAnsi"/>
        </w:rPr>
        <w:t xml:space="preserve"> 3. </w:t>
      </w:r>
      <w:r w:rsidRPr="00153BAB">
        <w:rPr>
          <w:rFonts w:cstheme="minorHAnsi"/>
        </w:rPr>
        <w:t>Figure 1: Index date assignment for non-surgical group.</w:t>
      </w:r>
    </w:p>
    <w:p w14:paraId="414979D5" w14:textId="69028D7B" w:rsidR="00153BAB" w:rsidRDefault="00153BAB" w:rsidP="00FD32A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69018961" wp14:editId="7E0D8DB6">
            <wp:extent cx="4810125" cy="1932305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0BE2F8" w14:textId="2B0F3C94" w:rsidR="00153BAB" w:rsidRDefault="00153BAB" w:rsidP="00FD32A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293D69B" w14:textId="7C9CADCE" w:rsidR="00153BAB" w:rsidRDefault="00153BAB" w:rsidP="00FD32A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1C4AC34" w14:textId="110F14BF" w:rsidR="00153BAB" w:rsidRDefault="00153BAB" w:rsidP="00FD32A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A9B8C4D" w14:textId="0C622032" w:rsidR="00153BAB" w:rsidRDefault="00153BAB" w:rsidP="00FD32A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B79D6D0" w14:textId="7C32A953" w:rsidR="00153BAB" w:rsidRDefault="00153BAB" w:rsidP="00FD32A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39A5F7D" w14:textId="331C6C24" w:rsidR="00FD32AC" w:rsidRDefault="0093115F" w:rsidP="00FD32A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 xml:space="preserve">eTable1: </w:t>
      </w:r>
      <w:r w:rsidRPr="0093115F">
        <w:rPr>
          <w:rFonts w:cstheme="minorHAnsi"/>
        </w:rPr>
        <w:t xml:space="preserve">Unadjusted Costs for Surgical and Non-Surgical Groups </w:t>
      </w:r>
      <w:r>
        <w:rPr>
          <w:rFonts w:cstheme="minorHAnsi"/>
        </w:rPr>
        <w:t xml:space="preserve">among members with 5 year continuous Medical and Pharmacy benefits </w:t>
      </w:r>
      <w:r w:rsidRPr="0093115F">
        <w:rPr>
          <w:rFonts w:cstheme="minorHAnsi"/>
        </w:rPr>
        <w:t>by Follow-up Periods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6"/>
        <w:gridCol w:w="1289"/>
        <w:gridCol w:w="1686"/>
        <w:gridCol w:w="1438"/>
        <w:gridCol w:w="1289"/>
      </w:tblGrid>
      <w:tr w:rsidR="00715701" w:rsidRPr="00715701" w14:paraId="47C4F6B9" w14:textId="77777777" w:rsidTr="00FF102A">
        <w:trPr>
          <w:trHeight w:val="315"/>
        </w:trPr>
        <w:tc>
          <w:tcPr>
            <w:tcW w:w="0" w:type="auto"/>
            <w:hideMark/>
          </w:tcPr>
          <w:p w14:paraId="22426FA3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715701">
              <w:rPr>
                <w:rFonts w:cstheme="minorHAnsi"/>
                <w:b/>
                <w:bCs/>
              </w:rPr>
              <w:t xml:space="preserve">Total Expenditure </w:t>
            </w:r>
          </w:p>
        </w:tc>
        <w:tc>
          <w:tcPr>
            <w:tcW w:w="0" w:type="auto"/>
            <w:gridSpan w:val="2"/>
            <w:hideMark/>
          </w:tcPr>
          <w:p w14:paraId="4031FFEF" w14:textId="7EA45418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715701">
              <w:rPr>
                <w:rFonts w:cstheme="minorHAnsi"/>
                <w:b/>
                <w:bCs/>
              </w:rPr>
              <w:t>Surgery</w:t>
            </w:r>
          </w:p>
        </w:tc>
        <w:tc>
          <w:tcPr>
            <w:tcW w:w="0" w:type="auto"/>
            <w:gridSpan w:val="2"/>
            <w:hideMark/>
          </w:tcPr>
          <w:p w14:paraId="5934559B" w14:textId="013B0A7E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715701">
              <w:rPr>
                <w:rFonts w:cstheme="minorHAnsi"/>
                <w:b/>
                <w:bCs/>
              </w:rPr>
              <w:t>Non</w:t>
            </w:r>
            <w:r>
              <w:rPr>
                <w:rFonts w:cstheme="minorHAnsi"/>
                <w:b/>
                <w:bCs/>
              </w:rPr>
              <w:t>-</w:t>
            </w:r>
            <w:r w:rsidRPr="00715701">
              <w:rPr>
                <w:rFonts w:cstheme="minorHAnsi"/>
                <w:b/>
                <w:bCs/>
              </w:rPr>
              <w:t>Surgery</w:t>
            </w:r>
          </w:p>
        </w:tc>
      </w:tr>
      <w:tr w:rsidR="00715701" w:rsidRPr="00715701" w14:paraId="72AF9C33" w14:textId="77777777" w:rsidTr="00715701">
        <w:trPr>
          <w:trHeight w:val="315"/>
        </w:trPr>
        <w:tc>
          <w:tcPr>
            <w:tcW w:w="0" w:type="auto"/>
            <w:hideMark/>
          </w:tcPr>
          <w:p w14:paraId="6A39E1C2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715701">
              <w:rPr>
                <w:rFonts w:cstheme="minorHAnsi"/>
                <w:b/>
                <w:bCs/>
              </w:rPr>
              <w:t>(medical + pharmacy)</w:t>
            </w:r>
          </w:p>
        </w:tc>
        <w:tc>
          <w:tcPr>
            <w:tcW w:w="0" w:type="auto"/>
            <w:hideMark/>
          </w:tcPr>
          <w:p w14:paraId="4996C56A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715701">
              <w:rPr>
                <w:rFonts w:cstheme="minorHAnsi"/>
                <w:b/>
                <w:bCs/>
              </w:rPr>
              <w:t>Mean</w:t>
            </w:r>
          </w:p>
        </w:tc>
        <w:tc>
          <w:tcPr>
            <w:tcW w:w="0" w:type="auto"/>
            <w:hideMark/>
          </w:tcPr>
          <w:p w14:paraId="3820499A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715701">
              <w:rPr>
                <w:rFonts w:cstheme="minorHAnsi"/>
                <w:b/>
                <w:bCs/>
              </w:rPr>
              <w:t>Std</w:t>
            </w:r>
          </w:p>
        </w:tc>
        <w:tc>
          <w:tcPr>
            <w:tcW w:w="0" w:type="auto"/>
            <w:hideMark/>
          </w:tcPr>
          <w:p w14:paraId="49B46778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715701">
              <w:rPr>
                <w:rFonts w:cstheme="minorHAnsi"/>
                <w:b/>
                <w:bCs/>
              </w:rPr>
              <w:t>Mean</w:t>
            </w:r>
          </w:p>
        </w:tc>
        <w:tc>
          <w:tcPr>
            <w:tcW w:w="0" w:type="auto"/>
            <w:hideMark/>
          </w:tcPr>
          <w:p w14:paraId="28F24E39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715701">
              <w:rPr>
                <w:rFonts w:cstheme="minorHAnsi"/>
                <w:b/>
                <w:bCs/>
              </w:rPr>
              <w:t>Std</w:t>
            </w:r>
          </w:p>
        </w:tc>
      </w:tr>
      <w:tr w:rsidR="00715701" w:rsidRPr="00715701" w14:paraId="7019B899" w14:textId="77777777" w:rsidTr="00715701">
        <w:trPr>
          <w:trHeight w:val="315"/>
        </w:trPr>
        <w:tc>
          <w:tcPr>
            <w:tcW w:w="0" w:type="auto"/>
            <w:hideMark/>
          </w:tcPr>
          <w:p w14:paraId="560832E8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 xml:space="preserve">Year 1 </w:t>
            </w:r>
          </w:p>
        </w:tc>
        <w:tc>
          <w:tcPr>
            <w:tcW w:w="0" w:type="auto"/>
            <w:noWrap/>
            <w:hideMark/>
          </w:tcPr>
          <w:p w14:paraId="1395DB28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 xml:space="preserve"> $      15,134 </w:t>
            </w:r>
          </w:p>
        </w:tc>
        <w:tc>
          <w:tcPr>
            <w:tcW w:w="0" w:type="auto"/>
            <w:noWrap/>
            <w:hideMark/>
          </w:tcPr>
          <w:p w14:paraId="77053E15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 xml:space="preserve"> $              24,168 </w:t>
            </w:r>
          </w:p>
        </w:tc>
        <w:tc>
          <w:tcPr>
            <w:tcW w:w="0" w:type="auto"/>
            <w:noWrap/>
            <w:hideMark/>
          </w:tcPr>
          <w:p w14:paraId="1F2BA072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 xml:space="preserve"> $         16,963 </w:t>
            </w:r>
          </w:p>
        </w:tc>
        <w:tc>
          <w:tcPr>
            <w:tcW w:w="0" w:type="auto"/>
            <w:noWrap/>
            <w:hideMark/>
          </w:tcPr>
          <w:p w14:paraId="67B6EFC8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 xml:space="preserve"> $      26,885 </w:t>
            </w:r>
          </w:p>
        </w:tc>
      </w:tr>
      <w:tr w:rsidR="00715701" w:rsidRPr="00715701" w14:paraId="4412A067" w14:textId="77777777" w:rsidTr="00715701">
        <w:trPr>
          <w:trHeight w:val="315"/>
        </w:trPr>
        <w:tc>
          <w:tcPr>
            <w:tcW w:w="0" w:type="auto"/>
            <w:hideMark/>
          </w:tcPr>
          <w:p w14:paraId="25CBC9D5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>Year 2</w:t>
            </w:r>
          </w:p>
        </w:tc>
        <w:tc>
          <w:tcPr>
            <w:tcW w:w="0" w:type="auto"/>
            <w:noWrap/>
            <w:hideMark/>
          </w:tcPr>
          <w:p w14:paraId="160ABAC9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 xml:space="preserve"> $      14,684 </w:t>
            </w:r>
          </w:p>
        </w:tc>
        <w:tc>
          <w:tcPr>
            <w:tcW w:w="0" w:type="auto"/>
            <w:noWrap/>
            <w:hideMark/>
          </w:tcPr>
          <w:p w14:paraId="34AC72A8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 xml:space="preserve"> $              24,555 </w:t>
            </w:r>
          </w:p>
        </w:tc>
        <w:tc>
          <w:tcPr>
            <w:tcW w:w="0" w:type="auto"/>
            <w:noWrap/>
            <w:hideMark/>
          </w:tcPr>
          <w:p w14:paraId="56B7755D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 xml:space="preserve"> $         17,711 </w:t>
            </w:r>
          </w:p>
        </w:tc>
        <w:tc>
          <w:tcPr>
            <w:tcW w:w="0" w:type="auto"/>
            <w:noWrap/>
            <w:hideMark/>
          </w:tcPr>
          <w:p w14:paraId="571E64EC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 xml:space="preserve"> $      27,485 </w:t>
            </w:r>
          </w:p>
        </w:tc>
      </w:tr>
      <w:tr w:rsidR="00715701" w:rsidRPr="00715701" w14:paraId="32F1C48B" w14:textId="77777777" w:rsidTr="00715701">
        <w:trPr>
          <w:trHeight w:val="315"/>
        </w:trPr>
        <w:tc>
          <w:tcPr>
            <w:tcW w:w="0" w:type="auto"/>
            <w:hideMark/>
          </w:tcPr>
          <w:p w14:paraId="19A07420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>Year 3</w:t>
            </w:r>
          </w:p>
        </w:tc>
        <w:tc>
          <w:tcPr>
            <w:tcW w:w="0" w:type="auto"/>
            <w:noWrap/>
            <w:hideMark/>
          </w:tcPr>
          <w:p w14:paraId="3B93A7E6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 xml:space="preserve"> $      15,491 </w:t>
            </w:r>
          </w:p>
        </w:tc>
        <w:tc>
          <w:tcPr>
            <w:tcW w:w="0" w:type="auto"/>
            <w:noWrap/>
            <w:hideMark/>
          </w:tcPr>
          <w:p w14:paraId="2A9CE5D8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 xml:space="preserve"> $              26,079 </w:t>
            </w:r>
          </w:p>
        </w:tc>
        <w:tc>
          <w:tcPr>
            <w:tcW w:w="0" w:type="auto"/>
            <w:noWrap/>
            <w:hideMark/>
          </w:tcPr>
          <w:p w14:paraId="602A474A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 xml:space="preserve"> $         19,046 </w:t>
            </w:r>
          </w:p>
        </w:tc>
        <w:tc>
          <w:tcPr>
            <w:tcW w:w="0" w:type="auto"/>
            <w:noWrap/>
            <w:hideMark/>
          </w:tcPr>
          <w:p w14:paraId="50FDC816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 xml:space="preserve"> $      30,314 </w:t>
            </w:r>
          </w:p>
        </w:tc>
      </w:tr>
      <w:tr w:rsidR="00715701" w:rsidRPr="00715701" w14:paraId="105866FF" w14:textId="77777777" w:rsidTr="00715701">
        <w:trPr>
          <w:trHeight w:val="315"/>
        </w:trPr>
        <w:tc>
          <w:tcPr>
            <w:tcW w:w="0" w:type="auto"/>
            <w:hideMark/>
          </w:tcPr>
          <w:p w14:paraId="000DC617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>Year 4</w:t>
            </w:r>
          </w:p>
        </w:tc>
        <w:tc>
          <w:tcPr>
            <w:tcW w:w="0" w:type="auto"/>
            <w:noWrap/>
            <w:hideMark/>
          </w:tcPr>
          <w:p w14:paraId="2B751FAC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 xml:space="preserve"> $      15,884 </w:t>
            </w:r>
          </w:p>
        </w:tc>
        <w:tc>
          <w:tcPr>
            <w:tcW w:w="0" w:type="auto"/>
            <w:noWrap/>
            <w:hideMark/>
          </w:tcPr>
          <w:p w14:paraId="474CCF9E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 xml:space="preserve"> $              26,615 </w:t>
            </w:r>
          </w:p>
        </w:tc>
        <w:tc>
          <w:tcPr>
            <w:tcW w:w="0" w:type="auto"/>
            <w:noWrap/>
            <w:hideMark/>
          </w:tcPr>
          <w:p w14:paraId="68C5C879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 xml:space="preserve"> $         19,822 </w:t>
            </w:r>
          </w:p>
        </w:tc>
        <w:tc>
          <w:tcPr>
            <w:tcW w:w="0" w:type="auto"/>
            <w:noWrap/>
            <w:hideMark/>
          </w:tcPr>
          <w:p w14:paraId="06A8AF44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 xml:space="preserve"> $      31,193 </w:t>
            </w:r>
          </w:p>
        </w:tc>
      </w:tr>
      <w:tr w:rsidR="00715701" w:rsidRPr="00715701" w14:paraId="5EAFEA60" w14:textId="77777777" w:rsidTr="00715701">
        <w:trPr>
          <w:trHeight w:val="315"/>
        </w:trPr>
        <w:tc>
          <w:tcPr>
            <w:tcW w:w="0" w:type="auto"/>
            <w:hideMark/>
          </w:tcPr>
          <w:p w14:paraId="2A740D52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>Year 5</w:t>
            </w:r>
          </w:p>
        </w:tc>
        <w:tc>
          <w:tcPr>
            <w:tcW w:w="0" w:type="auto"/>
            <w:noWrap/>
            <w:hideMark/>
          </w:tcPr>
          <w:p w14:paraId="412FBD9C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 xml:space="preserve"> $      16,996 </w:t>
            </w:r>
          </w:p>
        </w:tc>
        <w:tc>
          <w:tcPr>
            <w:tcW w:w="0" w:type="auto"/>
            <w:noWrap/>
            <w:hideMark/>
          </w:tcPr>
          <w:p w14:paraId="5F89D3B3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 xml:space="preserve"> $              29,122 </w:t>
            </w:r>
          </w:p>
        </w:tc>
        <w:tc>
          <w:tcPr>
            <w:tcW w:w="0" w:type="auto"/>
            <w:noWrap/>
            <w:hideMark/>
          </w:tcPr>
          <w:p w14:paraId="458B658D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 xml:space="preserve"> $         21,354 </w:t>
            </w:r>
          </w:p>
        </w:tc>
        <w:tc>
          <w:tcPr>
            <w:tcW w:w="0" w:type="auto"/>
            <w:noWrap/>
            <w:hideMark/>
          </w:tcPr>
          <w:p w14:paraId="0FC39ECD" w14:textId="77777777" w:rsidR="00715701" w:rsidRPr="00715701" w:rsidRDefault="00715701" w:rsidP="0071570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15701">
              <w:rPr>
                <w:rFonts w:cstheme="minorHAnsi"/>
              </w:rPr>
              <w:t xml:space="preserve"> $      32,937 </w:t>
            </w:r>
          </w:p>
        </w:tc>
      </w:tr>
    </w:tbl>
    <w:p w14:paraId="744E055E" w14:textId="77777777" w:rsidR="00FD32AC" w:rsidRDefault="00FD32AC" w:rsidP="00FD32A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030CFE5" w14:textId="77777777" w:rsidR="00FD32AC" w:rsidRDefault="00FD32AC" w:rsidP="00FD32A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FD54CFC" w14:textId="44F75017" w:rsidR="00E269E2" w:rsidRDefault="00E269E2"/>
    <w:p w14:paraId="37D9040B" w14:textId="77777777" w:rsidR="00E269E2" w:rsidRDefault="00E269E2"/>
    <w:sectPr w:rsidR="00E269E2" w:rsidSect="00E269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E2"/>
    <w:rsid w:val="00153BAB"/>
    <w:rsid w:val="00715701"/>
    <w:rsid w:val="0079717F"/>
    <w:rsid w:val="0090215D"/>
    <w:rsid w:val="0093115F"/>
    <w:rsid w:val="00B435B4"/>
    <w:rsid w:val="00CA1BA1"/>
    <w:rsid w:val="00E269E2"/>
    <w:rsid w:val="00FD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9421D4A"/>
  <w15:chartTrackingRefBased/>
  <w15:docId w15:val="{56AAA675-084A-4D8A-91E4-233189DB6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7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hcifp09\HO_Active\TRAQ_Bariatric_Cost\Manuscript\BariatricCost_TablesFiguresGraphs_V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u="none" strike="noStrike" baseline="0">
                <a:effectLst/>
              </a:rPr>
              <a:t>Temporal Trends in Bariatric Procedures among study population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7.5345957522180887E-2"/>
          <c:y val="5.2214444547555083E-2"/>
          <c:w val="0.88555383797884157"/>
          <c:h val="0.83263361670486324"/>
        </c:manualLayout>
      </c:layout>
      <c:bubbleChart>
        <c:varyColors val="0"/>
        <c:ser>
          <c:idx val="0"/>
          <c:order val="0"/>
          <c:tx>
            <c:v>AGB</c:v>
          </c:tx>
          <c:spPr>
            <a:solidFill>
              <a:schemeClr val="accent4"/>
            </a:solidFill>
            <a:ln w="25400">
              <a:solidFill>
                <a:schemeClr val="accent4"/>
              </a:solidFill>
            </a:ln>
            <a:effectLst/>
          </c:spPr>
          <c:invertIfNegative val="0"/>
          <c:trendline>
            <c:spPr>
              <a:ln w="19050" cap="rnd">
                <a:solidFill>
                  <a:schemeClr val="accent4"/>
                </a:solidFill>
                <a:prstDash val="sysDot"/>
              </a:ln>
              <a:effectLst/>
            </c:spPr>
            <c:trendlineType val="movingAvg"/>
            <c:period val="2"/>
            <c:dispRSqr val="0"/>
            <c:dispEq val="0"/>
          </c:trendline>
          <c:xVal>
            <c:numRef>
              <c:f>'Figure 1-Bubble Figure'!$A$5:$A$14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xVal>
          <c:yVal>
            <c:numRef>
              <c:f>'Figure 1-Bubble Figure'!$B$27:$B$36</c:f>
              <c:numCache>
                <c:formatCode>0</c:formatCode>
                <c:ptCount val="10"/>
                <c:pt idx="0">
                  <c:v>53.480214841609119</c:v>
                </c:pt>
                <c:pt idx="1">
                  <c:v>51.865008880994665</c:v>
                </c:pt>
                <c:pt idx="2">
                  <c:v>37.416398315580878</c:v>
                </c:pt>
                <c:pt idx="3">
                  <c:v>23.046976382039968</c:v>
                </c:pt>
                <c:pt idx="4">
                  <c:v>13.442987880286916</c:v>
                </c:pt>
                <c:pt idx="5">
                  <c:v>8.7728259481547699</c:v>
                </c:pt>
                <c:pt idx="6">
                  <c:v>4.3792391624889415</c:v>
                </c:pt>
                <c:pt idx="7">
                  <c:v>3.2398212512413109</c:v>
                </c:pt>
                <c:pt idx="8">
                  <c:v>2.2533287811539777</c:v>
                </c:pt>
                <c:pt idx="9">
                  <c:v>1.4754098360655739</c:v>
                </c:pt>
              </c:numCache>
            </c:numRef>
          </c:yVal>
          <c:bubbleSize>
            <c:numRef>
              <c:f>'Figure 1-Bubble Figure'!$B$16:$B$25</c:f>
              <c:numCache>
                <c:formatCode>0.00</c:formatCode>
                <c:ptCount val="10"/>
                <c:pt idx="0">
                  <c:v>0.4879</c:v>
                </c:pt>
                <c:pt idx="1">
                  <c:v>0.438</c:v>
                </c:pt>
                <c:pt idx="2">
                  <c:v>0.30209999999999998</c:v>
                </c:pt>
                <c:pt idx="3">
                  <c:v>0.17760000000000001</c:v>
                </c:pt>
                <c:pt idx="4">
                  <c:v>0.1087</c:v>
                </c:pt>
                <c:pt idx="5">
                  <c:v>6.8699999999999997E-2</c:v>
                </c:pt>
                <c:pt idx="6">
                  <c:v>2.9700000000000001E-2</c:v>
                </c:pt>
                <c:pt idx="7">
                  <c:v>2.6100000000000002E-2</c:v>
                </c:pt>
                <c:pt idx="8">
                  <c:v>1.9800000000000002E-2</c:v>
                </c:pt>
                <c:pt idx="9">
                  <c:v>1.35E-2</c:v>
                </c:pt>
              </c:numCache>
            </c:numRef>
          </c:bubbleSize>
          <c:bubble3D val="0"/>
          <c:extLst>
            <c:ext xmlns:c16="http://schemas.microsoft.com/office/drawing/2014/chart" uri="{C3380CC4-5D6E-409C-BE32-E72D297353CC}">
              <c16:uniqueId val="{00000001-7CD7-4715-8C5F-DA0FEDAE50DF}"/>
            </c:ext>
          </c:extLst>
        </c:ser>
        <c:ser>
          <c:idx val="1"/>
          <c:order val="1"/>
          <c:tx>
            <c:v>RYGB</c:v>
          </c:tx>
          <c:spPr>
            <a:solidFill>
              <a:schemeClr val="accent1">
                <a:lumMod val="75000"/>
              </a:schemeClr>
            </a:solidFill>
            <a:ln w="25400">
              <a:solidFill>
                <a:schemeClr val="accent1">
                  <a:lumMod val="75000"/>
                </a:schemeClr>
              </a:solidFill>
            </a:ln>
            <a:effectLst/>
          </c:spPr>
          <c:invertIfNegative val="0"/>
          <c:trendline>
            <c:spPr>
              <a:ln w="19050" cap="rnd">
                <a:solidFill>
                  <a:schemeClr val="accent1">
                    <a:lumMod val="75000"/>
                  </a:schemeClr>
                </a:solidFill>
                <a:prstDash val="sysDot"/>
              </a:ln>
              <a:effectLst/>
            </c:spPr>
            <c:trendlineType val="movingAvg"/>
            <c:period val="2"/>
            <c:dispRSqr val="0"/>
            <c:dispEq val="0"/>
          </c:trendline>
          <c:xVal>
            <c:numRef>
              <c:f>'Figure 1-Bubble Figure'!$A$5:$A$14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xVal>
          <c:yVal>
            <c:numRef>
              <c:f>'Figure 1-Bubble Figure'!$C$27:$C$36</c:f>
              <c:numCache>
                <c:formatCode>0</c:formatCode>
                <c:ptCount val="10"/>
                <c:pt idx="0">
                  <c:v>45.960758522415873</c:v>
                </c:pt>
                <c:pt idx="1">
                  <c:v>45.825932504440495</c:v>
                </c:pt>
                <c:pt idx="2">
                  <c:v>39.732474609858805</c:v>
                </c:pt>
                <c:pt idx="3">
                  <c:v>37.749805346483264</c:v>
                </c:pt>
                <c:pt idx="4">
                  <c:v>32.129606727677469</c:v>
                </c:pt>
                <c:pt idx="5">
                  <c:v>27.37836802451794</c:v>
                </c:pt>
                <c:pt idx="6">
                  <c:v>26.363904452963727</c:v>
                </c:pt>
                <c:pt idx="7">
                  <c:v>24.242800397219462</c:v>
                </c:pt>
                <c:pt idx="8">
                  <c:v>24.012746102196427</c:v>
                </c:pt>
                <c:pt idx="9">
                  <c:v>23.901639344262296</c:v>
                </c:pt>
              </c:numCache>
            </c:numRef>
          </c:yVal>
          <c:bubbleSize>
            <c:numRef>
              <c:f>'Figure 1-Bubble Figure'!$C$16:$C$25</c:f>
              <c:numCache>
                <c:formatCode>0.00</c:formatCode>
                <c:ptCount val="10"/>
                <c:pt idx="0">
                  <c:v>0.41930000000000001</c:v>
                </c:pt>
                <c:pt idx="1">
                  <c:v>0.38700000000000001</c:v>
                </c:pt>
                <c:pt idx="2">
                  <c:v>0.32079999999999997</c:v>
                </c:pt>
                <c:pt idx="3">
                  <c:v>0.29089999999999999</c:v>
                </c:pt>
                <c:pt idx="4">
                  <c:v>0.25979999999999998</c:v>
                </c:pt>
                <c:pt idx="5">
                  <c:v>0.21440000000000001</c:v>
                </c:pt>
                <c:pt idx="6">
                  <c:v>0.17879999999999999</c:v>
                </c:pt>
                <c:pt idx="7">
                  <c:v>0.1953</c:v>
                </c:pt>
                <c:pt idx="8">
                  <c:v>0.21099999999999999</c:v>
                </c:pt>
                <c:pt idx="9">
                  <c:v>0.21870000000000001</c:v>
                </c:pt>
              </c:numCache>
            </c:numRef>
          </c:bubbleSize>
          <c:bubble3D val="0"/>
          <c:extLst>
            <c:ext xmlns:c16="http://schemas.microsoft.com/office/drawing/2014/chart" uri="{C3380CC4-5D6E-409C-BE32-E72D297353CC}">
              <c16:uniqueId val="{00000003-7CD7-4715-8C5F-DA0FEDAE50DF}"/>
            </c:ext>
          </c:extLst>
        </c:ser>
        <c:ser>
          <c:idx val="2"/>
          <c:order val="2"/>
          <c:tx>
            <c:strRef>
              <c:f>'Figure 1-Bubble Figure'!$D$4</c:f>
              <c:strCache>
                <c:ptCount val="1"/>
                <c:pt idx="0">
                  <c:v>SG</c:v>
                </c:pt>
              </c:strCache>
            </c:strRef>
          </c:tx>
          <c:spPr>
            <a:solidFill>
              <a:srgbClr val="C00000"/>
            </a:solidFill>
            <a:ln w="25400">
              <a:solidFill>
                <a:srgbClr val="C00000"/>
              </a:solidFill>
            </a:ln>
            <a:effectLst/>
          </c:spPr>
          <c:invertIfNegative val="0"/>
          <c:trendline>
            <c:spPr>
              <a:ln w="19050" cap="rnd">
                <a:solidFill>
                  <a:srgbClr val="C00000"/>
                </a:solidFill>
                <a:prstDash val="sysDot"/>
              </a:ln>
              <a:effectLst/>
            </c:spPr>
            <c:trendlineType val="movingAvg"/>
            <c:period val="2"/>
            <c:dispRSqr val="0"/>
            <c:dispEq val="0"/>
          </c:trendline>
          <c:xVal>
            <c:numRef>
              <c:f>'Figure 1-Bubble Figure'!$A$5:$A$14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xVal>
          <c:yVal>
            <c:numRef>
              <c:f>'Figure 1-Bubble Figure'!$D$27:$D$36</c:f>
              <c:numCache>
                <c:formatCode>0</c:formatCode>
                <c:ptCount val="10"/>
                <c:pt idx="0">
                  <c:v>0.55902663597500823</c:v>
                </c:pt>
                <c:pt idx="1">
                  <c:v>2.3090586145648313</c:v>
                </c:pt>
                <c:pt idx="2">
                  <c:v>22.851127074560317</c:v>
                </c:pt>
                <c:pt idx="3">
                  <c:v>39.203218271476771</c:v>
                </c:pt>
                <c:pt idx="4">
                  <c:v>54.427405392035624</c:v>
                </c:pt>
                <c:pt idx="5">
                  <c:v>63.848806027327285</c:v>
                </c:pt>
                <c:pt idx="6">
                  <c:v>69.256856384547334</c:v>
                </c:pt>
                <c:pt idx="7">
                  <c:v>72.517378351539236</c:v>
                </c:pt>
                <c:pt idx="8">
                  <c:v>73.733925116649601</c:v>
                </c:pt>
                <c:pt idx="9">
                  <c:v>74.622950819672127</c:v>
                </c:pt>
              </c:numCache>
            </c:numRef>
          </c:yVal>
          <c:bubbleSize>
            <c:numRef>
              <c:f>'Figure 1-Bubble Figure'!$D$16:$D$25</c:f>
              <c:numCache>
                <c:formatCode>0.00</c:formatCode>
                <c:ptCount val="10"/>
                <c:pt idx="0">
                  <c:v>5.1000000000000004E-3</c:v>
                </c:pt>
                <c:pt idx="1">
                  <c:v>1.95E-2</c:v>
                </c:pt>
                <c:pt idx="2">
                  <c:v>0.1845</c:v>
                </c:pt>
                <c:pt idx="3">
                  <c:v>0.30209999999999998</c:v>
                </c:pt>
                <c:pt idx="4">
                  <c:v>0.44009999999999999</c:v>
                </c:pt>
                <c:pt idx="5">
                  <c:v>0.5</c:v>
                </c:pt>
                <c:pt idx="6">
                  <c:v>0.46970000000000001</c:v>
                </c:pt>
                <c:pt idx="7">
                  <c:v>0.58420000000000005</c:v>
                </c:pt>
                <c:pt idx="8">
                  <c:v>0.64790000000000003</c:v>
                </c:pt>
                <c:pt idx="9">
                  <c:v>0.68279999999999996</c:v>
                </c:pt>
              </c:numCache>
            </c:numRef>
          </c:bubbleSize>
          <c:bubble3D val="0"/>
          <c:extLst>
            <c:ext xmlns:c16="http://schemas.microsoft.com/office/drawing/2014/chart" uri="{C3380CC4-5D6E-409C-BE32-E72D297353CC}">
              <c16:uniqueId val="{00000005-7CD7-4715-8C5F-DA0FEDAE50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bubbleScale val="45"/>
        <c:showNegBubbles val="0"/>
        <c:axId val="311803496"/>
        <c:axId val="188235480"/>
      </c:bubbleChart>
      <c:valAx>
        <c:axId val="311803496"/>
        <c:scaling>
          <c:orientation val="minMax"/>
          <c:max val="2019"/>
          <c:min val="2008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8235480"/>
        <c:crosses val="autoZero"/>
        <c:crossBetween val="midCat"/>
        <c:majorUnit val="1"/>
      </c:valAx>
      <c:valAx>
        <c:axId val="188235480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/>
                  <a:t>Percent of Procedures in Year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1180349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14891382045907606"/>
          <c:y val="0.19208463806888998"/>
          <c:w val="0.16304972445578486"/>
          <c:h val="4.34365974523454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>
          <a:alpha val="75000"/>
        </a:schemeClr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>
          <a:alpha val="75000"/>
        </a:schemeClr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>
            <a:alpha val="50000"/>
          </a:schemeClr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11DFA-B76F-4758-A537-EF500DE2C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Ma, Lily Qinli</dc:creator>
  <cp:keywords/>
  <dc:description/>
  <cp:lastModifiedBy>Shambhu, Sonali</cp:lastModifiedBy>
  <cp:revision>5</cp:revision>
  <dcterms:created xsi:type="dcterms:W3CDTF">2021-09-28T20:55:00Z</dcterms:created>
  <dcterms:modified xsi:type="dcterms:W3CDTF">2022-07-25T21:37:00Z</dcterms:modified>
</cp:coreProperties>
</file>