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459" w:rsidRDefault="00A45459" w:rsidP="00857269">
      <w:pPr>
        <w:pStyle w:val="BodyA"/>
        <w:rPr>
          <w:b/>
        </w:rPr>
      </w:pPr>
      <w:r w:rsidRPr="00857269">
        <w:rPr>
          <w:b/>
        </w:rPr>
        <w:t>Supplementary Information S</w:t>
      </w:r>
      <w:r w:rsidR="003E38E9" w:rsidRPr="00857269">
        <w:rPr>
          <w:b/>
        </w:rPr>
        <w:t xml:space="preserve"> for Färber Lorda and Färber Data 2021.</w:t>
      </w:r>
    </w:p>
    <w:p w:rsidR="001E4539" w:rsidRPr="001E4539" w:rsidRDefault="00033AEC" w:rsidP="001E4539">
      <w:pPr>
        <w:pStyle w:val="BodyA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Autumn </w:t>
      </w:r>
      <w:r w:rsidR="001E4539" w:rsidRPr="001E4539">
        <w:rPr>
          <w:rFonts w:ascii="Calibri" w:hAnsi="Calibri" w:cs="Calibri"/>
          <w:b/>
        </w:rPr>
        <w:t>Vertical distribution of zooplankton in the Oxygen Minimum Zone of the Eastern Tropical North Pacific.</w:t>
      </w:r>
    </w:p>
    <w:p w:rsidR="00716ECE" w:rsidRPr="00636FAC" w:rsidRDefault="00716ECE" w:rsidP="00857269">
      <w:pPr>
        <w:pStyle w:val="BodyA"/>
      </w:pPr>
      <w:r w:rsidRPr="00636FAC">
        <w:t>Supplementary Information</w:t>
      </w:r>
      <w:r>
        <w:t xml:space="preserve"> S</w:t>
      </w:r>
    </w:p>
    <w:p w:rsidR="00716ECE" w:rsidRDefault="00716ECE" w:rsidP="00857269">
      <w:pPr>
        <w:pStyle w:val="BodyA"/>
        <w:rPr>
          <w:b/>
        </w:rPr>
      </w:pPr>
      <w:r>
        <w:rPr>
          <w:b/>
        </w:rPr>
        <w:t>S1a</w:t>
      </w:r>
      <w:r w:rsidRPr="0096762A">
        <w:t xml:space="preserve">. </w:t>
      </w:r>
      <w:r>
        <w:t>Oxygen vs. temperature; oxygen also shown in color scale.  Depth vs. oxygen for the entire cruise; salinity also shown in color scale. A layer of about 1000 m of low-oxygen waters was observed, starting at the depth where temperature was ~11°C.</w:t>
      </w:r>
      <w:r w:rsidRPr="00E97EA4">
        <w:rPr>
          <w:b/>
        </w:rPr>
        <w:t xml:space="preserve"> </w:t>
      </w:r>
    </w:p>
    <w:p w:rsidR="00716ECE" w:rsidRDefault="00716ECE" w:rsidP="00857269">
      <w:pPr>
        <w:pStyle w:val="BodyA"/>
      </w:pPr>
      <w:r w:rsidRPr="00F21030">
        <w:rPr>
          <w:b/>
        </w:rPr>
        <w:t>S1b</w:t>
      </w:r>
      <w:r>
        <w:t>. Depth of oxygen concentrations of 45 µ</w:t>
      </w:r>
      <w:proofErr w:type="spellStart"/>
      <w:r>
        <w:t>mol</w:t>
      </w:r>
      <w:proofErr w:type="spellEnd"/>
      <w:r>
        <w:t xml:space="preserve"> kg</w:t>
      </w:r>
      <w:r w:rsidRPr="00E351D7">
        <w:rPr>
          <w:vertAlign w:val="superscript"/>
        </w:rPr>
        <w:t>-1</w:t>
      </w:r>
      <w:r>
        <w:rPr>
          <w:vertAlign w:val="superscript"/>
        </w:rPr>
        <w:t xml:space="preserve"> </w:t>
      </w:r>
      <w:r>
        <w:t>and 4.5 µ</w:t>
      </w:r>
      <w:proofErr w:type="spellStart"/>
      <w:r>
        <w:t>mol</w:t>
      </w:r>
      <w:proofErr w:type="spellEnd"/>
      <w:r>
        <w:t xml:space="preserve"> kg</w:t>
      </w:r>
      <w:r w:rsidRPr="00FC6A81">
        <w:rPr>
          <w:vertAlign w:val="superscript"/>
        </w:rPr>
        <w:t>-1</w:t>
      </w:r>
      <w:r>
        <w:t>. Different color scales were used for the two figures. Fixed points of continuous sampling are shown for stations B11 and D03.</w:t>
      </w:r>
    </w:p>
    <w:p w:rsidR="00716ECE" w:rsidRDefault="00716ECE" w:rsidP="00857269">
      <w:pPr>
        <w:pStyle w:val="BodyA"/>
      </w:pPr>
      <w:r>
        <w:rPr>
          <w:b/>
        </w:rPr>
        <w:t>S2a, 2b</w:t>
      </w:r>
      <w:r w:rsidRPr="00E7121F">
        <w:t>.</w:t>
      </w:r>
      <w:r>
        <w:t xml:space="preserve"> a) Total abundance of all other </w:t>
      </w:r>
      <w:proofErr w:type="spellStart"/>
      <w:r>
        <w:t>euphausiids</w:t>
      </w:r>
      <w:proofErr w:type="spellEnd"/>
      <w:r>
        <w:t xml:space="preserve"> species. b) Total abundance of </w:t>
      </w:r>
      <w:proofErr w:type="spellStart"/>
      <w:r>
        <w:t>furcilia</w:t>
      </w:r>
      <w:proofErr w:type="spellEnd"/>
      <w:r>
        <w:t xml:space="preserve"> stages, including all species.</w:t>
      </w:r>
    </w:p>
    <w:p w:rsidR="00716ECE" w:rsidRPr="00636FAC" w:rsidRDefault="00716ECE" w:rsidP="00857269">
      <w:pPr>
        <w:pStyle w:val="BodyA"/>
      </w:pPr>
    </w:p>
    <w:p w:rsidR="00A45459" w:rsidRPr="00857269" w:rsidRDefault="00A45459" w:rsidP="00A45459">
      <w:pPr>
        <w:rPr>
          <w:rFonts w:ascii="Calibri" w:hAnsi="Calibri" w:cs="Calibri"/>
        </w:rPr>
      </w:pPr>
      <w:r w:rsidRPr="00857269">
        <w:rPr>
          <w:rFonts w:ascii="Calibri" w:hAnsi="Calibri" w:cs="Calibri"/>
        </w:rPr>
        <w:t>a)</w:t>
      </w:r>
    </w:p>
    <w:p w:rsidR="00A45459" w:rsidRDefault="00A45459" w:rsidP="00A45459"/>
    <w:p w:rsidR="00A45459" w:rsidRDefault="00A45459" w:rsidP="00A45459">
      <w:r w:rsidRPr="004139C6">
        <w:rPr>
          <w:noProof/>
          <w:lang w:eastAsia="en-US"/>
        </w:rPr>
        <w:drawing>
          <wp:inline distT="0" distB="0" distL="0" distR="0" wp14:anchorId="4B53D050" wp14:editId="696B6134">
            <wp:extent cx="5612130" cy="3015919"/>
            <wp:effectExtent l="0" t="0" r="7620" b="0"/>
            <wp:docPr id="1" name="Imagen 6" descr="PROCO XI Salinity_Oxy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OCO XI Salinity_Oxyg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1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459" w:rsidRDefault="00A45459" w:rsidP="00A45459"/>
    <w:p w:rsidR="00A45459" w:rsidRDefault="00A45459" w:rsidP="00A45459"/>
    <w:p w:rsidR="00A45459" w:rsidRPr="00857269" w:rsidRDefault="00A45459" w:rsidP="00A45459">
      <w:pPr>
        <w:rPr>
          <w:rFonts w:ascii="Calibri" w:hAnsi="Calibri" w:cs="Calibri"/>
        </w:rPr>
      </w:pPr>
      <w:r w:rsidRPr="00857269">
        <w:rPr>
          <w:rFonts w:ascii="Calibri" w:hAnsi="Calibri" w:cs="Calibri"/>
        </w:rPr>
        <w:t>b)</w:t>
      </w:r>
    </w:p>
    <w:p w:rsidR="00A45459" w:rsidRDefault="00A45459" w:rsidP="00A45459">
      <w:r w:rsidRPr="005830A0">
        <w:rPr>
          <w:noProof/>
          <w:lang w:eastAsia="en-US"/>
        </w:rPr>
        <w:drawing>
          <wp:inline distT="0" distB="0" distL="0" distR="0" wp14:anchorId="7767E6B3" wp14:editId="680A523E">
            <wp:extent cx="5612130" cy="2756230"/>
            <wp:effectExtent l="0" t="0" r="7620" b="6350"/>
            <wp:docPr id="4" name="Picture 4" descr="C:\Users\JAIMEF~1\AppData\Local\Temp\Prof.45y4.5 micromol. PROCO X1-MARZO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AIMEF~1\AppData\Local\Temp\Prof.45y4.5 micromol. PROCO X1-MARZO 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7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459" w:rsidRDefault="00A45459" w:rsidP="00A45459"/>
    <w:p w:rsidR="00A45459" w:rsidRDefault="00A45459" w:rsidP="00857269">
      <w:pPr>
        <w:pStyle w:val="BodyA"/>
        <w:rPr>
          <w:b/>
        </w:rPr>
      </w:pPr>
      <w:r>
        <w:rPr>
          <w:b/>
        </w:rPr>
        <w:t>S1a</w:t>
      </w:r>
      <w:r w:rsidRPr="0096762A">
        <w:t xml:space="preserve">. </w:t>
      </w:r>
      <w:r>
        <w:t>Oxygen vs. temperature; oxygen also shown in color scale.  Depth vs. oxygen for the entire cruise; salinity also shown in color scale. A layer of about 1000 m of low-oxygen waters was observed, starting at the depth where temperature was ~11°C.</w:t>
      </w:r>
      <w:r w:rsidRPr="00E97EA4">
        <w:rPr>
          <w:b/>
        </w:rPr>
        <w:t xml:space="preserve"> </w:t>
      </w:r>
      <w:r w:rsidR="00B70AE9">
        <w:rPr>
          <w:rFonts w:ascii="Calibri" w:hAnsi="Calibri" w:cs="Calibri"/>
        </w:rPr>
        <w:t>Figure plotted with the ODV program version 4.</w:t>
      </w:r>
      <w:bookmarkStart w:id="0" w:name="_GoBack"/>
      <w:bookmarkEnd w:id="0"/>
    </w:p>
    <w:p w:rsidR="00A45459" w:rsidRDefault="00A45459" w:rsidP="00857269">
      <w:pPr>
        <w:pStyle w:val="BodyA"/>
      </w:pPr>
      <w:r w:rsidRPr="00F21030">
        <w:rPr>
          <w:b/>
        </w:rPr>
        <w:t>S1b</w:t>
      </w:r>
      <w:r>
        <w:t>. Depth of oxygen concentrations of 45 µ</w:t>
      </w:r>
      <w:proofErr w:type="spellStart"/>
      <w:r>
        <w:t>mol</w:t>
      </w:r>
      <w:proofErr w:type="spellEnd"/>
      <w:r>
        <w:t xml:space="preserve"> kg</w:t>
      </w:r>
      <w:r w:rsidRPr="00E351D7">
        <w:rPr>
          <w:vertAlign w:val="superscript"/>
        </w:rPr>
        <w:t>-1</w:t>
      </w:r>
      <w:r>
        <w:rPr>
          <w:vertAlign w:val="superscript"/>
        </w:rPr>
        <w:t xml:space="preserve"> </w:t>
      </w:r>
      <w:r>
        <w:t>and 4.5 µ</w:t>
      </w:r>
      <w:proofErr w:type="spellStart"/>
      <w:r>
        <w:t>mol</w:t>
      </w:r>
      <w:proofErr w:type="spellEnd"/>
      <w:r>
        <w:t xml:space="preserve"> kg</w:t>
      </w:r>
      <w:r w:rsidRPr="00FC6A81">
        <w:rPr>
          <w:vertAlign w:val="superscript"/>
        </w:rPr>
        <w:t>-1</w:t>
      </w:r>
      <w:r>
        <w:t>. Different color scales were used for the two figures. Fixed points of continuous sampling are shown for stations B11 and D03.</w:t>
      </w:r>
      <w:r w:rsidR="00B70AE9">
        <w:t xml:space="preserve"> </w:t>
      </w:r>
      <w:r w:rsidR="00B70AE9">
        <w:rPr>
          <w:rFonts w:ascii="Calibri" w:hAnsi="Calibri" w:cs="Calibri"/>
        </w:rPr>
        <w:t>Figure plotted with the ODV program version 4.</w:t>
      </w:r>
    </w:p>
    <w:p w:rsidR="003E38E9" w:rsidRDefault="003E38E9" w:rsidP="00857269">
      <w:pPr>
        <w:pStyle w:val="BodyA"/>
      </w:pPr>
    </w:p>
    <w:p w:rsidR="0031657F" w:rsidRDefault="0031657F" w:rsidP="00857269">
      <w:pPr>
        <w:pStyle w:val="BodyA"/>
      </w:pPr>
    </w:p>
    <w:p w:rsidR="0031657F" w:rsidRDefault="0031657F" w:rsidP="00857269">
      <w:pPr>
        <w:pStyle w:val="BodyA"/>
      </w:pPr>
    </w:p>
    <w:p w:rsidR="0031657F" w:rsidRDefault="0031657F" w:rsidP="00857269">
      <w:pPr>
        <w:pStyle w:val="BodyA"/>
      </w:pPr>
    </w:p>
    <w:p w:rsidR="0031657F" w:rsidRDefault="0031657F" w:rsidP="00857269">
      <w:pPr>
        <w:pStyle w:val="BodyA"/>
      </w:pPr>
    </w:p>
    <w:p w:rsidR="0031657F" w:rsidRDefault="0031657F" w:rsidP="00857269">
      <w:pPr>
        <w:pStyle w:val="BodyA"/>
      </w:pPr>
    </w:p>
    <w:p w:rsidR="0031657F" w:rsidRDefault="0031657F" w:rsidP="00857269">
      <w:pPr>
        <w:pStyle w:val="BodyA"/>
      </w:pPr>
    </w:p>
    <w:p w:rsidR="00A45459" w:rsidRDefault="00A45459" w:rsidP="00857269">
      <w:pPr>
        <w:pStyle w:val="BodyA"/>
      </w:pPr>
      <w:r>
        <w:t>a)</w:t>
      </w:r>
    </w:p>
    <w:p w:rsidR="00A45459" w:rsidRDefault="003E38E9" w:rsidP="00857269">
      <w:pPr>
        <w:pStyle w:val="BodyA"/>
      </w:pPr>
      <w:r>
        <w:object w:dxaOrig="10213" w:dyaOrig="64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279.75pt" o:ole="">
            <v:imagedata r:id="rId6" o:title=""/>
          </v:shape>
          <o:OLEObject Type="Embed" ProgID="SigmaPlotGraphicObject.10" ShapeID="_x0000_i1025" DrawAspect="Content" ObjectID="_1720605653" r:id="rId7"/>
        </w:object>
      </w:r>
    </w:p>
    <w:p w:rsidR="00A45459" w:rsidRDefault="00A45459" w:rsidP="00857269">
      <w:pPr>
        <w:pStyle w:val="BodyA"/>
      </w:pPr>
    </w:p>
    <w:p w:rsidR="00A45459" w:rsidRPr="00857269" w:rsidRDefault="00A45459" w:rsidP="00857269">
      <w:pPr>
        <w:pStyle w:val="BodyA"/>
      </w:pPr>
      <w:r w:rsidRPr="00857269">
        <w:t>b)</w:t>
      </w:r>
    </w:p>
    <w:p w:rsidR="00A45459" w:rsidRDefault="003E38E9" w:rsidP="00857269">
      <w:pPr>
        <w:pStyle w:val="BodyA"/>
      </w:pPr>
      <w:r>
        <w:object w:dxaOrig="8420" w:dyaOrig="6065">
          <v:shape id="_x0000_i1026" type="#_x0000_t75" style="width:387pt;height:275.25pt" o:ole="">
            <v:imagedata r:id="rId8" o:title=""/>
          </v:shape>
          <o:OLEObject Type="Embed" ProgID="SigmaPlotGraphicObject.10" ShapeID="_x0000_i1026" DrawAspect="Content" ObjectID="_1720605654" r:id="rId9"/>
        </w:object>
      </w:r>
    </w:p>
    <w:p w:rsidR="00A45459" w:rsidRPr="00857269" w:rsidRDefault="00A45459" w:rsidP="00A45459">
      <w:pPr>
        <w:rPr>
          <w:rFonts w:ascii="Calibri" w:hAnsi="Calibri" w:cs="Calibri"/>
        </w:rPr>
      </w:pPr>
      <w:r w:rsidRPr="00857269">
        <w:rPr>
          <w:rFonts w:ascii="Calibri" w:hAnsi="Calibri" w:cs="Calibri"/>
          <w:b/>
        </w:rPr>
        <w:t>S2a, 2b</w:t>
      </w:r>
      <w:r w:rsidRPr="00857269">
        <w:rPr>
          <w:rFonts w:ascii="Calibri" w:hAnsi="Calibri" w:cs="Calibri"/>
        </w:rPr>
        <w:t xml:space="preserve">. a) Total abundance of all other </w:t>
      </w:r>
      <w:proofErr w:type="spellStart"/>
      <w:r w:rsidRPr="00857269">
        <w:rPr>
          <w:rFonts w:ascii="Calibri" w:hAnsi="Calibri" w:cs="Calibri"/>
        </w:rPr>
        <w:t>euphausiids</w:t>
      </w:r>
      <w:proofErr w:type="spellEnd"/>
      <w:r w:rsidRPr="00857269">
        <w:rPr>
          <w:rFonts w:ascii="Calibri" w:hAnsi="Calibri" w:cs="Calibri"/>
        </w:rPr>
        <w:t xml:space="preserve"> species. b) Total abundance of </w:t>
      </w:r>
      <w:proofErr w:type="spellStart"/>
      <w:r w:rsidRPr="00857269">
        <w:rPr>
          <w:rFonts w:ascii="Calibri" w:hAnsi="Calibri" w:cs="Calibri"/>
        </w:rPr>
        <w:t>furcilia</w:t>
      </w:r>
      <w:proofErr w:type="spellEnd"/>
      <w:r w:rsidRPr="00857269">
        <w:rPr>
          <w:rFonts w:ascii="Calibri" w:hAnsi="Calibri" w:cs="Calibri"/>
        </w:rPr>
        <w:t xml:space="preserve"> stages, including all species.</w:t>
      </w:r>
    </w:p>
    <w:p w:rsidR="00A45459" w:rsidRPr="00857269" w:rsidRDefault="00A45459" w:rsidP="00A45459">
      <w:pPr>
        <w:rPr>
          <w:rFonts w:ascii="Calibri" w:hAnsi="Calibri" w:cs="Calibri"/>
        </w:rPr>
      </w:pPr>
    </w:p>
    <w:p w:rsidR="00A45459" w:rsidRDefault="00A45459" w:rsidP="00857269">
      <w:pPr>
        <w:pStyle w:val="BodyA"/>
      </w:pPr>
    </w:p>
    <w:p w:rsidR="00A45459" w:rsidRDefault="00A45459" w:rsidP="00857269">
      <w:pPr>
        <w:pStyle w:val="BodyA"/>
      </w:pPr>
    </w:p>
    <w:p w:rsidR="00A45459" w:rsidRDefault="00A45459" w:rsidP="00857269">
      <w:pPr>
        <w:pStyle w:val="BodyA"/>
      </w:pPr>
    </w:p>
    <w:p w:rsidR="00A45459" w:rsidRDefault="00A45459" w:rsidP="00857269">
      <w:pPr>
        <w:pStyle w:val="BodyA"/>
      </w:pPr>
    </w:p>
    <w:p w:rsidR="00A45459" w:rsidRDefault="00A45459" w:rsidP="00857269">
      <w:pPr>
        <w:pStyle w:val="BodyA"/>
      </w:pPr>
    </w:p>
    <w:p w:rsidR="00A45459" w:rsidRDefault="00A45459" w:rsidP="00A45459"/>
    <w:sectPr w:rsidR="00A454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459"/>
    <w:rsid w:val="000222D5"/>
    <w:rsid w:val="00033AEC"/>
    <w:rsid w:val="001E4539"/>
    <w:rsid w:val="0031657F"/>
    <w:rsid w:val="003E38E9"/>
    <w:rsid w:val="00716ECE"/>
    <w:rsid w:val="00857269"/>
    <w:rsid w:val="008B3BB4"/>
    <w:rsid w:val="00A45459"/>
    <w:rsid w:val="00B7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BE0FEE-E7F8-41B8-A37C-7A8D5C80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459"/>
    <w:pPr>
      <w:spacing w:after="0" w:line="240" w:lineRule="auto"/>
    </w:pPr>
    <w:rPr>
      <w:rFonts w:ascii="Arial" w:eastAsia="Times New Roman" w:hAnsi="Arial" w:cs="Arial Unicode MS"/>
      <w:color w:val="000000"/>
      <w:sz w:val="24"/>
      <w:szCs w:val="24"/>
      <w:u w:color="000000"/>
      <w:lang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autoRedefine/>
    <w:rsid w:val="00857269"/>
    <w:pPr>
      <w:tabs>
        <w:tab w:val="left" w:pos="1701"/>
      </w:tabs>
      <w:spacing w:after="0" w:line="480" w:lineRule="auto"/>
    </w:pPr>
    <w:rPr>
      <w:rFonts w:eastAsia="Arial Unicode MS" w:cstheme="minorHAnsi"/>
      <w:color w:val="394651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Färber Lorda</dc:creator>
  <cp:keywords/>
  <dc:description/>
  <cp:lastModifiedBy>Jaime Färber Lorda</cp:lastModifiedBy>
  <cp:revision>2</cp:revision>
  <dcterms:created xsi:type="dcterms:W3CDTF">2022-07-29T20:14:00Z</dcterms:created>
  <dcterms:modified xsi:type="dcterms:W3CDTF">2022-07-29T20:14:00Z</dcterms:modified>
</cp:coreProperties>
</file>