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65E83231" w:rsidR="00D72892" w:rsidRDefault="00000000" w:rsidP="00026A0F">
      <w:pPr>
        <w:jc w:val="center"/>
        <w:rPr>
          <w:b/>
          <w:sz w:val="20"/>
          <w:szCs w:val="20"/>
        </w:rPr>
      </w:pPr>
      <w:r>
        <w:rPr>
          <w:b/>
          <w:sz w:val="20"/>
          <w:szCs w:val="20"/>
        </w:rPr>
        <w:t>SUPPLEMENTARY METHODS</w:t>
      </w:r>
    </w:p>
    <w:p w14:paraId="17DA71E5" w14:textId="77777777" w:rsidR="00026A0F" w:rsidRDefault="00026A0F" w:rsidP="00026A0F">
      <w:pPr>
        <w:jc w:val="center"/>
        <w:rPr>
          <w:b/>
          <w:sz w:val="20"/>
          <w:szCs w:val="20"/>
        </w:rPr>
      </w:pPr>
    </w:p>
    <w:p w14:paraId="18CF5B24" w14:textId="77777777" w:rsidR="00026A0F" w:rsidRDefault="00026A0F">
      <w:pPr>
        <w:jc w:val="both"/>
        <w:rPr>
          <w:sz w:val="20"/>
          <w:szCs w:val="20"/>
        </w:rPr>
      </w:pPr>
    </w:p>
    <w:p w14:paraId="34A890DF" w14:textId="77777777" w:rsidR="00026A0F" w:rsidRPr="00026A0F" w:rsidRDefault="00026A0F" w:rsidP="00026A0F">
      <w:pPr>
        <w:spacing w:line="240" w:lineRule="auto"/>
        <w:jc w:val="center"/>
        <w:rPr>
          <w:rFonts w:ascii="Times New Roman" w:eastAsia="Times New Roman" w:hAnsi="Times New Roman" w:cs="Times New Roman"/>
          <w:sz w:val="24"/>
          <w:szCs w:val="24"/>
          <w:lang w:val="en-NL"/>
        </w:rPr>
      </w:pPr>
      <w:r w:rsidRPr="00026A0F">
        <w:rPr>
          <w:rFonts w:eastAsia="Times New Roman"/>
          <w:b/>
          <w:bCs/>
          <w:color w:val="000000"/>
          <w:sz w:val="20"/>
          <w:szCs w:val="20"/>
          <w:lang w:val="en-NL"/>
        </w:rPr>
        <w:t>Transcriptional regulation profiling reveals PPARA-mediated fatty acid oxidation as a novel therapeutic target in phospholamban R14del cardiomyopathy </w:t>
      </w:r>
    </w:p>
    <w:p w14:paraId="41CA9440" w14:textId="77777777" w:rsidR="00026A0F" w:rsidRPr="00026A0F" w:rsidRDefault="00026A0F" w:rsidP="00026A0F">
      <w:pPr>
        <w:spacing w:before="240" w:after="240" w:line="240" w:lineRule="auto"/>
        <w:jc w:val="both"/>
        <w:rPr>
          <w:rFonts w:ascii="Times New Roman" w:eastAsia="Times New Roman" w:hAnsi="Times New Roman" w:cs="Times New Roman"/>
          <w:sz w:val="24"/>
          <w:szCs w:val="24"/>
          <w:lang w:val="en-NL"/>
        </w:rPr>
      </w:pPr>
      <w:r w:rsidRPr="00026A0F">
        <w:rPr>
          <w:rFonts w:eastAsia="Times New Roman"/>
          <w:color w:val="000000"/>
          <w:sz w:val="20"/>
          <w:szCs w:val="20"/>
          <w:lang w:val="en-NL"/>
        </w:rPr>
        <w:t>Jiayi Pei</w:t>
      </w:r>
      <w:r w:rsidRPr="00026A0F">
        <w:rPr>
          <w:rFonts w:eastAsia="Times New Roman"/>
          <w:color w:val="000000"/>
          <w:sz w:val="12"/>
          <w:szCs w:val="12"/>
          <w:vertAlign w:val="superscript"/>
          <w:lang w:val="en-NL"/>
        </w:rPr>
        <w:t>1,2</w:t>
      </w:r>
      <w:r w:rsidRPr="00026A0F">
        <w:rPr>
          <w:rFonts w:eastAsia="Times New Roman"/>
          <w:color w:val="000000"/>
          <w:sz w:val="20"/>
          <w:szCs w:val="20"/>
          <w:lang w:val="en-NL"/>
        </w:rPr>
        <w:t>*, Renee G.C. Maas</w:t>
      </w:r>
      <w:r w:rsidRPr="00026A0F">
        <w:rPr>
          <w:rFonts w:eastAsia="Times New Roman"/>
          <w:color w:val="000000"/>
          <w:sz w:val="12"/>
          <w:szCs w:val="12"/>
          <w:vertAlign w:val="superscript"/>
          <w:lang w:val="en-NL"/>
        </w:rPr>
        <w:t>1,2</w:t>
      </w:r>
      <w:r w:rsidRPr="00026A0F">
        <w:rPr>
          <w:rFonts w:eastAsia="Times New Roman"/>
          <w:color w:val="000000"/>
          <w:sz w:val="20"/>
          <w:szCs w:val="20"/>
          <w:lang w:val="en-NL"/>
        </w:rPr>
        <w:t>*, Karen R. Gaar-Humphreys</w:t>
      </w:r>
      <w:r w:rsidRPr="00026A0F">
        <w:rPr>
          <w:rFonts w:eastAsia="Times New Roman"/>
          <w:color w:val="000000"/>
          <w:sz w:val="12"/>
          <w:szCs w:val="12"/>
          <w:vertAlign w:val="superscript"/>
          <w:lang w:val="en-NL"/>
        </w:rPr>
        <w:t>1,2</w:t>
      </w:r>
      <w:r w:rsidRPr="00026A0F">
        <w:rPr>
          <w:rFonts w:eastAsia="Times New Roman"/>
          <w:color w:val="000000"/>
          <w:sz w:val="20"/>
          <w:szCs w:val="20"/>
          <w:lang w:val="en-NL"/>
        </w:rPr>
        <w:t>, Johannes M.I.H. Gho</w:t>
      </w:r>
      <w:r w:rsidRPr="00026A0F">
        <w:rPr>
          <w:rFonts w:eastAsia="Times New Roman"/>
          <w:color w:val="000000"/>
          <w:sz w:val="12"/>
          <w:szCs w:val="12"/>
          <w:vertAlign w:val="superscript"/>
          <w:lang w:val="en-NL"/>
        </w:rPr>
        <w:t>1,5</w:t>
      </w:r>
      <w:r w:rsidRPr="00026A0F">
        <w:rPr>
          <w:rFonts w:eastAsia="Times New Roman"/>
          <w:color w:val="000000"/>
          <w:sz w:val="20"/>
          <w:szCs w:val="20"/>
          <w:lang w:val="en-NL"/>
        </w:rPr>
        <w:t>, Emilia Nagyova</w:t>
      </w:r>
      <w:r w:rsidRPr="00026A0F">
        <w:rPr>
          <w:rFonts w:eastAsia="Times New Roman"/>
          <w:color w:val="000000"/>
          <w:sz w:val="12"/>
          <w:szCs w:val="12"/>
          <w:vertAlign w:val="superscript"/>
          <w:lang w:val="en-NL"/>
        </w:rPr>
        <w:t>1,6</w:t>
      </w:r>
      <w:r w:rsidRPr="00026A0F">
        <w:rPr>
          <w:rFonts w:eastAsia="Times New Roman"/>
          <w:color w:val="000000"/>
          <w:sz w:val="20"/>
          <w:szCs w:val="20"/>
          <w:lang w:val="en-NL"/>
        </w:rPr>
        <w:t xml:space="preserve">, Christian J.B. </w:t>
      </w:r>
      <w:proofErr w:type="spellStart"/>
      <w:r w:rsidRPr="00026A0F">
        <w:rPr>
          <w:rFonts w:eastAsia="Times New Roman"/>
          <w:color w:val="000000"/>
          <w:sz w:val="20"/>
          <w:szCs w:val="20"/>
          <w:lang w:val="en-NL"/>
        </w:rPr>
        <w:t>Snijders</w:t>
      </w:r>
      <w:proofErr w:type="spellEnd"/>
      <w:r w:rsidRPr="00026A0F">
        <w:rPr>
          <w:rFonts w:eastAsia="Times New Roman"/>
          <w:color w:val="000000"/>
          <w:sz w:val="20"/>
          <w:szCs w:val="20"/>
          <w:lang w:val="en-NL"/>
        </w:rPr>
        <w:t xml:space="preserve"> Blok</w:t>
      </w:r>
      <w:r w:rsidRPr="00026A0F">
        <w:rPr>
          <w:rFonts w:eastAsia="Times New Roman"/>
          <w:color w:val="000000"/>
          <w:sz w:val="12"/>
          <w:szCs w:val="12"/>
          <w:vertAlign w:val="superscript"/>
          <w:lang w:val="en-NL"/>
        </w:rPr>
        <w:t>1,2</w:t>
      </w:r>
      <w:r w:rsidRPr="00026A0F">
        <w:rPr>
          <w:rFonts w:eastAsia="Times New Roman"/>
          <w:color w:val="000000"/>
          <w:sz w:val="20"/>
          <w:szCs w:val="20"/>
          <w:lang w:val="en-NL"/>
        </w:rPr>
        <w:t>, Iris van Adrichem</w:t>
      </w:r>
      <w:r w:rsidRPr="00026A0F">
        <w:rPr>
          <w:rFonts w:eastAsia="Times New Roman"/>
          <w:color w:val="000000"/>
          <w:sz w:val="12"/>
          <w:szCs w:val="12"/>
          <w:vertAlign w:val="superscript"/>
          <w:lang w:val="en-NL"/>
        </w:rPr>
        <w:t>1,2</w:t>
      </w:r>
      <w:r w:rsidRPr="00026A0F">
        <w:rPr>
          <w:rFonts w:eastAsia="Times New Roman"/>
          <w:color w:val="000000"/>
          <w:sz w:val="20"/>
          <w:szCs w:val="20"/>
          <w:lang w:val="en-NL"/>
        </w:rPr>
        <w:t>, René van Es</w:t>
      </w:r>
      <w:r w:rsidRPr="00026A0F">
        <w:rPr>
          <w:rFonts w:eastAsia="Times New Roman"/>
          <w:color w:val="000000"/>
          <w:sz w:val="12"/>
          <w:szCs w:val="12"/>
          <w:vertAlign w:val="superscript"/>
          <w:lang w:val="en-NL"/>
        </w:rPr>
        <w:t>1</w:t>
      </w:r>
      <w:r w:rsidRPr="00026A0F">
        <w:rPr>
          <w:rFonts w:eastAsia="Times New Roman"/>
          <w:color w:val="000000"/>
          <w:sz w:val="20"/>
          <w:szCs w:val="20"/>
          <w:lang w:val="en-NL"/>
        </w:rPr>
        <w:t xml:space="preserve">, </w:t>
      </w:r>
      <w:proofErr w:type="spellStart"/>
      <w:r w:rsidRPr="00026A0F">
        <w:rPr>
          <w:rFonts w:eastAsia="Times New Roman"/>
          <w:color w:val="000000"/>
          <w:sz w:val="20"/>
          <w:szCs w:val="20"/>
          <w:lang w:val="en-NL"/>
        </w:rPr>
        <w:t>Shahrzad</w:t>
      </w:r>
      <w:proofErr w:type="spellEnd"/>
      <w:r w:rsidRPr="00026A0F">
        <w:rPr>
          <w:rFonts w:eastAsia="Times New Roman"/>
          <w:color w:val="000000"/>
          <w:sz w:val="20"/>
          <w:szCs w:val="20"/>
          <w:lang w:val="en-NL"/>
        </w:rPr>
        <w:t xml:space="preserve"> Sepehrkhouy</w:t>
      </w:r>
      <w:r w:rsidRPr="00026A0F">
        <w:rPr>
          <w:rFonts w:eastAsia="Times New Roman"/>
          <w:color w:val="000000"/>
          <w:sz w:val="12"/>
          <w:szCs w:val="12"/>
          <w:vertAlign w:val="superscript"/>
          <w:lang w:val="en-NL"/>
        </w:rPr>
        <w:t>7</w:t>
      </w:r>
      <w:r w:rsidRPr="00026A0F">
        <w:rPr>
          <w:rFonts w:eastAsia="Times New Roman"/>
          <w:color w:val="000000"/>
          <w:sz w:val="20"/>
          <w:szCs w:val="20"/>
          <w:lang w:val="en-NL"/>
        </w:rPr>
        <w:t>, Dries Feyen</w:t>
      </w:r>
      <w:r w:rsidRPr="00026A0F">
        <w:rPr>
          <w:rFonts w:eastAsia="Times New Roman"/>
          <w:color w:val="000000"/>
          <w:sz w:val="12"/>
          <w:szCs w:val="12"/>
          <w:vertAlign w:val="superscript"/>
          <w:lang w:val="en-NL"/>
        </w:rPr>
        <w:t>8</w:t>
      </w:r>
      <w:r w:rsidRPr="00026A0F">
        <w:rPr>
          <w:rFonts w:eastAsia="Times New Roman"/>
          <w:color w:val="000000"/>
          <w:sz w:val="20"/>
          <w:szCs w:val="20"/>
          <w:lang w:val="en-NL"/>
        </w:rPr>
        <w:t xml:space="preserve">, </w:t>
      </w:r>
      <w:proofErr w:type="spellStart"/>
      <w:r w:rsidRPr="00026A0F">
        <w:rPr>
          <w:rFonts w:eastAsia="Times New Roman"/>
          <w:color w:val="000000"/>
          <w:sz w:val="20"/>
          <w:szCs w:val="20"/>
          <w:lang w:val="en-NL"/>
        </w:rPr>
        <w:t>Noortje</w:t>
      </w:r>
      <w:proofErr w:type="spellEnd"/>
      <w:r w:rsidRPr="00026A0F">
        <w:rPr>
          <w:rFonts w:eastAsia="Times New Roman"/>
          <w:color w:val="000000"/>
          <w:sz w:val="20"/>
          <w:szCs w:val="20"/>
          <w:lang w:val="en-NL"/>
        </w:rPr>
        <w:t xml:space="preserve"> A. M. van den Dungen</w:t>
      </w:r>
      <w:r w:rsidRPr="00026A0F">
        <w:rPr>
          <w:rFonts w:eastAsia="Times New Roman"/>
          <w:color w:val="000000"/>
          <w:sz w:val="12"/>
          <w:szCs w:val="12"/>
          <w:vertAlign w:val="superscript"/>
          <w:lang w:val="en-NL"/>
        </w:rPr>
        <w:t>6</w:t>
      </w:r>
      <w:r w:rsidRPr="00026A0F">
        <w:rPr>
          <w:rFonts w:eastAsia="Times New Roman"/>
          <w:color w:val="000000"/>
          <w:sz w:val="20"/>
          <w:szCs w:val="20"/>
          <w:lang w:val="en-NL"/>
        </w:rPr>
        <w:t>, Nico Lansu</w:t>
      </w:r>
      <w:r w:rsidRPr="00026A0F">
        <w:rPr>
          <w:rFonts w:eastAsia="Times New Roman"/>
          <w:color w:val="000000"/>
          <w:sz w:val="12"/>
          <w:szCs w:val="12"/>
          <w:vertAlign w:val="superscript"/>
          <w:lang w:val="en-NL"/>
        </w:rPr>
        <w:t>6</w:t>
      </w:r>
      <w:r w:rsidRPr="00026A0F">
        <w:rPr>
          <w:rFonts w:eastAsia="Times New Roman"/>
          <w:color w:val="000000"/>
          <w:sz w:val="20"/>
          <w:szCs w:val="20"/>
          <w:lang w:val="en-NL"/>
        </w:rPr>
        <w:t xml:space="preserve">, </w:t>
      </w:r>
      <w:proofErr w:type="spellStart"/>
      <w:r w:rsidRPr="00026A0F">
        <w:rPr>
          <w:rFonts w:eastAsia="Times New Roman"/>
          <w:color w:val="000000"/>
          <w:sz w:val="20"/>
          <w:szCs w:val="20"/>
          <w:lang w:val="en-NL"/>
        </w:rPr>
        <w:t>Jorg</w:t>
      </w:r>
      <w:proofErr w:type="spellEnd"/>
      <w:r w:rsidRPr="00026A0F">
        <w:rPr>
          <w:rFonts w:eastAsia="Times New Roman"/>
          <w:color w:val="000000"/>
          <w:sz w:val="20"/>
          <w:szCs w:val="20"/>
          <w:lang w:val="en-NL"/>
        </w:rPr>
        <w:t xml:space="preserve"> Calis</w:t>
      </w:r>
      <w:r w:rsidRPr="00026A0F">
        <w:rPr>
          <w:rFonts w:eastAsia="Times New Roman"/>
          <w:color w:val="000000"/>
          <w:sz w:val="12"/>
          <w:szCs w:val="12"/>
          <w:vertAlign w:val="superscript"/>
          <w:lang w:val="en-NL"/>
        </w:rPr>
        <w:t>1,2</w:t>
      </w:r>
      <w:r w:rsidRPr="00026A0F">
        <w:rPr>
          <w:rFonts w:eastAsia="Times New Roman"/>
          <w:color w:val="000000"/>
          <w:sz w:val="20"/>
          <w:szCs w:val="20"/>
          <w:lang w:val="en-NL"/>
        </w:rPr>
        <w:t>, Niels van d</w:t>
      </w:r>
      <w:r w:rsidRPr="00026A0F">
        <w:rPr>
          <w:rFonts w:eastAsia="Times New Roman"/>
          <w:color w:val="000000"/>
          <w:sz w:val="20"/>
          <w:szCs w:val="20"/>
          <w:shd w:val="clear" w:color="auto" w:fill="FFFFFF"/>
          <w:lang w:val="en-NL"/>
        </w:rPr>
        <w:t>e Kaaij</w:t>
      </w:r>
      <w:r w:rsidRPr="00026A0F">
        <w:rPr>
          <w:rFonts w:eastAsia="Times New Roman"/>
          <w:color w:val="000000"/>
          <w:sz w:val="12"/>
          <w:szCs w:val="12"/>
          <w:vertAlign w:val="superscript"/>
          <w:lang w:val="en-NL"/>
        </w:rPr>
        <w:t>1</w:t>
      </w:r>
      <w:r w:rsidRPr="00026A0F">
        <w:rPr>
          <w:rFonts w:eastAsia="Times New Roman"/>
          <w:color w:val="000000"/>
          <w:sz w:val="20"/>
          <w:szCs w:val="20"/>
          <w:lang w:val="en-NL"/>
        </w:rPr>
        <w:t xml:space="preserve">, </w:t>
      </w:r>
      <w:proofErr w:type="spellStart"/>
      <w:r w:rsidRPr="00026A0F">
        <w:rPr>
          <w:rFonts w:eastAsia="Times New Roman"/>
          <w:color w:val="000000"/>
          <w:sz w:val="20"/>
          <w:szCs w:val="20"/>
          <w:lang w:val="en-NL"/>
        </w:rPr>
        <w:t>Nicolaas</w:t>
      </w:r>
      <w:proofErr w:type="spellEnd"/>
      <w:r w:rsidRPr="00026A0F">
        <w:rPr>
          <w:rFonts w:eastAsia="Times New Roman"/>
          <w:color w:val="000000"/>
          <w:sz w:val="20"/>
          <w:szCs w:val="20"/>
          <w:lang w:val="en-NL"/>
        </w:rPr>
        <w:t xml:space="preserve"> de Jonge</w:t>
      </w:r>
      <w:r w:rsidRPr="00026A0F">
        <w:rPr>
          <w:rFonts w:eastAsia="Times New Roman"/>
          <w:color w:val="000000"/>
          <w:sz w:val="12"/>
          <w:szCs w:val="12"/>
          <w:vertAlign w:val="superscript"/>
          <w:lang w:val="en-NL"/>
        </w:rPr>
        <w:t>1</w:t>
      </w:r>
      <w:r w:rsidRPr="00026A0F">
        <w:rPr>
          <w:rFonts w:eastAsia="Times New Roman"/>
          <w:color w:val="000000"/>
          <w:sz w:val="20"/>
          <w:szCs w:val="20"/>
          <w:lang w:val="en-NL"/>
        </w:rPr>
        <w:t>, Linda W. van Laake</w:t>
      </w:r>
      <w:r w:rsidRPr="00026A0F">
        <w:rPr>
          <w:rFonts w:eastAsia="Times New Roman"/>
          <w:color w:val="000000"/>
          <w:sz w:val="12"/>
          <w:szCs w:val="12"/>
          <w:vertAlign w:val="superscript"/>
          <w:lang w:val="en-NL"/>
        </w:rPr>
        <w:t>1,2</w:t>
      </w:r>
      <w:r w:rsidRPr="00026A0F">
        <w:rPr>
          <w:rFonts w:eastAsia="Times New Roman"/>
          <w:color w:val="000000"/>
          <w:sz w:val="20"/>
          <w:szCs w:val="20"/>
          <w:lang w:val="en-NL"/>
        </w:rPr>
        <w:t xml:space="preserve">, Anneline S.J.M. </w:t>
      </w:r>
      <w:proofErr w:type="spellStart"/>
      <w:r w:rsidRPr="00026A0F">
        <w:rPr>
          <w:rFonts w:eastAsia="Times New Roman"/>
          <w:color w:val="000000"/>
          <w:sz w:val="20"/>
          <w:szCs w:val="20"/>
          <w:lang w:val="en-NL"/>
        </w:rPr>
        <w:t>te</w:t>
      </w:r>
      <w:proofErr w:type="spellEnd"/>
      <w:r w:rsidRPr="00026A0F">
        <w:rPr>
          <w:rFonts w:eastAsia="Times New Roman"/>
          <w:color w:val="000000"/>
          <w:sz w:val="20"/>
          <w:szCs w:val="20"/>
          <w:lang w:val="en-NL"/>
        </w:rPr>
        <w:t xml:space="preserve"> Riele</w:t>
      </w:r>
      <w:r w:rsidRPr="00026A0F">
        <w:rPr>
          <w:rFonts w:eastAsia="Times New Roman"/>
          <w:color w:val="000000"/>
          <w:sz w:val="12"/>
          <w:szCs w:val="12"/>
          <w:vertAlign w:val="superscript"/>
          <w:lang w:val="en-NL"/>
        </w:rPr>
        <w:t>1</w:t>
      </w:r>
      <w:r w:rsidRPr="00026A0F">
        <w:rPr>
          <w:rFonts w:eastAsia="Times New Roman"/>
          <w:color w:val="000000"/>
          <w:sz w:val="20"/>
          <w:szCs w:val="20"/>
          <w:lang w:val="en-NL"/>
        </w:rPr>
        <w:t>, Manon M. Huibers</w:t>
      </w:r>
      <w:r w:rsidRPr="00026A0F">
        <w:rPr>
          <w:rFonts w:eastAsia="Times New Roman"/>
          <w:color w:val="000000"/>
          <w:sz w:val="12"/>
          <w:szCs w:val="12"/>
          <w:vertAlign w:val="superscript"/>
          <w:lang w:val="en-NL"/>
        </w:rPr>
        <w:t>7</w:t>
      </w:r>
      <w:r w:rsidRPr="00026A0F">
        <w:rPr>
          <w:rFonts w:eastAsia="Times New Roman"/>
          <w:color w:val="000000"/>
          <w:sz w:val="20"/>
          <w:szCs w:val="20"/>
          <w:lang w:val="en-NL"/>
        </w:rPr>
        <w:t>, Roel A. de Weger</w:t>
      </w:r>
      <w:r w:rsidRPr="00026A0F">
        <w:rPr>
          <w:rFonts w:eastAsia="Times New Roman"/>
          <w:color w:val="000000"/>
          <w:sz w:val="12"/>
          <w:szCs w:val="12"/>
          <w:vertAlign w:val="superscript"/>
          <w:lang w:val="en-NL"/>
        </w:rPr>
        <w:t>7</w:t>
      </w:r>
      <w:r w:rsidRPr="00026A0F">
        <w:rPr>
          <w:rFonts w:eastAsia="Times New Roman"/>
          <w:color w:val="000000"/>
          <w:sz w:val="20"/>
          <w:szCs w:val="20"/>
          <w:lang w:val="en-NL"/>
        </w:rPr>
        <w:t>, Marianne C. Verhaar</w:t>
      </w:r>
      <w:r w:rsidRPr="00026A0F">
        <w:rPr>
          <w:rFonts w:eastAsia="Times New Roman"/>
          <w:color w:val="000000"/>
          <w:sz w:val="12"/>
          <w:szCs w:val="12"/>
          <w:vertAlign w:val="superscript"/>
          <w:lang w:val="en-NL"/>
        </w:rPr>
        <w:t>2,4</w:t>
      </w:r>
      <w:r w:rsidRPr="00026A0F">
        <w:rPr>
          <w:rFonts w:eastAsia="Times New Roman"/>
          <w:color w:val="000000"/>
          <w:sz w:val="20"/>
          <w:szCs w:val="20"/>
          <w:lang w:val="en-NL"/>
        </w:rPr>
        <w:t>, J. Peter van Tintelen</w:t>
      </w:r>
      <w:r w:rsidRPr="00026A0F">
        <w:rPr>
          <w:rFonts w:eastAsia="Times New Roman"/>
          <w:color w:val="000000"/>
          <w:sz w:val="12"/>
          <w:szCs w:val="12"/>
          <w:vertAlign w:val="superscript"/>
          <w:lang w:val="en-NL"/>
        </w:rPr>
        <w:t>9</w:t>
      </w:r>
      <w:r w:rsidRPr="00026A0F">
        <w:rPr>
          <w:rFonts w:eastAsia="Times New Roman"/>
          <w:color w:val="000000"/>
          <w:sz w:val="20"/>
          <w:szCs w:val="20"/>
          <w:lang w:val="en-NL"/>
        </w:rPr>
        <w:t>, Frédéric Maxime Vaz</w:t>
      </w:r>
      <w:r w:rsidRPr="00026A0F">
        <w:rPr>
          <w:rFonts w:eastAsia="Times New Roman"/>
          <w:color w:val="000000"/>
          <w:sz w:val="12"/>
          <w:szCs w:val="12"/>
          <w:vertAlign w:val="superscript"/>
          <w:lang w:val="en-NL"/>
        </w:rPr>
        <w:t>10,11,12,13</w:t>
      </w:r>
      <w:r w:rsidRPr="00026A0F">
        <w:rPr>
          <w:rFonts w:eastAsia="Times New Roman"/>
          <w:color w:val="000000"/>
          <w:sz w:val="20"/>
          <w:szCs w:val="20"/>
          <w:lang w:val="en-NL"/>
        </w:rPr>
        <w:t xml:space="preserve">, </w:t>
      </w:r>
      <w:proofErr w:type="spellStart"/>
      <w:r w:rsidRPr="00026A0F">
        <w:rPr>
          <w:rFonts w:eastAsia="Times New Roman"/>
          <w:color w:val="000000"/>
          <w:sz w:val="20"/>
          <w:szCs w:val="20"/>
          <w:lang w:val="en-NL"/>
        </w:rPr>
        <w:t>Boudewijn</w:t>
      </w:r>
      <w:proofErr w:type="spellEnd"/>
      <w:r w:rsidRPr="00026A0F">
        <w:rPr>
          <w:rFonts w:eastAsia="Times New Roman"/>
          <w:color w:val="000000"/>
          <w:sz w:val="20"/>
          <w:szCs w:val="20"/>
          <w:lang w:val="en-NL"/>
        </w:rPr>
        <w:t xml:space="preserve"> Burgering</w:t>
      </w:r>
      <w:r w:rsidRPr="00026A0F">
        <w:rPr>
          <w:rFonts w:eastAsia="Times New Roman"/>
          <w:color w:val="000000"/>
          <w:sz w:val="12"/>
          <w:szCs w:val="12"/>
          <w:vertAlign w:val="superscript"/>
          <w:lang w:val="en-NL"/>
        </w:rPr>
        <w:t xml:space="preserve">14, </w:t>
      </w:r>
      <w:r w:rsidRPr="00026A0F">
        <w:rPr>
          <w:rFonts w:eastAsia="Times New Roman"/>
          <w:color w:val="000000"/>
          <w:sz w:val="20"/>
          <w:szCs w:val="20"/>
          <w:lang w:val="en-NL"/>
        </w:rPr>
        <w:t>Alain van Mil</w:t>
      </w:r>
      <w:r w:rsidRPr="00026A0F">
        <w:rPr>
          <w:rFonts w:eastAsia="Times New Roman"/>
          <w:color w:val="000000"/>
          <w:sz w:val="12"/>
          <w:szCs w:val="12"/>
          <w:vertAlign w:val="superscript"/>
          <w:lang w:val="en-NL"/>
        </w:rPr>
        <w:t>1,2</w:t>
      </w:r>
      <w:r w:rsidRPr="00026A0F">
        <w:rPr>
          <w:rFonts w:eastAsia="Times New Roman"/>
          <w:color w:val="000000"/>
          <w:sz w:val="20"/>
          <w:szCs w:val="20"/>
          <w:lang w:val="en-NL"/>
        </w:rPr>
        <w:t>, Jan W. Buikema</w:t>
      </w:r>
      <w:r w:rsidRPr="00026A0F">
        <w:rPr>
          <w:rFonts w:eastAsia="Times New Roman"/>
          <w:color w:val="000000"/>
          <w:sz w:val="12"/>
          <w:szCs w:val="12"/>
          <w:vertAlign w:val="superscript"/>
          <w:lang w:val="en-NL"/>
        </w:rPr>
        <w:t>1,2</w:t>
      </w:r>
      <w:r w:rsidRPr="00026A0F">
        <w:rPr>
          <w:rFonts w:eastAsia="Times New Roman"/>
          <w:color w:val="000000"/>
          <w:sz w:val="20"/>
          <w:szCs w:val="20"/>
          <w:lang w:val="en-NL"/>
        </w:rPr>
        <w:t>, Aryan Vink</w:t>
      </w:r>
      <w:r w:rsidRPr="00026A0F">
        <w:rPr>
          <w:rFonts w:eastAsia="Times New Roman"/>
          <w:color w:val="000000"/>
          <w:sz w:val="12"/>
          <w:szCs w:val="12"/>
          <w:vertAlign w:val="superscript"/>
          <w:lang w:val="en-NL"/>
        </w:rPr>
        <w:t>7</w:t>
      </w:r>
      <w:r w:rsidRPr="00026A0F">
        <w:rPr>
          <w:rFonts w:eastAsia="Times New Roman"/>
          <w:color w:val="000000"/>
          <w:sz w:val="20"/>
          <w:szCs w:val="20"/>
          <w:lang w:val="en-NL"/>
        </w:rPr>
        <w:t xml:space="preserve">, </w:t>
      </w:r>
      <w:proofErr w:type="spellStart"/>
      <w:r w:rsidRPr="00026A0F">
        <w:rPr>
          <w:rFonts w:eastAsia="Times New Roman"/>
          <w:color w:val="000000"/>
          <w:sz w:val="20"/>
          <w:szCs w:val="20"/>
          <w:lang w:val="en-NL"/>
        </w:rPr>
        <w:t>Ioannis</w:t>
      </w:r>
      <w:proofErr w:type="spellEnd"/>
      <w:r w:rsidRPr="00026A0F">
        <w:rPr>
          <w:rFonts w:eastAsia="Times New Roman"/>
          <w:color w:val="000000"/>
          <w:sz w:val="20"/>
          <w:szCs w:val="20"/>
          <w:lang w:val="en-NL"/>
        </w:rPr>
        <w:t xml:space="preserve"> Karakikes</w:t>
      </w:r>
      <w:r w:rsidRPr="00026A0F">
        <w:rPr>
          <w:rFonts w:eastAsia="Times New Roman"/>
          <w:color w:val="000000"/>
          <w:sz w:val="12"/>
          <w:szCs w:val="12"/>
          <w:vertAlign w:val="superscript"/>
          <w:lang w:val="en-NL"/>
        </w:rPr>
        <w:t>8</w:t>
      </w:r>
      <w:r w:rsidRPr="00026A0F">
        <w:rPr>
          <w:rFonts w:eastAsia="Times New Roman"/>
          <w:color w:val="000000"/>
          <w:sz w:val="20"/>
          <w:szCs w:val="20"/>
          <w:lang w:val="en-NL"/>
        </w:rPr>
        <w:t>, Mark Mercola</w:t>
      </w:r>
      <w:r w:rsidRPr="00026A0F">
        <w:rPr>
          <w:rFonts w:eastAsia="Times New Roman"/>
          <w:color w:val="000000"/>
          <w:sz w:val="12"/>
          <w:szCs w:val="12"/>
          <w:vertAlign w:val="superscript"/>
          <w:lang w:val="en-NL"/>
        </w:rPr>
        <w:t>8</w:t>
      </w:r>
      <w:r w:rsidRPr="00026A0F">
        <w:rPr>
          <w:rFonts w:eastAsia="Times New Roman"/>
          <w:color w:val="000000"/>
          <w:sz w:val="20"/>
          <w:szCs w:val="20"/>
          <w:lang w:val="en-NL"/>
        </w:rPr>
        <w:t>, Pieter A. Doevendans</w:t>
      </w:r>
      <w:r w:rsidRPr="00026A0F">
        <w:rPr>
          <w:rFonts w:eastAsia="Times New Roman"/>
          <w:color w:val="000000"/>
          <w:sz w:val="12"/>
          <w:szCs w:val="12"/>
          <w:vertAlign w:val="superscript"/>
          <w:lang w:val="en-NL"/>
        </w:rPr>
        <w:t>1,2,3</w:t>
      </w:r>
      <w:r w:rsidRPr="00026A0F">
        <w:rPr>
          <w:rFonts w:eastAsia="Times New Roman"/>
          <w:color w:val="000000"/>
          <w:sz w:val="20"/>
          <w:szCs w:val="20"/>
          <w:lang w:val="en-NL"/>
        </w:rPr>
        <w:t>, Joost P. G. Sluijter</w:t>
      </w:r>
      <w:r w:rsidRPr="00026A0F">
        <w:rPr>
          <w:rFonts w:eastAsia="Times New Roman"/>
          <w:color w:val="000000"/>
          <w:sz w:val="12"/>
          <w:szCs w:val="12"/>
          <w:vertAlign w:val="superscript"/>
          <w:lang w:val="en-NL"/>
        </w:rPr>
        <w:t>1,2</w:t>
      </w:r>
      <w:r w:rsidRPr="00026A0F">
        <w:rPr>
          <w:rFonts w:eastAsia="Times New Roman"/>
          <w:color w:val="000000"/>
          <w:sz w:val="20"/>
          <w:szCs w:val="20"/>
          <w:lang w:val="en-NL"/>
        </w:rPr>
        <w:t>, Frank G. van Steenbeek</w:t>
      </w:r>
      <w:r w:rsidRPr="00026A0F">
        <w:rPr>
          <w:rFonts w:eastAsia="Times New Roman"/>
          <w:color w:val="000000"/>
          <w:sz w:val="12"/>
          <w:szCs w:val="12"/>
          <w:vertAlign w:val="superscript"/>
          <w:lang w:val="en-NL"/>
        </w:rPr>
        <w:t>1,2,15</w:t>
      </w:r>
      <w:r w:rsidRPr="00026A0F">
        <w:rPr>
          <w:rFonts w:eastAsia="Times New Roman"/>
          <w:color w:val="000000"/>
          <w:sz w:val="20"/>
          <w:szCs w:val="20"/>
          <w:lang w:val="en-NL"/>
        </w:rPr>
        <w:t>, Caroline Cheng</w:t>
      </w:r>
      <w:r w:rsidRPr="00026A0F">
        <w:rPr>
          <w:rFonts w:eastAsia="Times New Roman"/>
          <w:color w:val="000000"/>
          <w:sz w:val="12"/>
          <w:szCs w:val="12"/>
          <w:vertAlign w:val="superscript"/>
          <w:lang w:val="en-NL"/>
        </w:rPr>
        <w:t>2,4</w:t>
      </w:r>
      <w:r w:rsidRPr="00026A0F">
        <w:rPr>
          <w:rFonts w:eastAsia="Times New Roman"/>
          <w:color w:val="000000"/>
          <w:sz w:val="20"/>
          <w:szCs w:val="20"/>
          <w:lang w:val="en-NL"/>
        </w:rPr>
        <w:t>, Michal Mokry</w:t>
      </w:r>
      <w:r w:rsidRPr="00026A0F">
        <w:rPr>
          <w:rFonts w:eastAsia="Times New Roman"/>
          <w:color w:val="000000"/>
          <w:sz w:val="12"/>
          <w:szCs w:val="12"/>
          <w:vertAlign w:val="superscript"/>
          <w:lang w:val="en-NL"/>
        </w:rPr>
        <w:t>1,2,6,16</w:t>
      </w:r>
      <w:r w:rsidRPr="00026A0F">
        <w:rPr>
          <w:rFonts w:eastAsia="Times New Roman"/>
          <w:color w:val="000000"/>
          <w:sz w:val="20"/>
          <w:szCs w:val="20"/>
          <w:lang w:val="en-NL"/>
        </w:rPr>
        <w:t xml:space="preserve">*, </w:t>
      </w:r>
      <w:proofErr w:type="spellStart"/>
      <w:r w:rsidRPr="00026A0F">
        <w:rPr>
          <w:rFonts w:eastAsia="Times New Roman"/>
          <w:color w:val="000000"/>
          <w:sz w:val="20"/>
          <w:szCs w:val="20"/>
          <w:lang w:val="en-NL"/>
        </w:rPr>
        <w:t>Folkert</w:t>
      </w:r>
      <w:proofErr w:type="spellEnd"/>
      <w:r w:rsidRPr="00026A0F">
        <w:rPr>
          <w:rFonts w:eastAsia="Times New Roman"/>
          <w:color w:val="000000"/>
          <w:sz w:val="20"/>
          <w:szCs w:val="20"/>
          <w:lang w:val="en-NL"/>
        </w:rPr>
        <w:t xml:space="preserve"> W. Asselbergs</w:t>
      </w:r>
      <w:r w:rsidRPr="00026A0F">
        <w:rPr>
          <w:rFonts w:eastAsia="Times New Roman"/>
          <w:color w:val="000000"/>
          <w:sz w:val="12"/>
          <w:szCs w:val="12"/>
          <w:vertAlign w:val="superscript"/>
          <w:lang w:val="en-NL"/>
        </w:rPr>
        <w:t>1,3,17,18</w:t>
      </w:r>
      <w:r w:rsidRPr="00026A0F">
        <w:rPr>
          <w:rFonts w:eastAsia="Times New Roman"/>
          <w:color w:val="000000"/>
          <w:sz w:val="20"/>
          <w:szCs w:val="20"/>
          <w:lang w:val="en-NL"/>
        </w:rPr>
        <w:t>*, Magdalena Harakalova</w:t>
      </w:r>
      <w:r w:rsidRPr="00026A0F">
        <w:rPr>
          <w:rFonts w:eastAsia="Times New Roman"/>
          <w:color w:val="000000"/>
          <w:sz w:val="12"/>
          <w:szCs w:val="12"/>
          <w:vertAlign w:val="superscript"/>
          <w:lang w:val="en-NL"/>
        </w:rPr>
        <w:t>1,2,3*#</w:t>
      </w:r>
    </w:p>
    <w:p w14:paraId="13A641E8" w14:textId="77777777" w:rsidR="00026A0F" w:rsidRPr="00026A0F" w:rsidRDefault="00026A0F" w:rsidP="00026A0F">
      <w:pPr>
        <w:spacing w:before="240" w:after="240" w:line="240" w:lineRule="auto"/>
        <w:rPr>
          <w:rFonts w:ascii="Times New Roman" w:eastAsia="Times New Roman" w:hAnsi="Times New Roman" w:cs="Times New Roman"/>
          <w:sz w:val="24"/>
          <w:szCs w:val="24"/>
          <w:lang w:val="en-NL"/>
        </w:rPr>
      </w:pPr>
      <w:r w:rsidRPr="00026A0F">
        <w:rPr>
          <w:rFonts w:eastAsia="Times New Roman"/>
          <w:color w:val="000000"/>
          <w:sz w:val="20"/>
          <w:szCs w:val="20"/>
          <w:lang w:val="en-NL"/>
        </w:rPr>
        <w:t>*equal contribution; #corresponding author</w:t>
      </w:r>
    </w:p>
    <w:p w14:paraId="6C3B0EE9" w14:textId="77777777" w:rsidR="00026A0F" w:rsidRPr="00026A0F" w:rsidRDefault="00026A0F" w:rsidP="00026A0F">
      <w:pPr>
        <w:spacing w:line="240" w:lineRule="auto"/>
        <w:rPr>
          <w:rFonts w:ascii="Times New Roman" w:eastAsia="Times New Roman" w:hAnsi="Times New Roman" w:cs="Times New Roman"/>
          <w:sz w:val="24"/>
          <w:szCs w:val="24"/>
          <w:lang w:val="en-NL"/>
        </w:rPr>
      </w:pPr>
      <w:r w:rsidRPr="00026A0F">
        <w:rPr>
          <w:rFonts w:eastAsia="Times New Roman"/>
          <w:color w:val="000000"/>
          <w:sz w:val="12"/>
          <w:szCs w:val="12"/>
          <w:vertAlign w:val="superscript"/>
          <w:lang w:val="en-NL"/>
        </w:rPr>
        <w:t xml:space="preserve">1 </w:t>
      </w:r>
      <w:r w:rsidRPr="00026A0F">
        <w:rPr>
          <w:rFonts w:eastAsia="Times New Roman"/>
          <w:color w:val="000000"/>
          <w:sz w:val="20"/>
          <w:szCs w:val="20"/>
          <w:lang w:val="en-NL"/>
        </w:rPr>
        <w:t>Department of Cardiology, Division Heart &amp; Lungs, University Medical Centre Utrecht, University of Utrecht, Utrecht, NL</w:t>
      </w:r>
    </w:p>
    <w:p w14:paraId="30B7F23D" w14:textId="77777777" w:rsidR="00026A0F" w:rsidRPr="00026A0F" w:rsidRDefault="00026A0F" w:rsidP="00026A0F">
      <w:pPr>
        <w:spacing w:line="240" w:lineRule="auto"/>
        <w:rPr>
          <w:rFonts w:ascii="Times New Roman" w:eastAsia="Times New Roman" w:hAnsi="Times New Roman" w:cs="Times New Roman"/>
          <w:sz w:val="24"/>
          <w:szCs w:val="24"/>
          <w:lang w:val="en-NL"/>
        </w:rPr>
      </w:pPr>
      <w:r w:rsidRPr="00026A0F">
        <w:rPr>
          <w:rFonts w:eastAsia="Times New Roman"/>
          <w:color w:val="000000"/>
          <w:sz w:val="12"/>
          <w:szCs w:val="12"/>
          <w:vertAlign w:val="superscript"/>
          <w:lang w:val="en-NL"/>
        </w:rPr>
        <w:t xml:space="preserve">2 </w:t>
      </w:r>
      <w:r w:rsidRPr="00026A0F">
        <w:rPr>
          <w:rFonts w:eastAsia="Times New Roman"/>
          <w:color w:val="000000"/>
          <w:sz w:val="20"/>
          <w:szCs w:val="20"/>
          <w:lang w:val="en-NL"/>
        </w:rPr>
        <w:t>Regenerative Medicine Centre Utrecht, University Medical Centre Utrecht, University of Utrecht, Utrecht, NL</w:t>
      </w:r>
    </w:p>
    <w:p w14:paraId="1BD4CFBA" w14:textId="77777777" w:rsidR="00026A0F" w:rsidRPr="00026A0F" w:rsidRDefault="00026A0F" w:rsidP="00026A0F">
      <w:pPr>
        <w:spacing w:line="240" w:lineRule="auto"/>
        <w:rPr>
          <w:rFonts w:ascii="Times New Roman" w:eastAsia="Times New Roman" w:hAnsi="Times New Roman" w:cs="Times New Roman"/>
          <w:sz w:val="24"/>
          <w:szCs w:val="24"/>
          <w:lang w:val="en-NL"/>
        </w:rPr>
      </w:pPr>
      <w:r w:rsidRPr="00026A0F">
        <w:rPr>
          <w:rFonts w:eastAsia="Times New Roman"/>
          <w:color w:val="000000"/>
          <w:sz w:val="12"/>
          <w:szCs w:val="12"/>
          <w:vertAlign w:val="superscript"/>
          <w:lang w:val="en-NL"/>
        </w:rPr>
        <w:t xml:space="preserve">3 </w:t>
      </w:r>
      <w:r w:rsidRPr="00026A0F">
        <w:rPr>
          <w:rFonts w:eastAsia="Times New Roman"/>
          <w:color w:val="000000"/>
          <w:sz w:val="20"/>
          <w:szCs w:val="20"/>
          <w:lang w:val="en-NL"/>
        </w:rPr>
        <w:t>Netherlands Heart Institute, Utrecht, NL</w:t>
      </w:r>
    </w:p>
    <w:p w14:paraId="4E31C393" w14:textId="77777777" w:rsidR="00026A0F" w:rsidRPr="00026A0F" w:rsidRDefault="00026A0F" w:rsidP="00026A0F">
      <w:pPr>
        <w:spacing w:line="240" w:lineRule="auto"/>
        <w:rPr>
          <w:rFonts w:ascii="Times New Roman" w:eastAsia="Times New Roman" w:hAnsi="Times New Roman" w:cs="Times New Roman"/>
          <w:sz w:val="24"/>
          <w:szCs w:val="24"/>
          <w:lang w:val="en-NL"/>
        </w:rPr>
      </w:pPr>
      <w:r w:rsidRPr="00026A0F">
        <w:rPr>
          <w:rFonts w:eastAsia="Times New Roman"/>
          <w:color w:val="000000"/>
          <w:sz w:val="12"/>
          <w:szCs w:val="12"/>
          <w:vertAlign w:val="superscript"/>
          <w:lang w:val="en-NL"/>
        </w:rPr>
        <w:t xml:space="preserve">4 </w:t>
      </w:r>
      <w:r w:rsidRPr="00026A0F">
        <w:rPr>
          <w:rFonts w:eastAsia="Times New Roman"/>
          <w:color w:val="000000"/>
          <w:sz w:val="20"/>
          <w:szCs w:val="20"/>
          <w:lang w:val="en-NL"/>
        </w:rPr>
        <w:t>Department of Nephrology and Hypertension, Division of Internal Medicine and Dermatology, University Medical Centre Utrecht, University of Utrecht, Utrecht, NL</w:t>
      </w:r>
    </w:p>
    <w:p w14:paraId="6628B04C" w14:textId="77777777" w:rsidR="00026A0F" w:rsidRPr="00026A0F" w:rsidRDefault="00026A0F" w:rsidP="00026A0F">
      <w:pPr>
        <w:spacing w:line="240" w:lineRule="auto"/>
        <w:rPr>
          <w:rFonts w:ascii="Times New Roman" w:eastAsia="Times New Roman" w:hAnsi="Times New Roman" w:cs="Times New Roman"/>
          <w:sz w:val="24"/>
          <w:szCs w:val="24"/>
          <w:lang w:val="en-NL"/>
        </w:rPr>
      </w:pPr>
      <w:r w:rsidRPr="00026A0F">
        <w:rPr>
          <w:rFonts w:eastAsia="Times New Roman"/>
          <w:color w:val="000000"/>
          <w:sz w:val="12"/>
          <w:szCs w:val="12"/>
          <w:vertAlign w:val="superscript"/>
          <w:lang w:val="en-NL"/>
        </w:rPr>
        <w:t xml:space="preserve">5 </w:t>
      </w:r>
      <w:r w:rsidRPr="00026A0F">
        <w:rPr>
          <w:rFonts w:eastAsia="Times New Roman"/>
          <w:color w:val="000000"/>
          <w:sz w:val="20"/>
          <w:szCs w:val="20"/>
          <w:lang w:val="en-NL"/>
        </w:rPr>
        <w:t xml:space="preserve">Department of Cardiology, </w:t>
      </w:r>
      <w:proofErr w:type="spellStart"/>
      <w:r w:rsidRPr="00026A0F">
        <w:rPr>
          <w:rFonts w:eastAsia="Times New Roman"/>
          <w:color w:val="000000"/>
          <w:sz w:val="20"/>
          <w:szCs w:val="20"/>
          <w:lang w:val="en-NL"/>
        </w:rPr>
        <w:t>Thoraxcenter</w:t>
      </w:r>
      <w:proofErr w:type="spellEnd"/>
      <w:r w:rsidRPr="00026A0F">
        <w:rPr>
          <w:rFonts w:eastAsia="Times New Roman"/>
          <w:color w:val="000000"/>
          <w:sz w:val="20"/>
          <w:szCs w:val="20"/>
          <w:lang w:val="en-NL"/>
        </w:rPr>
        <w:t xml:space="preserve">, Erasmus Medical </w:t>
      </w:r>
      <w:proofErr w:type="spellStart"/>
      <w:r w:rsidRPr="00026A0F">
        <w:rPr>
          <w:rFonts w:eastAsia="Times New Roman"/>
          <w:color w:val="000000"/>
          <w:sz w:val="20"/>
          <w:szCs w:val="20"/>
          <w:lang w:val="en-NL"/>
        </w:rPr>
        <w:t>Center</w:t>
      </w:r>
      <w:proofErr w:type="spellEnd"/>
      <w:r w:rsidRPr="00026A0F">
        <w:rPr>
          <w:rFonts w:eastAsia="Times New Roman"/>
          <w:color w:val="000000"/>
          <w:sz w:val="20"/>
          <w:szCs w:val="20"/>
          <w:lang w:val="en-NL"/>
        </w:rPr>
        <w:t xml:space="preserve">, University Medical </w:t>
      </w:r>
      <w:proofErr w:type="spellStart"/>
      <w:r w:rsidRPr="00026A0F">
        <w:rPr>
          <w:rFonts w:eastAsia="Times New Roman"/>
          <w:color w:val="000000"/>
          <w:sz w:val="20"/>
          <w:szCs w:val="20"/>
          <w:lang w:val="en-NL"/>
        </w:rPr>
        <w:t>Center</w:t>
      </w:r>
      <w:proofErr w:type="spellEnd"/>
      <w:r w:rsidRPr="00026A0F">
        <w:rPr>
          <w:rFonts w:eastAsia="Times New Roman"/>
          <w:color w:val="000000"/>
          <w:sz w:val="20"/>
          <w:szCs w:val="20"/>
          <w:lang w:val="en-NL"/>
        </w:rPr>
        <w:t xml:space="preserve"> Rotterdam, Rotterdam, NL</w:t>
      </w:r>
    </w:p>
    <w:p w14:paraId="420041E7" w14:textId="77777777" w:rsidR="00026A0F" w:rsidRPr="00026A0F" w:rsidRDefault="00026A0F" w:rsidP="00026A0F">
      <w:pPr>
        <w:spacing w:line="240" w:lineRule="auto"/>
        <w:rPr>
          <w:rFonts w:ascii="Times New Roman" w:eastAsia="Times New Roman" w:hAnsi="Times New Roman" w:cs="Times New Roman"/>
          <w:sz w:val="24"/>
          <w:szCs w:val="24"/>
          <w:lang w:val="en-NL"/>
        </w:rPr>
      </w:pPr>
      <w:r w:rsidRPr="00026A0F">
        <w:rPr>
          <w:rFonts w:eastAsia="Times New Roman"/>
          <w:color w:val="000000"/>
          <w:sz w:val="12"/>
          <w:szCs w:val="12"/>
          <w:vertAlign w:val="superscript"/>
          <w:lang w:val="en-NL"/>
        </w:rPr>
        <w:t xml:space="preserve">6 </w:t>
      </w:r>
      <w:r w:rsidRPr="00026A0F">
        <w:rPr>
          <w:rFonts w:eastAsia="Times New Roman"/>
          <w:color w:val="000000"/>
          <w:sz w:val="20"/>
          <w:szCs w:val="20"/>
          <w:lang w:val="en-NL"/>
        </w:rPr>
        <w:t>Epigenomics facility, University Medical Centre Utrecht, University of Utrecht, Utrecht, NL</w:t>
      </w:r>
    </w:p>
    <w:p w14:paraId="1EED2325" w14:textId="77777777" w:rsidR="00026A0F" w:rsidRPr="00026A0F" w:rsidRDefault="00026A0F" w:rsidP="00026A0F">
      <w:pPr>
        <w:spacing w:line="240" w:lineRule="auto"/>
        <w:rPr>
          <w:rFonts w:ascii="Times New Roman" w:eastAsia="Times New Roman" w:hAnsi="Times New Roman" w:cs="Times New Roman"/>
          <w:sz w:val="24"/>
          <w:szCs w:val="24"/>
          <w:lang w:val="en-NL"/>
        </w:rPr>
      </w:pPr>
      <w:r w:rsidRPr="00026A0F">
        <w:rPr>
          <w:rFonts w:eastAsia="Times New Roman"/>
          <w:color w:val="000000"/>
          <w:sz w:val="12"/>
          <w:szCs w:val="12"/>
          <w:vertAlign w:val="superscript"/>
          <w:lang w:val="en-NL"/>
        </w:rPr>
        <w:t xml:space="preserve">7 </w:t>
      </w:r>
      <w:r w:rsidRPr="00026A0F">
        <w:rPr>
          <w:rFonts w:eastAsia="Times New Roman"/>
          <w:color w:val="000000"/>
          <w:sz w:val="20"/>
          <w:szCs w:val="20"/>
          <w:lang w:val="en-NL"/>
        </w:rPr>
        <w:t>Department of Pathology, University Medical Centre Utrecht, University of Utrecht, Utrecht, NL</w:t>
      </w:r>
    </w:p>
    <w:p w14:paraId="0A6A0F52" w14:textId="77777777" w:rsidR="00026A0F" w:rsidRPr="00026A0F" w:rsidRDefault="00026A0F" w:rsidP="00026A0F">
      <w:pPr>
        <w:spacing w:line="240" w:lineRule="auto"/>
        <w:rPr>
          <w:rFonts w:ascii="Times New Roman" w:eastAsia="Times New Roman" w:hAnsi="Times New Roman" w:cs="Times New Roman"/>
          <w:sz w:val="24"/>
          <w:szCs w:val="24"/>
          <w:lang w:val="en-NL"/>
        </w:rPr>
      </w:pPr>
      <w:r w:rsidRPr="00026A0F">
        <w:rPr>
          <w:rFonts w:eastAsia="Times New Roman"/>
          <w:color w:val="000000"/>
          <w:sz w:val="12"/>
          <w:szCs w:val="12"/>
          <w:vertAlign w:val="superscript"/>
          <w:lang w:val="en-NL"/>
        </w:rPr>
        <w:t xml:space="preserve">8 </w:t>
      </w:r>
      <w:r w:rsidRPr="00026A0F">
        <w:rPr>
          <w:rFonts w:eastAsia="Times New Roman"/>
          <w:color w:val="000000"/>
          <w:sz w:val="20"/>
          <w:szCs w:val="20"/>
          <w:lang w:val="en-NL"/>
        </w:rPr>
        <w:t>Stanford Cardiovascular Institute and Department of Medicine, Stanford University, Stanford, CA, USA</w:t>
      </w:r>
    </w:p>
    <w:p w14:paraId="21DA7E34" w14:textId="77777777" w:rsidR="00026A0F" w:rsidRPr="00026A0F" w:rsidRDefault="00026A0F" w:rsidP="00026A0F">
      <w:pPr>
        <w:spacing w:line="240" w:lineRule="auto"/>
        <w:rPr>
          <w:rFonts w:ascii="Times New Roman" w:eastAsia="Times New Roman" w:hAnsi="Times New Roman" w:cs="Times New Roman"/>
          <w:sz w:val="24"/>
          <w:szCs w:val="24"/>
          <w:lang w:val="en-NL"/>
        </w:rPr>
      </w:pPr>
      <w:r w:rsidRPr="00026A0F">
        <w:rPr>
          <w:rFonts w:eastAsia="Times New Roman"/>
          <w:color w:val="000000"/>
          <w:sz w:val="12"/>
          <w:szCs w:val="12"/>
          <w:vertAlign w:val="superscript"/>
          <w:lang w:val="en-NL"/>
        </w:rPr>
        <w:t xml:space="preserve">9 </w:t>
      </w:r>
      <w:r w:rsidRPr="00026A0F">
        <w:rPr>
          <w:rFonts w:eastAsia="Times New Roman"/>
          <w:color w:val="000000"/>
          <w:sz w:val="20"/>
          <w:szCs w:val="20"/>
          <w:lang w:val="en-NL"/>
        </w:rPr>
        <w:t>Department of Genetics, University Medical Centre Utrecht, University of Utrecht, Utrecht, NL</w:t>
      </w:r>
    </w:p>
    <w:p w14:paraId="56285A52" w14:textId="77777777" w:rsidR="00026A0F" w:rsidRPr="00026A0F" w:rsidRDefault="00026A0F" w:rsidP="00026A0F">
      <w:pPr>
        <w:spacing w:line="240" w:lineRule="auto"/>
        <w:jc w:val="both"/>
        <w:rPr>
          <w:rFonts w:ascii="Times New Roman" w:eastAsia="Times New Roman" w:hAnsi="Times New Roman" w:cs="Times New Roman"/>
          <w:sz w:val="24"/>
          <w:szCs w:val="24"/>
          <w:lang w:val="en-NL"/>
        </w:rPr>
      </w:pPr>
      <w:r w:rsidRPr="00026A0F">
        <w:rPr>
          <w:rFonts w:ascii="Roboto" w:eastAsia="Times New Roman" w:hAnsi="Roboto" w:cs="Times New Roman"/>
          <w:color w:val="000000"/>
          <w:sz w:val="12"/>
          <w:szCs w:val="12"/>
          <w:shd w:val="clear" w:color="auto" w:fill="FFFFFF"/>
          <w:vertAlign w:val="superscript"/>
          <w:lang w:val="en-NL"/>
        </w:rPr>
        <w:t>10</w:t>
      </w:r>
      <w:r w:rsidRPr="00026A0F">
        <w:rPr>
          <w:rFonts w:ascii="Roboto" w:eastAsia="Times New Roman" w:hAnsi="Roboto" w:cs="Times New Roman"/>
          <w:color w:val="000000"/>
          <w:sz w:val="20"/>
          <w:szCs w:val="20"/>
          <w:shd w:val="clear" w:color="auto" w:fill="FFFFFF"/>
          <w:lang w:val="en-NL"/>
        </w:rPr>
        <w:t xml:space="preserve"> Department of Clinical Chemistry and </w:t>
      </w:r>
      <w:proofErr w:type="spellStart"/>
      <w:r w:rsidRPr="00026A0F">
        <w:rPr>
          <w:rFonts w:ascii="Roboto" w:eastAsia="Times New Roman" w:hAnsi="Roboto" w:cs="Times New Roman"/>
          <w:color w:val="000000"/>
          <w:sz w:val="20"/>
          <w:szCs w:val="20"/>
          <w:shd w:val="clear" w:color="auto" w:fill="FFFFFF"/>
          <w:lang w:val="en-NL"/>
        </w:rPr>
        <w:t>Pediatrics</w:t>
      </w:r>
      <w:proofErr w:type="spellEnd"/>
      <w:r w:rsidRPr="00026A0F">
        <w:rPr>
          <w:rFonts w:ascii="Roboto" w:eastAsia="Times New Roman" w:hAnsi="Roboto" w:cs="Times New Roman"/>
          <w:color w:val="000000"/>
          <w:sz w:val="20"/>
          <w:szCs w:val="20"/>
          <w:shd w:val="clear" w:color="auto" w:fill="FFFFFF"/>
          <w:lang w:val="en-NL"/>
        </w:rPr>
        <w:t>, Emma Children's Hospital, Amsterdam, NL</w:t>
      </w:r>
    </w:p>
    <w:p w14:paraId="651DD5ED" w14:textId="77777777" w:rsidR="00026A0F" w:rsidRPr="00026A0F" w:rsidRDefault="00026A0F" w:rsidP="00026A0F">
      <w:pPr>
        <w:spacing w:line="240" w:lineRule="auto"/>
        <w:jc w:val="both"/>
        <w:rPr>
          <w:rFonts w:ascii="Times New Roman" w:eastAsia="Times New Roman" w:hAnsi="Times New Roman" w:cs="Times New Roman"/>
          <w:sz w:val="24"/>
          <w:szCs w:val="24"/>
          <w:lang w:val="en-NL"/>
        </w:rPr>
      </w:pPr>
      <w:r w:rsidRPr="00026A0F">
        <w:rPr>
          <w:rFonts w:ascii="Roboto" w:eastAsia="Times New Roman" w:hAnsi="Roboto" w:cs="Times New Roman"/>
          <w:color w:val="000000"/>
          <w:sz w:val="12"/>
          <w:szCs w:val="12"/>
          <w:shd w:val="clear" w:color="auto" w:fill="FFFFFF"/>
          <w:vertAlign w:val="superscript"/>
          <w:lang w:val="en-NL"/>
        </w:rPr>
        <w:t xml:space="preserve">11 </w:t>
      </w:r>
      <w:r w:rsidRPr="00026A0F">
        <w:rPr>
          <w:rFonts w:ascii="Roboto" w:eastAsia="Times New Roman" w:hAnsi="Roboto" w:cs="Times New Roman"/>
          <w:color w:val="000000"/>
          <w:sz w:val="20"/>
          <w:szCs w:val="20"/>
          <w:shd w:val="clear" w:color="auto" w:fill="FFFFFF"/>
          <w:lang w:val="en-NL"/>
        </w:rPr>
        <w:t>Amsterdam Gastroenterology Endocrinology Metabolism, Inborn errors of metabolism, Amsterdam UMC location University of Amsterdam, Amsterdam, NL</w:t>
      </w:r>
    </w:p>
    <w:p w14:paraId="44A4D2A5" w14:textId="77777777" w:rsidR="00026A0F" w:rsidRPr="00026A0F" w:rsidRDefault="00026A0F" w:rsidP="00026A0F">
      <w:pPr>
        <w:spacing w:line="240" w:lineRule="auto"/>
        <w:jc w:val="both"/>
        <w:rPr>
          <w:rFonts w:ascii="Times New Roman" w:eastAsia="Times New Roman" w:hAnsi="Times New Roman" w:cs="Times New Roman"/>
          <w:sz w:val="24"/>
          <w:szCs w:val="24"/>
          <w:lang w:val="en-NL"/>
        </w:rPr>
      </w:pPr>
      <w:r w:rsidRPr="00026A0F">
        <w:rPr>
          <w:rFonts w:ascii="Roboto" w:eastAsia="Times New Roman" w:hAnsi="Roboto" w:cs="Times New Roman"/>
          <w:color w:val="000000"/>
          <w:sz w:val="12"/>
          <w:szCs w:val="12"/>
          <w:shd w:val="clear" w:color="auto" w:fill="FFFFFF"/>
          <w:vertAlign w:val="superscript"/>
          <w:lang w:val="en-NL"/>
        </w:rPr>
        <w:t xml:space="preserve">12 </w:t>
      </w:r>
      <w:r w:rsidRPr="00026A0F">
        <w:rPr>
          <w:rFonts w:ascii="Roboto" w:eastAsia="Times New Roman" w:hAnsi="Roboto" w:cs="Times New Roman"/>
          <w:color w:val="000000"/>
          <w:sz w:val="20"/>
          <w:szCs w:val="20"/>
          <w:shd w:val="clear" w:color="auto" w:fill="FFFFFF"/>
          <w:lang w:val="en-NL"/>
        </w:rPr>
        <w:t>Core Facility Metabolomics, Amsterdam UMC location University of Amsterdam, Amsterdam, NL</w:t>
      </w:r>
    </w:p>
    <w:p w14:paraId="0231CCDA" w14:textId="77777777" w:rsidR="00026A0F" w:rsidRPr="00026A0F" w:rsidRDefault="00026A0F" w:rsidP="00026A0F">
      <w:pPr>
        <w:spacing w:line="240" w:lineRule="auto"/>
        <w:jc w:val="both"/>
        <w:rPr>
          <w:rFonts w:ascii="Times New Roman" w:eastAsia="Times New Roman" w:hAnsi="Times New Roman" w:cs="Times New Roman"/>
          <w:sz w:val="24"/>
          <w:szCs w:val="24"/>
          <w:lang w:val="en-NL"/>
        </w:rPr>
      </w:pPr>
      <w:r w:rsidRPr="00026A0F">
        <w:rPr>
          <w:rFonts w:ascii="Roboto" w:eastAsia="Times New Roman" w:hAnsi="Roboto" w:cs="Times New Roman"/>
          <w:color w:val="000000"/>
          <w:sz w:val="12"/>
          <w:szCs w:val="12"/>
          <w:shd w:val="clear" w:color="auto" w:fill="FFFFFF"/>
          <w:vertAlign w:val="superscript"/>
          <w:lang w:val="en-NL"/>
        </w:rPr>
        <w:t xml:space="preserve">13 </w:t>
      </w:r>
      <w:r w:rsidRPr="00026A0F">
        <w:rPr>
          <w:rFonts w:ascii="Roboto" w:eastAsia="Times New Roman" w:hAnsi="Roboto" w:cs="Times New Roman"/>
          <w:color w:val="000000"/>
          <w:sz w:val="20"/>
          <w:szCs w:val="20"/>
          <w:shd w:val="clear" w:color="auto" w:fill="FFFFFF"/>
          <w:lang w:val="en-NL"/>
        </w:rPr>
        <w:t>United for Metabolic Diseases, NL</w:t>
      </w:r>
    </w:p>
    <w:p w14:paraId="4B8C708E" w14:textId="77777777" w:rsidR="00026A0F" w:rsidRPr="00026A0F" w:rsidRDefault="00026A0F" w:rsidP="00026A0F">
      <w:pPr>
        <w:spacing w:line="240" w:lineRule="auto"/>
        <w:rPr>
          <w:rFonts w:ascii="Times New Roman" w:eastAsia="Times New Roman" w:hAnsi="Times New Roman" w:cs="Times New Roman"/>
          <w:sz w:val="24"/>
          <w:szCs w:val="24"/>
          <w:lang w:val="en-NL"/>
        </w:rPr>
      </w:pPr>
      <w:r w:rsidRPr="00026A0F">
        <w:rPr>
          <w:rFonts w:eastAsia="Times New Roman"/>
          <w:color w:val="000000"/>
          <w:sz w:val="12"/>
          <w:szCs w:val="12"/>
          <w:vertAlign w:val="superscript"/>
          <w:lang w:val="en-NL"/>
        </w:rPr>
        <w:t xml:space="preserve">14 </w:t>
      </w:r>
      <w:r w:rsidRPr="00026A0F">
        <w:rPr>
          <w:rFonts w:eastAsia="Times New Roman"/>
          <w:color w:val="000000"/>
          <w:sz w:val="20"/>
          <w:szCs w:val="20"/>
          <w:lang w:val="en-NL"/>
        </w:rPr>
        <w:t>Centre for Molecular Medicine, Molecular Cancer Research Section, University Medical Centre Utrecht, NL</w:t>
      </w:r>
    </w:p>
    <w:p w14:paraId="65C6DB9E" w14:textId="77777777" w:rsidR="00026A0F" w:rsidRPr="00026A0F" w:rsidRDefault="00026A0F" w:rsidP="00026A0F">
      <w:pPr>
        <w:spacing w:line="240" w:lineRule="auto"/>
        <w:rPr>
          <w:rFonts w:ascii="Times New Roman" w:eastAsia="Times New Roman" w:hAnsi="Times New Roman" w:cs="Times New Roman"/>
          <w:sz w:val="24"/>
          <w:szCs w:val="24"/>
          <w:lang w:val="en-NL"/>
        </w:rPr>
      </w:pPr>
      <w:r w:rsidRPr="00026A0F">
        <w:rPr>
          <w:rFonts w:eastAsia="Times New Roman"/>
          <w:color w:val="000000"/>
          <w:sz w:val="12"/>
          <w:szCs w:val="12"/>
          <w:vertAlign w:val="superscript"/>
          <w:lang w:val="en-NL"/>
        </w:rPr>
        <w:t xml:space="preserve">15 </w:t>
      </w:r>
      <w:r w:rsidRPr="00026A0F">
        <w:rPr>
          <w:rFonts w:eastAsia="Times New Roman"/>
          <w:color w:val="000000"/>
          <w:sz w:val="20"/>
          <w:szCs w:val="20"/>
          <w:lang w:val="en-NL"/>
        </w:rPr>
        <w:t>Department of Clinical Sciences, Faculty of Veterinary Medicine, University of Utrecht, Utrecht, NL</w:t>
      </w:r>
    </w:p>
    <w:p w14:paraId="18E419B0" w14:textId="77777777" w:rsidR="00026A0F" w:rsidRPr="00026A0F" w:rsidRDefault="00026A0F" w:rsidP="00026A0F">
      <w:pPr>
        <w:spacing w:line="240" w:lineRule="auto"/>
        <w:rPr>
          <w:rFonts w:ascii="Times New Roman" w:eastAsia="Times New Roman" w:hAnsi="Times New Roman" w:cs="Times New Roman"/>
          <w:sz w:val="24"/>
          <w:szCs w:val="24"/>
          <w:lang w:val="en-NL"/>
        </w:rPr>
      </w:pPr>
      <w:r w:rsidRPr="00026A0F">
        <w:rPr>
          <w:rFonts w:eastAsia="Times New Roman"/>
          <w:color w:val="000000"/>
          <w:sz w:val="12"/>
          <w:szCs w:val="12"/>
          <w:vertAlign w:val="superscript"/>
          <w:lang w:val="en-NL"/>
        </w:rPr>
        <w:t xml:space="preserve">16  </w:t>
      </w:r>
      <w:r w:rsidRPr="00026A0F">
        <w:rPr>
          <w:rFonts w:eastAsia="Times New Roman"/>
          <w:color w:val="000000"/>
          <w:sz w:val="20"/>
          <w:szCs w:val="20"/>
          <w:lang w:val="en-NL"/>
        </w:rPr>
        <w:t>Wilhelmina Children’s Hospital, Department of Paediatric Gastroenterology, Division Child Health, Utrecht, NL</w:t>
      </w:r>
    </w:p>
    <w:p w14:paraId="01BA2DE3" w14:textId="77777777" w:rsidR="00026A0F" w:rsidRPr="00026A0F" w:rsidRDefault="00026A0F" w:rsidP="00026A0F">
      <w:pPr>
        <w:spacing w:line="240" w:lineRule="auto"/>
        <w:rPr>
          <w:rFonts w:ascii="Times New Roman" w:eastAsia="Times New Roman" w:hAnsi="Times New Roman" w:cs="Times New Roman"/>
          <w:sz w:val="24"/>
          <w:szCs w:val="24"/>
          <w:lang w:val="en-NL"/>
        </w:rPr>
      </w:pPr>
      <w:r w:rsidRPr="00026A0F">
        <w:rPr>
          <w:rFonts w:eastAsia="Times New Roman"/>
          <w:color w:val="000000"/>
          <w:sz w:val="12"/>
          <w:szCs w:val="12"/>
          <w:vertAlign w:val="superscript"/>
          <w:lang w:val="en-NL"/>
        </w:rPr>
        <w:t xml:space="preserve">17 </w:t>
      </w:r>
      <w:r w:rsidRPr="00026A0F">
        <w:rPr>
          <w:rFonts w:eastAsia="Times New Roman"/>
          <w:color w:val="000000"/>
          <w:sz w:val="20"/>
          <w:szCs w:val="20"/>
          <w:lang w:val="en-NL"/>
        </w:rPr>
        <w:t>Institute of Cardiovascular Science, Faculty of Population Health Sciences, University College London, London, UK</w:t>
      </w:r>
    </w:p>
    <w:p w14:paraId="5E7F12BD" w14:textId="77777777" w:rsidR="00026A0F" w:rsidRPr="00026A0F" w:rsidRDefault="00026A0F" w:rsidP="00026A0F">
      <w:pPr>
        <w:spacing w:line="240" w:lineRule="auto"/>
        <w:rPr>
          <w:rFonts w:ascii="Times New Roman" w:eastAsia="Times New Roman" w:hAnsi="Times New Roman" w:cs="Times New Roman"/>
          <w:sz w:val="24"/>
          <w:szCs w:val="24"/>
          <w:lang w:val="en-NL"/>
        </w:rPr>
      </w:pPr>
      <w:r w:rsidRPr="00026A0F">
        <w:rPr>
          <w:rFonts w:eastAsia="Times New Roman"/>
          <w:color w:val="000000"/>
          <w:sz w:val="12"/>
          <w:szCs w:val="12"/>
          <w:vertAlign w:val="superscript"/>
          <w:lang w:val="en-NL"/>
        </w:rPr>
        <w:t xml:space="preserve">18 </w:t>
      </w:r>
      <w:r w:rsidRPr="00026A0F">
        <w:rPr>
          <w:rFonts w:eastAsia="Times New Roman"/>
          <w:color w:val="000000"/>
          <w:sz w:val="20"/>
          <w:szCs w:val="20"/>
          <w:lang w:val="en-NL"/>
        </w:rPr>
        <w:t>Health Data Research UK and Institute of Health Informatics, University College London, London, UK</w:t>
      </w:r>
    </w:p>
    <w:p w14:paraId="4BFEBC1F" w14:textId="77777777" w:rsidR="00026A0F" w:rsidRPr="00026A0F" w:rsidRDefault="00026A0F" w:rsidP="00026A0F">
      <w:pPr>
        <w:spacing w:after="240" w:line="240" w:lineRule="auto"/>
        <w:rPr>
          <w:rFonts w:ascii="Times New Roman" w:eastAsia="Times New Roman" w:hAnsi="Times New Roman" w:cs="Times New Roman"/>
          <w:sz w:val="24"/>
          <w:szCs w:val="24"/>
          <w:lang w:val="en-NL"/>
        </w:rPr>
      </w:pPr>
    </w:p>
    <w:p w14:paraId="0683CB7B" w14:textId="77777777" w:rsidR="00026A0F" w:rsidRPr="00026A0F" w:rsidRDefault="00026A0F" w:rsidP="00026A0F">
      <w:pPr>
        <w:spacing w:line="240" w:lineRule="auto"/>
        <w:jc w:val="both"/>
        <w:rPr>
          <w:rFonts w:ascii="Times New Roman" w:eastAsia="Times New Roman" w:hAnsi="Times New Roman" w:cs="Times New Roman"/>
          <w:sz w:val="24"/>
          <w:szCs w:val="24"/>
          <w:lang w:val="en-NL"/>
        </w:rPr>
      </w:pPr>
      <w:r w:rsidRPr="00026A0F">
        <w:rPr>
          <w:rFonts w:eastAsia="Times New Roman"/>
          <w:b/>
          <w:bCs/>
          <w:color w:val="000000"/>
          <w:sz w:val="20"/>
          <w:szCs w:val="20"/>
          <w:lang w:val="en-NL"/>
        </w:rPr>
        <w:t>Corresponding author:</w:t>
      </w:r>
    </w:p>
    <w:p w14:paraId="0921D579" w14:textId="77777777" w:rsidR="00026A0F" w:rsidRPr="00026A0F" w:rsidRDefault="00026A0F" w:rsidP="00026A0F">
      <w:pPr>
        <w:spacing w:line="240" w:lineRule="auto"/>
        <w:jc w:val="both"/>
        <w:rPr>
          <w:rFonts w:ascii="Times New Roman" w:eastAsia="Times New Roman" w:hAnsi="Times New Roman" w:cs="Times New Roman"/>
          <w:sz w:val="24"/>
          <w:szCs w:val="24"/>
          <w:lang w:val="en-NL"/>
        </w:rPr>
      </w:pPr>
      <w:r w:rsidRPr="00026A0F">
        <w:rPr>
          <w:rFonts w:eastAsia="Times New Roman"/>
          <w:color w:val="000000"/>
          <w:sz w:val="20"/>
          <w:szCs w:val="20"/>
          <w:lang w:val="en-NL"/>
        </w:rPr>
        <w:t xml:space="preserve">Magdalena </w:t>
      </w:r>
      <w:proofErr w:type="spellStart"/>
      <w:r w:rsidRPr="00026A0F">
        <w:rPr>
          <w:rFonts w:eastAsia="Times New Roman"/>
          <w:color w:val="000000"/>
          <w:sz w:val="20"/>
          <w:szCs w:val="20"/>
          <w:lang w:val="en-NL"/>
        </w:rPr>
        <w:t>Harakalova</w:t>
      </w:r>
      <w:proofErr w:type="spellEnd"/>
      <w:r w:rsidRPr="00026A0F">
        <w:rPr>
          <w:rFonts w:eastAsia="Times New Roman"/>
          <w:color w:val="000000"/>
          <w:sz w:val="20"/>
          <w:szCs w:val="20"/>
          <w:lang w:val="en-NL"/>
        </w:rPr>
        <w:t>, MD PhD</w:t>
      </w:r>
    </w:p>
    <w:p w14:paraId="720747BD" w14:textId="77777777" w:rsidR="00026A0F" w:rsidRPr="00026A0F" w:rsidRDefault="00026A0F" w:rsidP="00026A0F">
      <w:pPr>
        <w:spacing w:line="240" w:lineRule="auto"/>
        <w:jc w:val="both"/>
        <w:rPr>
          <w:rFonts w:ascii="Times New Roman" w:eastAsia="Times New Roman" w:hAnsi="Times New Roman" w:cs="Times New Roman"/>
          <w:sz w:val="24"/>
          <w:szCs w:val="24"/>
          <w:lang w:val="en-NL"/>
        </w:rPr>
      </w:pPr>
      <w:r w:rsidRPr="00026A0F">
        <w:rPr>
          <w:rFonts w:eastAsia="Times New Roman"/>
          <w:color w:val="000000"/>
          <w:sz w:val="20"/>
          <w:szCs w:val="20"/>
          <w:lang w:val="en-NL"/>
        </w:rPr>
        <w:t>Department of Cardiology, Division Heart &amp; Lungs</w:t>
      </w:r>
    </w:p>
    <w:p w14:paraId="1C581420" w14:textId="77777777" w:rsidR="00026A0F" w:rsidRPr="00026A0F" w:rsidRDefault="00026A0F" w:rsidP="00026A0F">
      <w:pPr>
        <w:spacing w:line="240" w:lineRule="auto"/>
        <w:jc w:val="both"/>
        <w:rPr>
          <w:rFonts w:ascii="Times New Roman" w:eastAsia="Times New Roman" w:hAnsi="Times New Roman" w:cs="Times New Roman"/>
          <w:sz w:val="24"/>
          <w:szCs w:val="24"/>
          <w:lang w:val="en-NL"/>
        </w:rPr>
      </w:pPr>
      <w:r w:rsidRPr="00026A0F">
        <w:rPr>
          <w:rFonts w:eastAsia="Times New Roman"/>
          <w:color w:val="000000"/>
          <w:sz w:val="20"/>
          <w:szCs w:val="20"/>
          <w:lang w:val="en-NL"/>
        </w:rPr>
        <w:t>Regenerative Medicine Utrecht</w:t>
      </w:r>
    </w:p>
    <w:p w14:paraId="7A08C9D7" w14:textId="77777777" w:rsidR="00026A0F" w:rsidRPr="00026A0F" w:rsidRDefault="00026A0F" w:rsidP="00026A0F">
      <w:pPr>
        <w:spacing w:line="240" w:lineRule="auto"/>
        <w:jc w:val="both"/>
        <w:rPr>
          <w:rFonts w:ascii="Times New Roman" w:eastAsia="Times New Roman" w:hAnsi="Times New Roman" w:cs="Times New Roman"/>
          <w:sz w:val="24"/>
          <w:szCs w:val="24"/>
          <w:lang w:val="en-NL"/>
        </w:rPr>
      </w:pPr>
      <w:r w:rsidRPr="00026A0F">
        <w:rPr>
          <w:rFonts w:eastAsia="Times New Roman"/>
          <w:color w:val="000000"/>
          <w:sz w:val="20"/>
          <w:szCs w:val="20"/>
          <w:lang w:val="en-NL"/>
        </w:rPr>
        <w:t>University Medical Centre Utrecht</w:t>
      </w:r>
    </w:p>
    <w:p w14:paraId="3E34427A" w14:textId="77777777" w:rsidR="00026A0F" w:rsidRPr="00026A0F" w:rsidRDefault="00026A0F" w:rsidP="00026A0F">
      <w:pPr>
        <w:spacing w:line="240" w:lineRule="auto"/>
        <w:jc w:val="both"/>
        <w:rPr>
          <w:rFonts w:ascii="Times New Roman" w:eastAsia="Times New Roman" w:hAnsi="Times New Roman" w:cs="Times New Roman"/>
          <w:sz w:val="24"/>
          <w:szCs w:val="24"/>
          <w:lang w:val="en-NL"/>
        </w:rPr>
      </w:pPr>
      <w:r w:rsidRPr="00026A0F">
        <w:rPr>
          <w:rFonts w:eastAsia="Times New Roman"/>
          <w:color w:val="000000"/>
          <w:sz w:val="20"/>
          <w:szCs w:val="20"/>
          <w:lang w:val="en-NL"/>
        </w:rPr>
        <w:t>3584 CT Utrecht, The Netherlands</w:t>
      </w:r>
    </w:p>
    <w:p w14:paraId="75E72872" w14:textId="77777777" w:rsidR="00026A0F" w:rsidRPr="00026A0F" w:rsidRDefault="00026A0F" w:rsidP="00026A0F">
      <w:pPr>
        <w:spacing w:line="240" w:lineRule="auto"/>
        <w:jc w:val="both"/>
        <w:rPr>
          <w:rFonts w:ascii="Times New Roman" w:eastAsia="Times New Roman" w:hAnsi="Times New Roman" w:cs="Times New Roman"/>
          <w:sz w:val="24"/>
          <w:szCs w:val="24"/>
          <w:lang w:val="en-NL"/>
        </w:rPr>
      </w:pPr>
      <w:r w:rsidRPr="00026A0F">
        <w:rPr>
          <w:rFonts w:eastAsia="Times New Roman"/>
          <w:color w:val="000000"/>
          <w:sz w:val="20"/>
          <w:szCs w:val="20"/>
          <w:lang w:val="en-NL"/>
        </w:rPr>
        <w:t>T: (+31) 088 755 9815</w:t>
      </w:r>
    </w:p>
    <w:p w14:paraId="40078D5B" w14:textId="77777777" w:rsidR="00026A0F" w:rsidRPr="00026A0F" w:rsidRDefault="00026A0F" w:rsidP="00026A0F">
      <w:pPr>
        <w:spacing w:line="240" w:lineRule="auto"/>
        <w:jc w:val="both"/>
        <w:rPr>
          <w:rFonts w:ascii="Times New Roman" w:eastAsia="Times New Roman" w:hAnsi="Times New Roman" w:cs="Times New Roman"/>
          <w:sz w:val="24"/>
          <w:szCs w:val="24"/>
          <w:lang w:val="en-NL"/>
        </w:rPr>
      </w:pPr>
      <w:hyperlink r:id="rId4" w:history="1">
        <w:r w:rsidRPr="00026A0F">
          <w:rPr>
            <w:rFonts w:eastAsia="Times New Roman"/>
            <w:color w:val="000000"/>
            <w:sz w:val="20"/>
            <w:szCs w:val="20"/>
            <w:u w:val="single"/>
            <w:lang w:val="en-NL"/>
          </w:rPr>
          <w:t>m.harakalova@umcutrecht.nl</w:t>
        </w:r>
      </w:hyperlink>
    </w:p>
    <w:p w14:paraId="00000002" w14:textId="77777777" w:rsidR="00D72892" w:rsidRDefault="00D72892">
      <w:pPr>
        <w:jc w:val="both"/>
        <w:rPr>
          <w:sz w:val="20"/>
          <w:szCs w:val="20"/>
        </w:rPr>
      </w:pPr>
    </w:p>
    <w:p w14:paraId="31FE5FD7" w14:textId="77777777" w:rsidR="00026A0F" w:rsidRDefault="00026A0F">
      <w:pPr>
        <w:rPr>
          <w:b/>
          <w:sz w:val="20"/>
          <w:szCs w:val="20"/>
        </w:rPr>
      </w:pPr>
      <w:r>
        <w:rPr>
          <w:b/>
          <w:sz w:val="20"/>
          <w:szCs w:val="20"/>
        </w:rPr>
        <w:br w:type="page"/>
      </w:r>
    </w:p>
    <w:p w14:paraId="78EA2EAE" w14:textId="6B8D979D" w:rsidR="00026A0F" w:rsidRDefault="00000000">
      <w:pPr>
        <w:jc w:val="both"/>
        <w:rPr>
          <w:b/>
          <w:sz w:val="20"/>
          <w:szCs w:val="20"/>
        </w:rPr>
      </w:pPr>
      <w:r>
        <w:rPr>
          <w:b/>
          <w:sz w:val="20"/>
          <w:szCs w:val="20"/>
        </w:rPr>
        <w:lastRenderedPageBreak/>
        <w:t>Study design and samples</w:t>
      </w:r>
    </w:p>
    <w:p w14:paraId="00000003" w14:textId="4B0DC9B6" w:rsidR="00D72892" w:rsidRPr="00026A0F" w:rsidRDefault="00000000">
      <w:pPr>
        <w:jc w:val="both"/>
        <w:rPr>
          <w:b/>
          <w:sz w:val="20"/>
          <w:szCs w:val="20"/>
        </w:rPr>
      </w:pPr>
      <w:r>
        <w:rPr>
          <w:sz w:val="20"/>
          <w:szCs w:val="20"/>
        </w:rPr>
        <w:t>This study was approved by the Biobank Research Ethics Committee, University Medical Centre Utrecht, Utrecht, The Netherlands, under protocol number 12-387 (cardiac tissues), and 14-513 (skin biopsies). Written informed consent was obtained or in certain cases waived by the ethics committee when obtaining informed consent was not possible due to the death of the individual.</w:t>
      </w:r>
    </w:p>
    <w:p w14:paraId="00000004" w14:textId="77777777" w:rsidR="00D72892" w:rsidRDefault="00000000">
      <w:pPr>
        <w:jc w:val="both"/>
        <w:rPr>
          <w:sz w:val="20"/>
          <w:szCs w:val="20"/>
        </w:rPr>
      </w:pPr>
      <w:r>
        <w:rPr>
          <w:i/>
          <w:sz w:val="20"/>
          <w:szCs w:val="20"/>
          <w:u w:val="single"/>
        </w:rPr>
        <w:t>Cardiac tissues</w:t>
      </w:r>
      <w:r>
        <w:rPr>
          <w:sz w:val="20"/>
          <w:szCs w:val="20"/>
        </w:rPr>
        <w:t xml:space="preserve">: Heart samples collected at autopsy or transplantation were obtained from a homogeneous cohort of PLN-R14del variant positive patients (n=6). Four control hearts obtained from rejected organ donors (n=3) or autopsy (n=1) were used as a reference. To further elaborate on PLN-R14del-specific changes, hearts from patients with ischemic cardiomyopathy (n=4) and non-ischemic cardiomyopathy based on pathogenic variants in genes encoding </w:t>
      </w:r>
      <w:proofErr w:type="spellStart"/>
      <w:r>
        <w:rPr>
          <w:sz w:val="20"/>
          <w:szCs w:val="20"/>
        </w:rPr>
        <w:t>sarcomeric</w:t>
      </w:r>
      <w:proofErr w:type="spellEnd"/>
      <w:r>
        <w:rPr>
          <w:sz w:val="20"/>
          <w:szCs w:val="20"/>
        </w:rPr>
        <w:t xml:space="preserve"> proteins (n=6) were also included. An overview of cardiac tissues is presented in </w:t>
      </w:r>
      <w:r>
        <w:rPr>
          <w:b/>
          <w:sz w:val="20"/>
          <w:szCs w:val="20"/>
        </w:rPr>
        <w:t>Table S1A</w:t>
      </w:r>
      <w:r>
        <w:rPr>
          <w:sz w:val="20"/>
          <w:szCs w:val="20"/>
        </w:rPr>
        <w:t>. Cardiac tissues used for ChIP-seq and RNA-seq were obtained from regions halfway between the atrioventricular valves and the apex and were stored at -80°C. The epicardial region, where fibrofatty replacement profoundly occurred, was excluded in PLN-R14del hearts and the cardiomyocyte-rich myocardial region was included in this study. From each individual, an adjacent block of tissue from the same biopsy was used for ChIP-seq and was paraffin-embedded and stained with Masson’s trichrome (</w:t>
      </w:r>
      <w:r>
        <w:rPr>
          <w:b/>
          <w:sz w:val="20"/>
          <w:szCs w:val="20"/>
        </w:rPr>
        <w:t>Fig.S8A</w:t>
      </w:r>
      <w:r>
        <w:rPr>
          <w:sz w:val="20"/>
          <w:szCs w:val="20"/>
        </w:rPr>
        <w:t xml:space="preserve">). High-resolution systematic digital histological quantification of fibrosis and fatty tissue in trichrome stained slides was used to create schematic overviews showing mean fibrosis or adipose tissue in the PLN-R14del and control groups </w:t>
      </w:r>
      <w:r>
        <w:rPr>
          <w:b/>
          <w:sz w:val="20"/>
          <w:szCs w:val="20"/>
        </w:rPr>
        <w:t>(Fig.S8B</w:t>
      </w:r>
      <w:r>
        <w:rPr>
          <w:sz w:val="20"/>
          <w:szCs w:val="20"/>
        </w:rPr>
        <w:t>). If applicable, macroscopically visible regions of subepicardial fat or myocardial fibrofatty replacement were removed from frozen tissue blocks and 12-30 tissue slices of 10 µm thick were cut to achieve a comparable amount of myocardial tissue in the sequenced material. For all the other samples ten 10 µm thick frozen slices were collected.</w:t>
      </w:r>
    </w:p>
    <w:p w14:paraId="00000005" w14:textId="77777777" w:rsidR="00D72892" w:rsidRDefault="00000000">
      <w:pPr>
        <w:jc w:val="both"/>
        <w:rPr>
          <w:sz w:val="20"/>
          <w:szCs w:val="20"/>
        </w:rPr>
      </w:pPr>
      <w:r>
        <w:rPr>
          <w:i/>
          <w:sz w:val="20"/>
          <w:szCs w:val="20"/>
          <w:u w:val="single"/>
        </w:rPr>
        <w:t>HiPSC-CMs</w:t>
      </w:r>
      <w:r>
        <w:rPr>
          <w:sz w:val="20"/>
          <w:szCs w:val="20"/>
        </w:rPr>
        <w:t xml:space="preserve">: Dermal fibroblasts were obtained from a 4mm skin biopsy under informed consent from one PLN-R14del patient and one healthy donor, followed by the reprogramming of hiPSC. Control and PLN-R14del hiPSC cell lines were kindly provided by Prof. Joseph Wu (Stanford Medicine) and Prof. Mark Mercola (Stanford Medicine), respectively. Control cardiomyocytes (clone SCVI-111 and SCVI-273) and PLN-R14del cardiomyocytes (clone D4) were differentiated from three different iPSC colonies (n=3) per group, and they were included in all cell-based experiments as shown below. In terms of the immunofluorescence staining, an isogenic control hiPSC-CMs, in which the PLN-R14del pathogenic variant was corrected using CRISPR/Cas9 from the PLN-R14del hiPSC cell lines, homozygous hiPSC-CMs, and hiPSC-CMs derived from an asymptomatic PLN-R14del carrier, were provided by Dr. </w:t>
      </w:r>
      <w:proofErr w:type="spellStart"/>
      <w:r>
        <w:rPr>
          <w:sz w:val="20"/>
          <w:szCs w:val="20"/>
        </w:rPr>
        <w:t>Ioannis</w:t>
      </w:r>
      <w:proofErr w:type="spellEnd"/>
      <w:r>
        <w:rPr>
          <w:sz w:val="20"/>
          <w:szCs w:val="20"/>
        </w:rPr>
        <w:t xml:space="preserve"> </w:t>
      </w:r>
      <w:proofErr w:type="spellStart"/>
      <w:r>
        <w:rPr>
          <w:sz w:val="20"/>
          <w:szCs w:val="20"/>
        </w:rPr>
        <w:t>Karakikes</w:t>
      </w:r>
      <w:proofErr w:type="spellEnd"/>
      <w:r>
        <w:rPr>
          <w:sz w:val="20"/>
          <w:szCs w:val="20"/>
        </w:rPr>
        <w:t xml:space="preserve"> (Stanford Medicine)</w:t>
      </w:r>
      <w:hyperlink r:id="rId5">
        <w:r>
          <w:rPr>
            <w:color w:val="000000"/>
            <w:sz w:val="20"/>
            <w:szCs w:val="20"/>
            <w:vertAlign w:val="superscript"/>
          </w:rPr>
          <w:t>1</w:t>
        </w:r>
      </w:hyperlink>
      <w:r>
        <w:rPr>
          <w:sz w:val="20"/>
          <w:szCs w:val="20"/>
        </w:rPr>
        <w:t>. Recently, we have extensively described contractility defects in this PLN-R14del line</w:t>
      </w:r>
      <w:hyperlink r:id="rId6">
        <w:r>
          <w:rPr>
            <w:color w:val="000000"/>
            <w:sz w:val="20"/>
            <w:szCs w:val="20"/>
            <w:vertAlign w:val="superscript"/>
          </w:rPr>
          <w:t>1</w:t>
        </w:r>
      </w:hyperlink>
      <w:r>
        <w:rPr>
          <w:sz w:val="20"/>
          <w:szCs w:val="20"/>
        </w:rPr>
        <w:t xml:space="preserve">. An overview of hiPSC-CMs is presented in </w:t>
      </w:r>
      <w:r>
        <w:rPr>
          <w:b/>
          <w:sz w:val="20"/>
          <w:szCs w:val="20"/>
        </w:rPr>
        <w:t>Table S1B</w:t>
      </w:r>
      <w:r>
        <w:rPr>
          <w:sz w:val="20"/>
          <w:szCs w:val="20"/>
        </w:rPr>
        <w:t>.</w:t>
      </w:r>
    </w:p>
    <w:p w14:paraId="028D7A8A" w14:textId="77777777" w:rsidR="00026A0F" w:rsidRDefault="00000000">
      <w:pPr>
        <w:jc w:val="both"/>
        <w:rPr>
          <w:sz w:val="20"/>
          <w:szCs w:val="20"/>
        </w:rPr>
      </w:pPr>
      <w:r>
        <w:rPr>
          <w:b/>
          <w:sz w:val="20"/>
          <w:szCs w:val="20"/>
        </w:rPr>
        <w:br/>
        <w:t>Chromatin H3K27ac immunoprecipitation and sequencing of human cardiac tissues</w:t>
      </w:r>
      <w:r>
        <w:rPr>
          <w:b/>
          <w:sz w:val="20"/>
          <w:szCs w:val="20"/>
        </w:rPr>
        <w:tab/>
      </w:r>
      <w:r>
        <w:rPr>
          <w:sz w:val="20"/>
          <w:szCs w:val="20"/>
        </w:rPr>
        <w:br/>
        <w:t xml:space="preserve">Chromatin was isolated from frozen cardiac tissues using the </w:t>
      </w:r>
      <w:proofErr w:type="spellStart"/>
      <w:r>
        <w:rPr>
          <w:sz w:val="20"/>
          <w:szCs w:val="20"/>
        </w:rPr>
        <w:t>MAGnify</w:t>
      </w:r>
      <w:proofErr w:type="spellEnd"/>
      <w:r>
        <w:rPr>
          <w:sz w:val="20"/>
          <w:szCs w:val="20"/>
        </w:rPr>
        <w:t xml:space="preserve">™ Chromatin Immunoprecipitation System kit (Life Technologies) according to the manufacturer’s instructions. In brief, the obtained cardiac tissue was crosslinked with 1% formaldehyde and the crosslinking was stopped by adding 1.25 M glycine. Cells were lysed using the kit-provided lysis buffer and nuclei were sonicated using </w:t>
      </w:r>
      <w:proofErr w:type="spellStart"/>
      <w:r>
        <w:rPr>
          <w:sz w:val="20"/>
          <w:szCs w:val="20"/>
        </w:rPr>
        <w:t>Covaris</w:t>
      </w:r>
      <w:proofErr w:type="spellEnd"/>
      <w:r>
        <w:rPr>
          <w:sz w:val="20"/>
          <w:szCs w:val="20"/>
        </w:rPr>
        <w:t xml:space="preserve"> </w:t>
      </w:r>
      <w:proofErr w:type="spellStart"/>
      <w:r>
        <w:rPr>
          <w:sz w:val="20"/>
          <w:szCs w:val="20"/>
        </w:rPr>
        <w:t>microTUBE</w:t>
      </w:r>
      <w:proofErr w:type="spellEnd"/>
      <w:r>
        <w:rPr>
          <w:sz w:val="20"/>
          <w:szCs w:val="20"/>
        </w:rPr>
        <w:t xml:space="preserve"> (duty cycle 5%, intensity 2, 200 cycles per burst, 60s cycle time, 10 cycles). Sheared chromatin was diluted based on the expected number of isolated cells and was incubated with an anti-H3K27ac antibody (ab4729, Abcam) pre-coupled to magnetic beads for 2 hours at 4°C. Beads were extensively washed and crosslinking was reversed by the kit-provided reverse crosslinking buffer with 20 mg/mL Proteinase K. DNA was purified using </w:t>
      </w:r>
      <w:proofErr w:type="spellStart"/>
      <w:r>
        <w:rPr>
          <w:sz w:val="20"/>
          <w:szCs w:val="20"/>
        </w:rPr>
        <w:t>ChIP</w:t>
      </w:r>
      <w:proofErr w:type="spellEnd"/>
      <w:r>
        <w:rPr>
          <w:sz w:val="20"/>
          <w:szCs w:val="20"/>
        </w:rPr>
        <w:t xml:space="preserve"> DNA Clean &amp; Concentrator kit (</w:t>
      </w:r>
      <w:proofErr w:type="spellStart"/>
      <w:r>
        <w:rPr>
          <w:sz w:val="20"/>
          <w:szCs w:val="20"/>
        </w:rPr>
        <w:t>Zymo</w:t>
      </w:r>
      <w:proofErr w:type="spellEnd"/>
      <w:r>
        <w:rPr>
          <w:sz w:val="20"/>
          <w:szCs w:val="20"/>
        </w:rPr>
        <w:t xml:space="preserve"> Research). Isolated DNA was additionally sheared, end-repaired, sequencing adaptors were ligated and the library was amplified by PCR using primers with sample-specific barcodes according to our modification to the manufacturer’s recommendations</w:t>
      </w:r>
      <w:hyperlink r:id="rId7">
        <w:r>
          <w:rPr>
            <w:color w:val="000000"/>
            <w:sz w:val="20"/>
            <w:szCs w:val="20"/>
            <w:vertAlign w:val="superscript"/>
          </w:rPr>
          <w:t>2</w:t>
        </w:r>
      </w:hyperlink>
      <w:r>
        <w:rPr>
          <w:sz w:val="20"/>
          <w:szCs w:val="20"/>
        </w:rPr>
        <w:t xml:space="preserve">. After PCR, the library was purified and checked for the proper size range and for the absence of adaptor dimers on a 2% agarose gel and sequenced on </w:t>
      </w:r>
      <w:proofErr w:type="spellStart"/>
      <w:r>
        <w:rPr>
          <w:sz w:val="20"/>
          <w:szCs w:val="20"/>
        </w:rPr>
        <w:t>SOLiD</w:t>
      </w:r>
      <w:proofErr w:type="spellEnd"/>
      <w:r>
        <w:rPr>
          <w:sz w:val="20"/>
          <w:szCs w:val="20"/>
        </w:rPr>
        <w:t xml:space="preserve"> Wildfire sequencer.</w:t>
      </w:r>
    </w:p>
    <w:p w14:paraId="4DDC11E8" w14:textId="77777777" w:rsidR="00026A0F" w:rsidRDefault="00000000">
      <w:pPr>
        <w:jc w:val="both"/>
        <w:rPr>
          <w:b/>
          <w:sz w:val="20"/>
          <w:szCs w:val="20"/>
        </w:rPr>
      </w:pPr>
      <w:r>
        <w:rPr>
          <w:sz w:val="20"/>
          <w:szCs w:val="20"/>
        </w:rPr>
        <w:t xml:space="preserve"> </w:t>
      </w:r>
      <w:r>
        <w:rPr>
          <w:sz w:val="20"/>
          <w:szCs w:val="20"/>
        </w:rPr>
        <w:br/>
      </w:r>
      <w:r>
        <w:rPr>
          <w:b/>
          <w:sz w:val="20"/>
          <w:szCs w:val="20"/>
        </w:rPr>
        <w:t>Histone acetylation data processing</w:t>
      </w:r>
    </w:p>
    <w:p w14:paraId="00000006" w14:textId="0EA7D3D1" w:rsidR="00D72892" w:rsidRDefault="00000000">
      <w:pPr>
        <w:jc w:val="both"/>
        <w:rPr>
          <w:sz w:val="20"/>
          <w:szCs w:val="20"/>
        </w:rPr>
      </w:pPr>
      <w:r>
        <w:rPr>
          <w:i/>
          <w:sz w:val="20"/>
          <w:szCs w:val="20"/>
          <w:u w:val="single"/>
        </w:rPr>
        <w:lastRenderedPageBreak/>
        <w:t>ChIP-seq peak identification:</w:t>
      </w:r>
      <w:r>
        <w:rPr>
          <w:b/>
          <w:sz w:val="20"/>
          <w:szCs w:val="20"/>
        </w:rPr>
        <w:t xml:space="preserve"> </w:t>
      </w:r>
      <w:r>
        <w:rPr>
          <w:sz w:val="20"/>
          <w:szCs w:val="20"/>
        </w:rPr>
        <w:t>Sequencing reads were mapped against the reference genome (hg19 assembly, GRCh37) using the BWA package (-c, –l 25, -k 2, -n 10)</w:t>
      </w:r>
      <w:hyperlink r:id="rId8">
        <w:r>
          <w:rPr>
            <w:color w:val="000000"/>
            <w:sz w:val="20"/>
            <w:szCs w:val="20"/>
            <w:vertAlign w:val="superscript"/>
          </w:rPr>
          <w:t>3</w:t>
        </w:r>
      </w:hyperlink>
      <w:r>
        <w:rPr>
          <w:sz w:val="20"/>
          <w:szCs w:val="20"/>
        </w:rPr>
        <w:t xml:space="preserve">. Multiple reads mapping to the same location and strand have been collapsed to single reads and only uniquely placed reads were used for peak/region calling. Regions were called using </w:t>
      </w:r>
      <w:proofErr w:type="spellStart"/>
      <w:r>
        <w:rPr>
          <w:sz w:val="20"/>
          <w:szCs w:val="20"/>
        </w:rPr>
        <w:t>Cisgenome</w:t>
      </w:r>
      <w:proofErr w:type="spellEnd"/>
      <w:r>
        <w:rPr>
          <w:sz w:val="20"/>
          <w:szCs w:val="20"/>
        </w:rPr>
        <w:t xml:space="preserve"> 2.0 ( –e 150 -</w:t>
      </w:r>
      <w:proofErr w:type="spellStart"/>
      <w:r>
        <w:rPr>
          <w:sz w:val="20"/>
          <w:szCs w:val="20"/>
        </w:rPr>
        <w:t>maxgap</w:t>
      </w:r>
      <w:proofErr w:type="spellEnd"/>
      <w:r>
        <w:rPr>
          <w:sz w:val="20"/>
          <w:szCs w:val="20"/>
        </w:rPr>
        <w:t xml:space="preserve"> 200 –</w:t>
      </w:r>
      <w:proofErr w:type="spellStart"/>
      <w:r>
        <w:rPr>
          <w:sz w:val="20"/>
          <w:szCs w:val="20"/>
        </w:rPr>
        <w:t>minlen</w:t>
      </w:r>
      <w:proofErr w:type="spellEnd"/>
      <w:r>
        <w:rPr>
          <w:sz w:val="20"/>
          <w:szCs w:val="20"/>
        </w:rPr>
        <w:t xml:space="preserve"> 200)</w:t>
      </w:r>
      <w:hyperlink r:id="rId9">
        <w:r>
          <w:rPr>
            <w:color w:val="000000"/>
            <w:sz w:val="20"/>
            <w:szCs w:val="20"/>
            <w:vertAlign w:val="superscript"/>
          </w:rPr>
          <w:t>4</w:t>
        </w:r>
      </w:hyperlink>
      <w:r>
        <w:rPr>
          <w:sz w:val="20"/>
          <w:szCs w:val="20"/>
        </w:rPr>
        <w:t xml:space="preserve">.  Next, to obtain a common reference, region coordinates from all PLN-R14del and control samples were stretched to at least 2000 base pairs and collapsed into a single common list. Overlapping regions were merged based on their outmost coordinates. Only the autosomal regions supported by at least 2 independent datasets were further </w:t>
      </w:r>
      <w:proofErr w:type="spellStart"/>
      <w:r>
        <w:rPr>
          <w:sz w:val="20"/>
          <w:szCs w:val="20"/>
        </w:rPr>
        <w:t>analysed</w:t>
      </w:r>
      <w:proofErr w:type="spellEnd"/>
      <w:r>
        <w:rPr>
          <w:sz w:val="20"/>
          <w:szCs w:val="20"/>
        </w:rPr>
        <w:t xml:space="preserve">. Sequencing reads from each ChIP-seq library were overlapped with the common region list, to set the H3K27ac occupancy for every region-sample pair. Obtained regions were further </w:t>
      </w:r>
      <w:proofErr w:type="spellStart"/>
      <w:r>
        <w:rPr>
          <w:sz w:val="20"/>
          <w:szCs w:val="20"/>
        </w:rPr>
        <w:t>analysed</w:t>
      </w:r>
      <w:proofErr w:type="spellEnd"/>
      <w:r>
        <w:rPr>
          <w:sz w:val="20"/>
          <w:szCs w:val="20"/>
        </w:rPr>
        <w:t xml:space="preserve"> using 4 analyses.</w:t>
      </w:r>
    </w:p>
    <w:p w14:paraId="00000007" w14:textId="77777777" w:rsidR="00D72892" w:rsidRDefault="00D72892">
      <w:pPr>
        <w:jc w:val="both"/>
        <w:rPr>
          <w:sz w:val="20"/>
          <w:szCs w:val="20"/>
        </w:rPr>
      </w:pPr>
    </w:p>
    <w:p w14:paraId="00000008" w14:textId="77777777" w:rsidR="00D72892" w:rsidRDefault="00000000">
      <w:pPr>
        <w:jc w:val="both"/>
        <w:rPr>
          <w:sz w:val="20"/>
          <w:szCs w:val="20"/>
        </w:rPr>
      </w:pPr>
      <w:r>
        <w:rPr>
          <w:i/>
          <w:sz w:val="20"/>
          <w:szCs w:val="20"/>
          <w:u w:val="single"/>
        </w:rPr>
        <w:t>Detection of differentially acetylated regions:</w:t>
      </w:r>
      <w:r>
        <w:rPr>
          <w:sz w:val="20"/>
          <w:szCs w:val="20"/>
        </w:rPr>
        <w:t xml:space="preserve"> Regions with differential H3K27ac occupancy between PLN-R14del and control hearts were identified using DESeq2 standard settings (p&lt;0.05 as calculated by Wald test)</w:t>
      </w:r>
      <w:hyperlink r:id="rId10">
        <w:r>
          <w:rPr>
            <w:color w:val="000000"/>
            <w:sz w:val="20"/>
            <w:szCs w:val="20"/>
            <w:vertAlign w:val="superscript"/>
          </w:rPr>
          <w:t>5</w:t>
        </w:r>
      </w:hyperlink>
      <w:r>
        <w:rPr>
          <w:sz w:val="20"/>
          <w:szCs w:val="20"/>
        </w:rPr>
        <w:t xml:space="preserve"> and are referred to as ‘differentially acetylated regions’ (</w:t>
      </w:r>
      <w:r>
        <w:rPr>
          <w:b/>
          <w:sz w:val="20"/>
          <w:szCs w:val="20"/>
        </w:rPr>
        <w:t>Table S2A</w:t>
      </w:r>
      <w:r>
        <w:rPr>
          <w:sz w:val="20"/>
          <w:szCs w:val="20"/>
        </w:rPr>
        <w:t xml:space="preserve">). Supervised hierarchical clustering was performed with quantile </w:t>
      </w:r>
      <w:proofErr w:type="spellStart"/>
      <w:r>
        <w:rPr>
          <w:sz w:val="20"/>
          <w:szCs w:val="20"/>
        </w:rPr>
        <w:t>normalised</w:t>
      </w:r>
      <w:proofErr w:type="spellEnd"/>
      <w:r>
        <w:rPr>
          <w:sz w:val="20"/>
          <w:szCs w:val="20"/>
        </w:rPr>
        <w:t xml:space="preserve"> (</w:t>
      </w:r>
      <w:proofErr w:type="spellStart"/>
      <w:r>
        <w:rPr>
          <w:sz w:val="20"/>
          <w:szCs w:val="20"/>
        </w:rPr>
        <w:t>limma</w:t>
      </w:r>
      <w:proofErr w:type="spellEnd"/>
      <w:r>
        <w:rPr>
          <w:sz w:val="20"/>
          <w:szCs w:val="20"/>
        </w:rPr>
        <w:t>::</w:t>
      </w:r>
      <w:proofErr w:type="spellStart"/>
      <w:r>
        <w:rPr>
          <w:sz w:val="20"/>
          <w:szCs w:val="20"/>
        </w:rPr>
        <w:t>normalizeQiantiles</w:t>
      </w:r>
      <w:proofErr w:type="spellEnd"/>
      <w:r>
        <w:rPr>
          <w:sz w:val="20"/>
          <w:szCs w:val="20"/>
        </w:rPr>
        <w:t xml:space="preserve">() function in R), log2 transformed and median </w:t>
      </w:r>
      <w:proofErr w:type="spellStart"/>
      <w:r>
        <w:rPr>
          <w:sz w:val="20"/>
          <w:szCs w:val="20"/>
        </w:rPr>
        <w:t>centred</w:t>
      </w:r>
      <w:proofErr w:type="spellEnd"/>
      <w:r>
        <w:rPr>
          <w:sz w:val="20"/>
          <w:szCs w:val="20"/>
        </w:rPr>
        <w:t xml:space="preserve"> read counts per common region. To avoid the log2 transformation of zero values, one read was added to each region.</w:t>
      </w:r>
    </w:p>
    <w:p w14:paraId="00000009" w14:textId="77777777" w:rsidR="00D72892" w:rsidRDefault="00D72892">
      <w:pPr>
        <w:jc w:val="both"/>
        <w:rPr>
          <w:sz w:val="20"/>
          <w:szCs w:val="20"/>
        </w:rPr>
      </w:pPr>
    </w:p>
    <w:p w14:paraId="0000000A" w14:textId="77777777" w:rsidR="00D72892" w:rsidRDefault="00000000">
      <w:pPr>
        <w:jc w:val="both"/>
        <w:rPr>
          <w:sz w:val="20"/>
          <w:szCs w:val="20"/>
        </w:rPr>
      </w:pPr>
      <w:r>
        <w:rPr>
          <w:i/>
          <w:sz w:val="20"/>
          <w:szCs w:val="20"/>
          <w:u w:val="single"/>
        </w:rPr>
        <w:t xml:space="preserve">Gene annotated to differentially acetylated regions and pathway analysis: </w:t>
      </w:r>
      <w:r>
        <w:rPr>
          <w:sz w:val="20"/>
          <w:szCs w:val="20"/>
        </w:rPr>
        <w:t xml:space="preserve">Region to gene annotation was performed in silico using a conservative window of +/-5kb from the transcription start site, </w:t>
      </w:r>
      <w:r>
        <w:rPr>
          <w:b/>
          <w:sz w:val="20"/>
          <w:szCs w:val="20"/>
        </w:rPr>
        <w:t xml:space="preserve">Table S2B </w:t>
      </w:r>
      <w:r>
        <w:rPr>
          <w:sz w:val="20"/>
          <w:szCs w:val="20"/>
        </w:rPr>
        <w:t xml:space="preserve">and </w:t>
      </w:r>
      <w:r>
        <w:rPr>
          <w:b/>
          <w:sz w:val="20"/>
          <w:szCs w:val="20"/>
        </w:rPr>
        <w:t>2C</w:t>
      </w:r>
      <w:r>
        <w:rPr>
          <w:sz w:val="20"/>
          <w:szCs w:val="20"/>
        </w:rPr>
        <w:t xml:space="preserve">). ToppFun and STRING were used for gene list enrichment analysis and candidate gene </w:t>
      </w:r>
      <w:proofErr w:type="spellStart"/>
      <w:r>
        <w:rPr>
          <w:sz w:val="20"/>
          <w:szCs w:val="20"/>
        </w:rPr>
        <w:t>prioritisation</w:t>
      </w:r>
      <w:proofErr w:type="spellEnd"/>
      <w:r>
        <w:rPr>
          <w:sz w:val="20"/>
          <w:szCs w:val="20"/>
        </w:rPr>
        <w:t xml:space="preserve"> based on functional annotations and protein interaction networks</w:t>
      </w:r>
      <w:hyperlink r:id="rId11">
        <w:r>
          <w:rPr>
            <w:color w:val="000000"/>
            <w:sz w:val="20"/>
            <w:szCs w:val="20"/>
            <w:vertAlign w:val="superscript"/>
          </w:rPr>
          <w:t>6</w:t>
        </w:r>
      </w:hyperlink>
      <w:r>
        <w:rPr>
          <w:sz w:val="20"/>
          <w:szCs w:val="20"/>
          <w:vertAlign w:val="superscript"/>
        </w:rPr>
        <w:t>,</w:t>
      </w:r>
      <w:hyperlink r:id="rId12">
        <w:r>
          <w:rPr>
            <w:color w:val="000000"/>
            <w:sz w:val="20"/>
            <w:szCs w:val="20"/>
            <w:vertAlign w:val="superscript"/>
          </w:rPr>
          <w:t>7</w:t>
        </w:r>
      </w:hyperlink>
      <w:r>
        <w:rPr>
          <w:sz w:val="20"/>
          <w:szCs w:val="20"/>
        </w:rPr>
        <w:t>. For ToppFun, the list of hyper- and hypoacetylated genes was tested using probability density function p-value calculation method, FDR B&amp;H correction, p-value cut-off of 0.05, and gene limit of 1-2,000 genes per term (</w:t>
      </w:r>
      <w:r>
        <w:rPr>
          <w:b/>
          <w:sz w:val="20"/>
          <w:szCs w:val="20"/>
        </w:rPr>
        <w:t>Table S2D</w:t>
      </w:r>
      <w:r>
        <w:rPr>
          <w:sz w:val="20"/>
          <w:szCs w:val="20"/>
        </w:rPr>
        <w:t xml:space="preserve">). Since the pre-build gene/protein networks integrated into ToppFun were not created using the same criteria and the annotated number of genes varies significantly, we also reported genes belonging to known disease pathways even below the p-value threshold (where indicated). For protein network interaction </w:t>
      </w:r>
      <w:proofErr w:type="spellStart"/>
      <w:r>
        <w:rPr>
          <w:sz w:val="20"/>
          <w:szCs w:val="20"/>
        </w:rPr>
        <w:t>visualisation</w:t>
      </w:r>
      <w:proofErr w:type="spellEnd"/>
      <w:r>
        <w:rPr>
          <w:sz w:val="20"/>
          <w:szCs w:val="20"/>
        </w:rPr>
        <w:t xml:space="preserve"> STRING v10.0 was used with a minimum required interaction score at the highest confidence setting for all differentially acetylated peaks.</w:t>
      </w:r>
    </w:p>
    <w:p w14:paraId="0000000B" w14:textId="77777777" w:rsidR="00D72892" w:rsidRDefault="00D72892">
      <w:pPr>
        <w:jc w:val="both"/>
        <w:rPr>
          <w:sz w:val="20"/>
          <w:szCs w:val="20"/>
        </w:rPr>
      </w:pPr>
    </w:p>
    <w:p w14:paraId="0000000C" w14:textId="77777777" w:rsidR="00D72892" w:rsidRDefault="00000000">
      <w:pPr>
        <w:jc w:val="both"/>
        <w:rPr>
          <w:sz w:val="20"/>
          <w:szCs w:val="20"/>
        </w:rPr>
      </w:pPr>
      <w:r>
        <w:rPr>
          <w:i/>
          <w:sz w:val="20"/>
          <w:szCs w:val="20"/>
          <w:u w:val="single"/>
        </w:rPr>
        <w:t>Enrichment of TFBMs in differentially acetylated regions:</w:t>
      </w:r>
      <w:r>
        <w:rPr>
          <w:sz w:val="20"/>
          <w:szCs w:val="20"/>
        </w:rPr>
        <w:t xml:space="preserve"> A total of 3,396 cardiac </w:t>
      </w:r>
      <w:proofErr w:type="spellStart"/>
      <w:r>
        <w:rPr>
          <w:sz w:val="20"/>
          <w:szCs w:val="20"/>
        </w:rPr>
        <w:t>DNAse</w:t>
      </w:r>
      <w:proofErr w:type="spellEnd"/>
      <w:r>
        <w:rPr>
          <w:sz w:val="20"/>
          <w:szCs w:val="20"/>
        </w:rPr>
        <w:t xml:space="preserve"> hypersensitivity sites (DHS) were obtained from the ENCODE database (</w:t>
      </w:r>
      <w:proofErr w:type="spellStart"/>
      <w:r>
        <w:rPr>
          <w:sz w:val="20"/>
          <w:szCs w:val="20"/>
        </w:rPr>
        <w:t>Heart_OC</w:t>
      </w:r>
      <w:proofErr w:type="spellEnd"/>
      <w:r>
        <w:rPr>
          <w:sz w:val="20"/>
          <w:szCs w:val="20"/>
        </w:rPr>
        <w:t>, Primary frozen heart tissue from NICHD donor ID:1104, Male, Caucasian, 35 years old)</w:t>
      </w:r>
      <w:hyperlink r:id="rId13">
        <w:r>
          <w:rPr>
            <w:color w:val="000000"/>
            <w:sz w:val="20"/>
            <w:szCs w:val="20"/>
            <w:vertAlign w:val="superscript"/>
          </w:rPr>
          <w:t>8</w:t>
        </w:r>
      </w:hyperlink>
      <w:r>
        <w:rPr>
          <w:sz w:val="20"/>
          <w:szCs w:val="20"/>
        </w:rPr>
        <w:t xml:space="preserve"> overlapping with all differentially acetylated regions in the PLN-R14del vs. control group (both hypo- and hyperacetylated) were used for this analysis. The genomic sequence of DHS was repeat masked and the enrichment of TFBM was calculated against the shuffled sequences using the Analysis Motif of Enrichment (AME tool) of the MEME Suite with the following settings: motif database: human (HOCOMOCO v9), background model sequence set to 0.29182,0.20818,0.20818,0.29182, pseudo count added to a motif column: 0.25, Wilcoxon rank-sum test (quick), p&lt;0.05, </w:t>
      </w:r>
      <w:r>
        <w:rPr>
          <w:b/>
          <w:sz w:val="20"/>
          <w:szCs w:val="20"/>
        </w:rPr>
        <w:t>Table S3A</w:t>
      </w:r>
      <w:r>
        <w:rPr>
          <w:sz w:val="20"/>
          <w:szCs w:val="20"/>
        </w:rPr>
        <w:t>), number of multiple tests for Bonferroni correction: #Motifs× #PartitionsTested = 426×1 = 426</w:t>
      </w:r>
      <w:hyperlink r:id="rId14">
        <w:r>
          <w:rPr>
            <w:color w:val="000000"/>
            <w:sz w:val="20"/>
            <w:szCs w:val="20"/>
            <w:vertAlign w:val="superscript"/>
          </w:rPr>
          <w:t>9</w:t>
        </w:r>
      </w:hyperlink>
      <w:r>
        <w:rPr>
          <w:sz w:val="20"/>
          <w:szCs w:val="20"/>
        </w:rPr>
        <w:t>. The functional annotation of the enriched TFs was performed as described above (</w:t>
      </w:r>
      <w:r>
        <w:rPr>
          <w:b/>
          <w:sz w:val="20"/>
          <w:szCs w:val="20"/>
        </w:rPr>
        <w:t>Table S3B</w:t>
      </w:r>
      <w:r>
        <w:rPr>
          <w:sz w:val="20"/>
          <w:szCs w:val="20"/>
        </w:rPr>
        <w:t>). Protein network interaction was performed as explained above using the high confidence interaction score.</w:t>
      </w:r>
    </w:p>
    <w:p w14:paraId="0000000D" w14:textId="77777777" w:rsidR="00D72892" w:rsidRDefault="00D72892">
      <w:pPr>
        <w:jc w:val="both"/>
        <w:rPr>
          <w:sz w:val="20"/>
          <w:szCs w:val="20"/>
        </w:rPr>
      </w:pPr>
    </w:p>
    <w:p w14:paraId="0000000E" w14:textId="77777777" w:rsidR="00D72892" w:rsidRDefault="00000000">
      <w:pPr>
        <w:jc w:val="both"/>
        <w:rPr>
          <w:sz w:val="20"/>
          <w:szCs w:val="20"/>
        </w:rPr>
      </w:pPr>
      <w:r>
        <w:rPr>
          <w:i/>
          <w:sz w:val="20"/>
          <w:szCs w:val="20"/>
          <w:u w:val="single"/>
        </w:rPr>
        <w:t>PLN-specificity analysis of differentially acetylated regions:</w:t>
      </w:r>
      <w:r>
        <w:rPr>
          <w:sz w:val="20"/>
          <w:szCs w:val="20"/>
        </w:rPr>
        <w:t xml:space="preserve"> Sequencing reads from each ChIP-seq sample (PLN-R14del (n=6), control (n=4), ischemic (n=4), and </w:t>
      </w:r>
      <w:proofErr w:type="spellStart"/>
      <w:r>
        <w:rPr>
          <w:sz w:val="20"/>
          <w:szCs w:val="20"/>
        </w:rPr>
        <w:t>sarcomeric</w:t>
      </w:r>
      <w:proofErr w:type="spellEnd"/>
      <w:r>
        <w:rPr>
          <w:sz w:val="20"/>
          <w:szCs w:val="20"/>
        </w:rPr>
        <w:t xml:space="preserve"> (n=6) groups) were compared to the common differentially acetylated region list to set the H3K27ac occupancy for every region-sample pair. Raw read counts were quantile </w:t>
      </w:r>
      <w:proofErr w:type="spellStart"/>
      <w:r>
        <w:rPr>
          <w:sz w:val="20"/>
          <w:szCs w:val="20"/>
        </w:rPr>
        <w:t>normalised</w:t>
      </w:r>
      <w:proofErr w:type="spellEnd"/>
      <w:r>
        <w:rPr>
          <w:sz w:val="20"/>
          <w:szCs w:val="20"/>
        </w:rPr>
        <w:t xml:space="preserve"> (</w:t>
      </w:r>
      <w:proofErr w:type="spellStart"/>
      <w:r>
        <w:rPr>
          <w:sz w:val="20"/>
          <w:szCs w:val="20"/>
        </w:rPr>
        <w:t>limma</w:t>
      </w:r>
      <w:proofErr w:type="spellEnd"/>
      <w:r>
        <w:rPr>
          <w:sz w:val="20"/>
          <w:szCs w:val="20"/>
        </w:rPr>
        <w:t>::</w:t>
      </w:r>
      <w:proofErr w:type="spellStart"/>
      <w:r>
        <w:rPr>
          <w:sz w:val="20"/>
          <w:szCs w:val="20"/>
        </w:rPr>
        <w:t>normalizeQiantiles</w:t>
      </w:r>
      <w:proofErr w:type="spellEnd"/>
      <w:r>
        <w:rPr>
          <w:sz w:val="20"/>
          <w:szCs w:val="20"/>
        </w:rPr>
        <w:t xml:space="preserve">() function in R), log2 transformed and median </w:t>
      </w:r>
      <w:proofErr w:type="spellStart"/>
      <w:r>
        <w:rPr>
          <w:sz w:val="20"/>
          <w:szCs w:val="20"/>
        </w:rPr>
        <w:t>centred</w:t>
      </w:r>
      <w:proofErr w:type="spellEnd"/>
      <w:r>
        <w:rPr>
          <w:sz w:val="20"/>
          <w:szCs w:val="20"/>
        </w:rPr>
        <w:t xml:space="preserve"> (to avoid log2 transformation of zero values, one read was added to each region). The median value from each sample group was used to construct an n x k table where n = 4 (one value per </w:t>
      </w:r>
      <w:r>
        <w:rPr>
          <w:sz w:val="20"/>
          <w:szCs w:val="20"/>
        </w:rPr>
        <w:lastRenderedPageBreak/>
        <w:t>each sample type) and k represent the number of differentially acetylated regions. The k-means (</w:t>
      </w:r>
      <w:proofErr w:type="spellStart"/>
      <w:r>
        <w:rPr>
          <w:sz w:val="20"/>
          <w:szCs w:val="20"/>
        </w:rPr>
        <w:t>nstart</w:t>
      </w:r>
      <w:proofErr w:type="spellEnd"/>
      <w:r>
        <w:rPr>
          <w:sz w:val="20"/>
          <w:szCs w:val="20"/>
        </w:rPr>
        <w:t xml:space="preserve"> = 200) function in R was used to partition the regions into 12 different clusters. To enable the reproducibility of identified clusters, the </w:t>
      </w:r>
      <w:proofErr w:type="spellStart"/>
      <w:r>
        <w:rPr>
          <w:sz w:val="20"/>
          <w:szCs w:val="20"/>
        </w:rPr>
        <w:t>set.seed</w:t>
      </w:r>
      <w:proofErr w:type="spellEnd"/>
      <w:r>
        <w:rPr>
          <w:sz w:val="20"/>
          <w:szCs w:val="20"/>
        </w:rPr>
        <w:t>(10) R command was called before the clustering. Annotation of clusters with PLN-specific patterns was performed as described above (</w:t>
      </w:r>
      <w:r>
        <w:rPr>
          <w:b/>
          <w:sz w:val="20"/>
          <w:szCs w:val="20"/>
        </w:rPr>
        <w:t>Table S4</w:t>
      </w:r>
      <w:r>
        <w:rPr>
          <w:sz w:val="20"/>
          <w:szCs w:val="20"/>
        </w:rPr>
        <w:t>).</w:t>
      </w:r>
    </w:p>
    <w:p w14:paraId="0000000F" w14:textId="77777777" w:rsidR="00D72892" w:rsidRDefault="00D72892">
      <w:pPr>
        <w:jc w:val="both"/>
        <w:rPr>
          <w:sz w:val="20"/>
          <w:szCs w:val="20"/>
        </w:rPr>
      </w:pPr>
    </w:p>
    <w:p w14:paraId="5791E688" w14:textId="77777777" w:rsidR="00026A0F" w:rsidRDefault="00000000">
      <w:pPr>
        <w:jc w:val="both"/>
        <w:rPr>
          <w:b/>
          <w:sz w:val="20"/>
          <w:szCs w:val="20"/>
        </w:rPr>
      </w:pPr>
      <w:r>
        <w:rPr>
          <w:b/>
          <w:sz w:val="20"/>
          <w:szCs w:val="20"/>
        </w:rPr>
        <w:t xml:space="preserve">RNA sequencing of human cardiac tissues and transcriptome analysis </w:t>
      </w:r>
    </w:p>
    <w:p w14:paraId="00000010" w14:textId="1345C2BB" w:rsidR="00D72892" w:rsidRDefault="00000000">
      <w:pPr>
        <w:jc w:val="both"/>
        <w:rPr>
          <w:sz w:val="20"/>
          <w:szCs w:val="20"/>
        </w:rPr>
      </w:pPr>
      <w:r>
        <w:rPr>
          <w:sz w:val="20"/>
          <w:szCs w:val="20"/>
        </w:rPr>
        <w:t>RNA was isolated using ISOLATE II RNA Mini Kit (</w:t>
      </w:r>
      <w:proofErr w:type="spellStart"/>
      <w:r>
        <w:rPr>
          <w:sz w:val="20"/>
          <w:szCs w:val="20"/>
        </w:rPr>
        <w:t>Bioline</w:t>
      </w:r>
      <w:proofErr w:type="spellEnd"/>
      <w:r>
        <w:rPr>
          <w:sz w:val="20"/>
          <w:szCs w:val="20"/>
        </w:rPr>
        <w:t>) according to the manufacturer's instructions with minor adjustments. After the selection of mRNA, libraries were prepared using the NEXTflexTM Rapid RNA-seq Kit (</w:t>
      </w:r>
      <w:proofErr w:type="spellStart"/>
      <w:r>
        <w:rPr>
          <w:sz w:val="20"/>
          <w:szCs w:val="20"/>
        </w:rPr>
        <w:t>Bioo</w:t>
      </w:r>
      <w:proofErr w:type="spellEnd"/>
      <w:r>
        <w:rPr>
          <w:sz w:val="20"/>
          <w:szCs w:val="20"/>
        </w:rPr>
        <w:t xml:space="preserve"> Scientific). Libraries were sequenced on the Nextseq500 platform (Illumina), producing single-end reads of 75bp. Reads were aligned to the human reference genome GRCh37 using STAR v2.4.2a</w:t>
      </w:r>
      <w:hyperlink r:id="rId15">
        <w:r>
          <w:rPr>
            <w:color w:val="000000"/>
            <w:sz w:val="20"/>
            <w:szCs w:val="20"/>
            <w:vertAlign w:val="superscript"/>
          </w:rPr>
          <w:t>10</w:t>
        </w:r>
      </w:hyperlink>
      <w:r>
        <w:rPr>
          <w:sz w:val="20"/>
          <w:szCs w:val="20"/>
        </w:rPr>
        <w:t xml:space="preserve">. Picard’s </w:t>
      </w:r>
      <w:proofErr w:type="spellStart"/>
      <w:r>
        <w:rPr>
          <w:sz w:val="20"/>
          <w:szCs w:val="20"/>
        </w:rPr>
        <w:t>AddOrReplaceReadGroups</w:t>
      </w:r>
      <w:proofErr w:type="spellEnd"/>
      <w:r>
        <w:rPr>
          <w:sz w:val="20"/>
          <w:szCs w:val="20"/>
        </w:rPr>
        <w:t xml:space="preserve"> v1.98 (http://broadinstitute.github.io/picard/ ) was used to add read groups to the BAM files, which were sorted with </w:t>
      </w:r>
      <w:proofErr w:type="spellStart"/>
      <w:r>
        <w:rPr>
          <w:sz w:val="20"/>
          <w:szCs w:val="20"/>
        </w:rPr>
        <w:t>Sambamba</w:t>
      </w:r>
      <w:proofErr w:type="spellEnd"/>
      <w:r>
        <w:rPr>
          <w:sz w:val="20"/>
          <w:szCs w:val="20"/>
        </w:rPr>
        <w:t xml:space="preserve"> v0.4.5 and transcript abundances were quantified with </w:t>
      </w:r>
      <w:proofErr w:type="spellStart"/>
      <w:r>
        <w:rPr>
          <w:sz w:val="20"/>
          <w:szCs w:val="20"/>
        </w:rPr>
        <w:t>HTSeq</w:t>
      </w:r>
      <w:proofErr w:type="spellEnd"/>
      <w:r>
        <w:rPr>
          <w:sz w:val="20"/>
          <w:szCs w:val="20"/>
        </w:rPr>
        <w:t>-count v0.6.1p1 using the union mode</w:t>
      </w:r>
      <w:hyperlink r:id="rId16">
        <w:r>
          <w:rPr>
            <w:color w:val="000000"/>
            <w:sz w:val="20"/>
            <w:szCs w:val="20"/>
            <w:vertAlign w:val="superscript"/>
          </w:rPr>
          <w:t>11</w:t>
        </w:r>
      </w:hyperlink>
      <w:r>
        <w:rPr>
          <w:sz w:val="20"/>
          <w:szCs w:val="20"/>
          <w:vertAlign w:val="superscript"/>
        </w:rPr>
        <w:t>,</w:t>
      </w:r>
      <w:hyperlink r:id="rId17">
        <w:r>
          <w:rPr>
            <w:color w:val="000000"/>
            <w:sz w:val="20"/>
            <w:szCs w:val="20"/>
            <w:vertAlign w:val="superscript"/>
          </w:rPr>
          <w:t>12</w:t>
        </w:r>
      </w:hyperlink>
      <w:r>
        <w:rPr>
          <w:sz w:val="20"/>
          <w:szCs w:val="20"/>
        </w:rPr>
        <w:t xml:space="preserve">. Subsequently, reads per kilobase per million mapped reads (RPKMs) were calculated with </w:t>
      </w:r>
      <w:proofErr w:type="spellStart"/>
      <w:r>
        <w:rPr>
          <w:sz w:val="20"/>
          <w:szCs w:val="20"/>
        </w:rPr>
        <w:t>edgeR’s</w:t>
      </w:r>
      <w:proofErr w:type="spellEnd"/>
      <w:r>
        <w:rPr>
          <w:sz w:val="20"/>
          <w:szCs w:val="20"/>
        </w:rPr>
        <w:t xml:space="preserve"> RPKM function</w:t>
      </w:r>
      <w:hyperlink r:id="rId18">
        <w:r>
          <w:rPr>
            <w:color w:val="000000"/>
            <w:sz w:val="20"/>
            <w:szCs w:val="20"/>
            <w:vertAlign w:val="superscript"/>
          </w:rPr>
          <w:t>13</w:t>
        </w:r>
      </w:hyperlink>
      <w:r>
        <w:rPr>
          <w:sz w:val="20"/>
          <w:szCs w:val="20"/>
        </w:rPr>
        <w:t>. DESeq2 was used to identify differentially expressed genes using the cutoff of p&lt;0.05 in the Galaxy environment using the default settings (</w:t>
      </w:r>
      <w:r>
        <w:rPr>
          <w:b/>
          <w:sz w:val="20"/>
          <w:szCs w:val="20"/>
        </w:rPr>
        <w:t>Table S5A</w:t>
      </w:r>
      <w:r>
        <w:rPr>
          <w:sz w:val="20"/>
          <w:szCs w:val="20"/>
        </w:rPr>
        <w:t>)</w:t>
      </w:r>
      <w:hyperlink r:id="rId19">
        <w:r>
          <w:rPr>
            <w:color w:val="000000"/>
            <w:sz w:val="20"/>
            <w:szCs w:val="20"/>
            <w:vertAlign w:val="superscript"/>
          </w:rPr>
          <w:t>14</w:t>
        </w:r>
      </w:hyperlink>
      <w:r>
        <w:rPr>
          <w:sz w:val="20"/>
          <w:szCs w:val="20"/>
        </w:rPr>
        <w:t>. Gene enrichment analysis was performed using ToppFun and STRING as explained above (</w:t>
      </w:r>
      <w:r>
        <w:rPr>
          <w:b/>
          <w:sz w:val="20"/>
          <w:szCs w:val="20"/>
        </w:rPr>
        <w:t xml:space="preserve">Table S5B </w:t>
      </w:r>
      <w:r>
        <w:rPr>
          <w:sz w:val="20"/>
          <w:szCs w:val="20"/>
        </w:rPr>
        <w:t>and</w:t>
      </w:r>
      <w:r>
        <w:rPr>
          <w:b/>
          <w:sz w:val="20"/>
          <w:szCs w:val="20"/>
        </w:rPr>
        <w:t xml:space="preserve"> 5C</w:t>
      </w:r>
      <w:r>
        <w:rPr>
          <w:sz w:val="20"/>
          <w:szCs w:val="20"/>
        </w:rPr>
        <w:t>)</w:t>
      </w:r>
      <w:hyperlink r:id="rId20">
        <w:r>
          <w:rPr>
            <w:color w:val="000000"/>
            <w:sz w:val="20"/>
            <w:szCs w:val="20"/>
            <w:vertAlign w:val="superscript"/>
          </w:rPr>
          <w:t>6</w:t>
        </w:r>
      </w:hyperlink>
      <w:r>
        <w:rPr>
          <w:sz w:val="20"/>
          <w:szCs w:val="20"/>
          <w:vertAlign w:val="superscript"/>
        </w:rPr>
        <w:t>,</w:t>
      </w:r>
      <w:hyperlink r:id="rId21">
        <w:r>
          <w:rPr>
            <w:color w:val="000000"/>
            <w:sz w:val="20"/>
            <w:szCs w:val="20"/>
            <w:vertAlign w:val="superscript"/>
          </w:rPr>
          <w:t>7</w:t>
        </w:r>
      </w:hyperlink>
      <w:r>
        <w:rPr>
          <w:sz w:val="20"/>
          <w:szCs w:val="20"/>
        </w:rPr>
        <w:t>.</w:t>
      </w:r>
    </w:p>
    <w:p w14:paraId="00000011" w14:textId="77777777" w:rsidR="00D72892" w:rsidRDefault="00D72892">
      <w:pPr>
        <w:jc w:val="both"/>
        <w:rPr>
          <w:sz w:val="20"/>
          <w:szCs w:val="20"/>
        </w:rPr>
      </w:pPr>
    </w:p>
    <w:p w14:paraId="00000012" w14:textId="77777777" w:rsidR="00D72892" w:rsidRDefault="00000000">
      <w:pPr>
        <w:jc w:val="both"/>
        <w:rPr>
          <w:b/>
          <w:sz w:val="20"/>
          <w:szCs w:val="20"/>
        </w:rPr>
      </w:pPr>
      <w:r>
        <w:rPr>
          <w:b/>
          <w:sz w:val="20"/>
          <w:szCs w:val="20"/>
        </w:rPr>
        <w:t>Characterization of cardiac tissues by immunofluorescence and electron microscopy</w:t>
      </w:r>
    </w:p>
    <w:p w14:paraId="00000013" w14:textId="77777777" w:rsidR="00D72892" w:rsidRDefault="00000000">
      <w:pPr>
        <w:jc w:val="both"/>
        <w:rPr>
          <w:sz w:val="20"/>
          <w:szCs w:val="20"/>
        </w:rPr>
      </w:pPr>
      <w:r>
        <w:rPr>
          <w:rFonts w:ascii="Arial Unicode MS" w:eastAsia="Arial Unicode MS" w:hAnsi="Arial Unicode MS" w:cs="Arial Unicode MS"/>
          <w:sz w:val="20"/>
          <w:szCs w:val="20"/>
        </w:rPr>
        <w:t>Immunofluorescence staining of Oil Red O was also performed to detect lipid droplets in frozen cardiac tissues from 4 control and 6 PLN-R14del hearts, which were included in two sequencing experiments. Electron microscopy was also performed to further investigate lipid droplets present in these cardiac tissues. Images were acquired using a Leica SP8X confocal microscope and processed using ImageJ. Processed images were compared  using the Student's t-test (#p&lt;0.1, *p &lt; 0.05; **p &lt; 0.01; ***p &lt; 0.001, 0.001 and ****P ≤.0001). Besides, DAPI, ATP2A2, TNNI3, and metabolic-related proteins (HADHA and PPARA), were examined in these cardiac tissues using immunofluorescence staining.</w:t>
      </w:r>
    </w:p>
    <w:p w14:paraId="00000014" w14:textId="77777777" w:rsidR="00D72892" w:rsidRDefault="00000000">
      <w:pPr>
        <w:jc w:val="both"/>
        <w:rPr>
          <w:sz w:val="20"/>
          <w:szCs w:val="20"/>
        </w:rPr>
      </w:pPr>
      <w:r>
        <w:rPr>
          <w:rFonts w:ascii="Arial Unicode MS" w:eastAsia="Arial Unicode MS" w:hAnsi="Arial Unicode MS" w:cs="Arial Unicode MS"/>
          <w:sz w:val="20"/>
          <w:szCs w:val="20"/>
        </w:rPr>
        <w:t xml:space="preserve">Nuclear PPARA signal was quantified by a </w:t>
      </w:r>
      <w:proofErr w:type="spellStart"/>
      <w:r>
        <w:rPr>
          <w:rFonts w:ascii="Arial Unicode MS" w:eastAsia="Arial Unicode MS" w:hAnsi="Arial Unicode MS" w:cs="Arial Unicode MS"/>
          <w:sz w:val="20"/>
          <w:szCs w:val="20"/>
        </w:rPr>
        <w:t>customised</w:t>
      </w:r>
      <w:proofErr w:type="spellEnd"/>
      <w:r>
        <w:rPr>
          <w:rFonts w:ascii="Arial Unicode MS" w:eastAsia="Arial Unicode MS" w:hAnsi="Arial Unicode MS" w:cs="Arial Unicode MS"/>
          <w:sz w:val="20"/>
          <w:szCs w:val="20"/>
        </w:rPr>
        <w:t xml:space="preserve"> pipeline using </w:t>
      </w:r>
      <w:proofErr w:type="spellStart"/>
      <w:r>
        <w:rPr>
          <w:rFonts w:ascii="Arial Unicode MS" w:eastAsia="Arial Unicode MS" w:hAnsi="Arial Unicode MS" w:cs="Arial Unicode MS"/>
          <w:sz w:val="20"/>
          <w:szCs w:val="20"/>
        </w:rPr>
        <w:t>CellProfiler</w:t>
      </w:r>
      <w:proofErr w:type="spellEnd"/>
      <w:r>
        <w:rPr>
          <w:rFonts w:ascii="Arial Unicode MS" w:eastAsia="Arial Unicode MS" w:hAnsi="Arial Unicode MS" w:cs="Arial Unicode MS"/>
          <w:sz w:val="20"/>
          <w:szCs w:val="20"/>
        </w:rPr>
        <w:t xml:space="preserve"> 4.0.6. Briefly, the images were uploaded as </w:t>
      </w:r>
      <w:proofErr w:type="spellStart"/>
      <w:r>
        <w:rPr>
          <w:rFonts w:ascii="Arial Unicode MS" w:eastAsia="Arial Unicode MS" w:hAnsi="Arial Unicode MS" w:cs="Arial Unicode MS"/>
          <w:sz w:val="20"/>
          <w:szCs w:val="20"/>
        </w:rPr>
        <w:t>hyperstack</w:t>
      </w:r>
      <w:proofErr w:type="spellEnd"/>
      <w:r>
        <w:rPr>
          <w:rFonts w:ascii="Arial Unicode MS" w:eastAsia="Arial Unicode MS" w:hAnsi="Arial Unicode MS" w:cs="Arial Unicode MS"/>
          <w:sz w:val="20"/>
          <w:szCs w:val="20"/>
        </w:rPr>
        <w:t xml:space="preserve"> images including the channels stained for DAPI, PPARA, and TNNI3. The first module is the </w:t>
      </w:r>
      <w:proofErr w:type="spellStart"/>
      <w:r>
        <w:rPr>
          <w:rFonts w:ascii="Arial Unicode MS" w:eastAsia="Arial Unicode MS" w:hAnsi="Arial Unicode MS" w:cs="Arial Unicode MS"/>
          <w:sz w:val="20"/>
          <w:szCs w:val="20"/>
        </w:rPr>
        <w:t>ColortoGray</w:t>
      </w:r>
      <w:proofErr w:type="spellEnd"/>
      <w:r>
        <w:rPr>
          <w:rFonts w:ascii="Arial Unicode MS" w:eastAsia="Arial Unicode MS" w:hAnsi="Arial Unicode MS" w:cs="Arial Unicode MS"/>
          <w:sz w:val="20"/>
          <w:szCs w:val="20"/>
        </w:rPr>
        <w:t xml:space="preserve"> module which splits the images into 3 grayscale images from each channel. Next, the nuclei were identified using the </w:t>
      </w:r>
      <w:proofErr w:type="spellStart"/>
      <w:r>
        <w:rPr>
          <w:rFonts w:ascii="Arial Unicode MS" w:eastAsia="Arial Unicode MS" w:hAnsi="Arial Unicode MS" w:cs="Arial Unicode MS"/>
          <w:sz w:val="20"/>
          <w:szCs w:val="20"/>
        </w:rPr>
        <w:t>IdentifyPrimaryObjects</w:t>
      </w:r>
      <w:proofErr w:type="spellEnd"/>
      <w:r>
        <w:rPr>
          <w:rFonts w:ascii="Arial Unicode MS" w:eastAsia="Arial Unicode MS" w:hAnsi="Arial Unicode MS" w:cs="Arial Unicode MS"/>
          <w:sz w:val="20"/>
          <w:szCs w:val="20"/>
        </w:rPr>
        <w:t xml:space="preserve"> module. All objects between 10 and 240 pixels in the blue channel were identified based on specific shape and intensity parameters. The boundaries of the cardiomyocytes were determined using the </w:t>
      </w:r>
      <w:proofErr w:type="spellStart"/>
      <w:r>
        <w:rPr>
          <w:rFonts w:ascii="Arial Unicode MS" w:eastAsia="Arial Unicode MS" w:hAnsi="Arial Unicode MS" w:cs="Arial Unicode MS"/>
          <w:sz w:val="20"/>
          <w:szCs w:val="20"/>
        </w:rPr>
        <w:t>IdentifyPrimaryObjects</w:t>
      </w:r>
      <w:proofErr w:type="spellEnd"/>
      <w:r>
        <w:rPr>
          <w:rFonts w:ascii="Arial Unicode MS" w:eastAsia="Arial Unicode MS" w:hAnsi="Arial Unicode MS" w:cs="Arial Unicode MS"/>
          <w:sz w:val="20"/>
          <w:szCs w:val="20"/>
        </w:rPr>
        <w:t xml:space="preserve"> module which identified all pixels that were stained with TNNI3. Cardiomyocyte nuclei were determined using the </w:t>
      </w:r>
      <w:proofErr w:type="spellStart"/>
      <w:r>
        <w:rPr>
          <w:rFonts w:ascii="Arial Unicode MS" w:eastAsia="Arial Unicode MS" w:hAnsi="Arial Unicode MS" w:cs="Arial Unicode MS"/>
          <w:sz w:val="20"/>
          <w:szCs w:val="20"/>
        </w:rPr>
        <w:t>MaskObject</w:t>
      </w:r>
      <w:proofErr w:type="spellEnd"/>
      <w:r>
        <w:rPr>
          <w:rFonts w:ascii="Arial Unicode MS" w:eastAsia="Arial Unicode MS" w:hAnsi="Arial Unicode MS" w:cs="Arial Unicode MS"/>
          <w:sz w:val="20"/>
          <w:szCs w:val="20"/>
        </w:rPr>
        <w:t xml:space="preserve"> module, in which previously identified nuclei overlapped with the identified cardiomyocytes. And those that were not overlapping were recognized as non-myocyte nuclei. Quality control was performed using the </w:t>
      </w:r>
      <w:proofErr w:type="spellStart"/>
      <w:r>
        <w:rPr>
          <w:rFonts w:ascii="Arial Unicode MS" w:eastAsia="Arial Unicode MS" w:hAnsi="Arial Unicode MS" w:cs="Arial Unicode MS"/>
          <w:sz w:val="20"/>
          <w:szCs w:val="20"/>
        </w:rPr>
        <w:t>EditObjectsManually</w:t>
      </w:r>
      <w:proofErr w:type="spellEnd"/>
      <w:r>
        <w:rPr>
          <w:rFonts w:ascii="Arial Unicode MS" w:eastAsia="Arial Unicode MS" w:hAnsi="Arial Unicode MS" w:cs="Arial Unicode MS"/>
          <w:sz w:val="20"/>
          <w:szCs w:val="20"/>
        </w:rPr>
        <w:t xml:space="preserve"> module to accurately bin cardiomyocyte and non-myocyte nuclei. To identify the nuclear PPARA signal of the cardiomyocyte nuclei, a mask was first made on the PPARA channel using the </w:t>
      </w:r>
      <w:proofErr w:type="spellStart"/>
      <w:r>
        <w:rPr>
          <w:rFonts w:ascii="Arial Unicode MS" w:eastAsia="Arial Unicode MS" w:hAnsi="Arial Unicode MS" w:cs="Arial Unicode MS"/>
          <w:sz w:val="20"/>
          <w:szCs w:val="20"/>
        </w:rPr>
        <w:t>MaskImage</w:t>
      </w:r>
      <w:proofErr w:type="spellEnd"/>
      <w:r>
        <w:rPr>
          <w:rFonts w:ascii="Arial Unicode MS" w:eastAsia="Arial Unicode MS" w:hAnsi="Arial Unicode MS" w:cs="Arial Unicode MS"/>
          <w:sz w:val="20"/>
          <w:szCs w:val="20"/>
        </w:rPr>
        <w:t xml:space="preserve"> module resulting in an image showing only the PPARA signal within the cardiomyocyte nuclei. The signal was then identified using the </w:t>
      </w:r>
      <w:proofErr w:type="spellStart"/>
      <w:r>
        <w:rPr>
          <w:rFonts w:ascii="Arial Unicode MS" w:eastAsia="Arial Unicode MS" w:hAnsi="Arial Unicode MS" w:cs="Arial Unicode MS"/>
          <w:sz w:val="20"/>
          <w:szCs w:val="20"/>
        </w:rPr>
        <w:t>IdentifyPrimaryObjects</w:t>
      </w:r>
      <w:proofErr w:type="spellEnd"/>
      <w:r>
        <w:rPr>
          <w:rFonts w:ascii="Arial Unicode MS" w:eastAsia="Arial Unicode MS" w:hAnsi="Arial Unicode MS" w:cs="Arial Unicode MS"/>
          <w:sz w:val="20"/>
          <w:szCs w:val="20"/>
        </w:rPr>
        <w:t xml:space="preserve"> module. The </w:t>
      </w:r>
      <w:proofErr w:type="spellStart"/>
      <w:r>
        <w:rPr>
          <w:rFonts w:ascii="Arial Unicode MS" w:eastAsia="Arial Unicode MS" w:hAnsi="Arial Unicode MS" w:cs="Arial Unicode MS"/>
          <w:sz w:val="20"/>
          <w:szCs w:val="20"/>
        </w:rPr>
        <w:t>MaskObjects</w:t>
      </w:r>
      <w:proofErr w:type="spellEnd"/>
      <w:r>
        <w:rPr>
          <w:rFonts w:ascii="Arial Unicode MS" w:eastAsia="Arial Unicode MS" w:hAnsi="Arial Unicode MS" w:cs="Arial Unicode MS"/>
          <w:sz w:val="20"/>
          <w:szCs w:val="20"/>
        </w:rPr>
        <w:t xml:space="preserve"> module was then used to assign each PPARA signal to a single parent nucleus. Intensity measurements were made for both the cardiomyocyte nuclei and the PPARA signal using the </w:t>
      </w:r>
      <w:proofErr w:type="spellStart"/>
      <w:r>
        <w:rPr>
          <w:rFonts w:ascii="Arial Unicode MS" w:eastAsia="Arial Unicode MS" w:hAnsi="Arial Unicode MS" w:cs="Arial Unicode MS"/>
          <w:sz w:val="20"/>
          <w:szCs w:val="20"/>
        </w:rPr>
        <w:t>MeasureObjectIntensity</w:t>
      </w:r>
      <w:proofErr w:type="spellEnd"/>
      <w:r>
        <w:rPr>
          <w:rFonts w:ascii="Arial Unicode MS" w:eastAsia="Arial Unicode MS" w:hAnsi="Arial Unicode MS" w:cs="Arial Unicode MS"/>
          <w:sz w:val="20"/>
          <w:szCs w:val="20"/>
        </w:rPr>
        <w:t xml:space="preserve"> module. Data for the PPARA signal per individual nuclei was then exported to a CSV file using the </w:t>
      </w:r>
      <w:proofErr w:type="spellStart"/>
      <w:r>
        <w:rPr>
          <w:rFonts w:ascii="Arial Unicode MS" w:eastAsia="Arial Unicode MS" w:hAnsi="Arial Unicode MS" w:cs="Arial Unicode MS"/>
          <w:sz w:val="20"/>
          <w:szCs w:val="20"/>
        </w:rPr>
        <w:t>ExporttoSpreadsheet</w:t>
      </w:r>
      <w:proofErr w:type="spellEnd"/>
      <w:r>
        <w:rPr>
          <w:rFonts w:ascii="Arial Unicode MS" w:eastAsia="Arial Unicode MS" w:hAnsi="Arial Unicode MS" w:cs="Arial Unicode MS"/>
          <w:sz w:val="20"/>
          <w:szCs w:val="20"/>
        </w:rPr>
        <w:t xml:space="preserve"> module. Full details of the pipeline can be seen in the attached </w:t>
      </w:r>
      <w:proofErr w:type="spellStart"/>
      <w:r>
        <w:rPr>
          <w:rFonts w:ascii="Arial Unicode MS" w:eastAsia="Arial Unicode MS" w:hAnsi="Arial Unicode MS" w:cs="Arial Unicode MS"/>
          <w:sz w:val="20"/>
          <w:szCs w:val="20"/>
        </w:rPr>
        <w:t>CellProfiler</w:t>
      </w:r>
      <w:proofErr w:type="spellEnd"/>
      <w:r>
        <w:rPr>
          <w:rFonts w:ascii="Arial Unicode MS" w:eastAsia="Arial Unicode MS" w:hAnsi="Arial Unicode MS" w:cs="Arial Unicode MS"/>
          <w:sz w:val="20"/>
          <w:szCs w:val="20"/>
        </w:rPr>
        <w:t xml:space="preserve"> file. All data was represented as Mean ± SD and two-way ANOVA was used for statistical analysis (*p &lt; 0.05; **p &lt; 0.01; ***p &lt; 0.001, 0.001 and ****P ≤.0001). The list of antibodies is shown in </w:t>
      </w:r>
      <w:r>
        <w:rPr>
          <w:b/>
          <w:sz w:val="20"/>
          <w:szCs w:val="20"/>
        </w:rPr>
        <w:t>Table S8</w:t>
      </w:r>
      <w:r>
        <w:rPr>
          <w:sz w:val="20"/>
          <w:szCs w:val="20"/>
        </w:rPr>
        <w:t>.</w:t>
      </w:r>
    </w:p>
    <w:p w14:paraId="00000015" w14:textId="77777777" w:rsidR="00D72892" w:rsidRDefault="00D72892">
      <w:pPr>
        <w:jc w:val="both"/>
        <w:rPr>
          <w:sz w:val="20"/>
          <w:szCs w:val="20"/>
        </w:rPr>
      </w:pPr>
    </w:p>
    <w:p w14:paraId="00000016" w14:textId="77777777" w:rsidR="00D72892" w:rsidRDefault="00000000">
      <w:pPr>
        <w:jc w:val="both"/>
        <w:rPr>
          <w:b/>
          <w:sz w:val="20"/>
          <w:szCs w:val="20"/>
        </w:rPr>
      </w:pPr>
      <w:r>
        <w:rPr>
          <w:b/>
          <w:sz w:val="20"/>
          <w:szCs w:val="20"/>
        </w:rPr>
        <w:t>Differentiation of hiPSC into cardiomyocytes</w:t>
      </w:r>
    </w:p>
    <w:p w14:paraId="00000017" w14:textId="77777777" w:rsidR="00D72892" w:rsidRDefault="00000000">
      <w:pPr>
        <w:jc w:val="both"/>
        <w:rPr>
          <w:sz w:val="20"/>
          <w:szCs w:val="20"/>
        </w:rPr>
      </w:pPr>
      <w:r>
        <w:rPr>
          <w:sz w:val="20"/>
          <w:szCs w:val="20"/>
        </w:rPr>
        <w:t>Reprogrammed Sendai (kit) accordingly as described before</w:t>
      </w:r>
      <w:hyperlink r:id="rId22">
        <w:r>
          <w:rPr>
            <w:color w:val="000000"/>
            <w:sz w:val="20"/>
            <w:szCs w:val="20"/>
            <w:vertAlign w:val="superscript"/>
          </w:rPr>
          <w:t>15</w:t>
        </w:r>
      </w:hyperlink>
      <w:r>
        <w:rPr>
          <w:sz w:val="20"/>
          <w:szCs w:val="20"/>
        </w:rPr>
        <w:t xml:space="preserve">. Briefly, </w:t>
      </w:r>
      <w:proofErr w:type="spellStart"/>
      <w:r>
        <w:rPr>
          <w:sz w:val="20"/>
          <w:szCs w:val="20"/>
        </w:rPr>
        <w:t>hiPSCs</w:t>
      </w:r>
      <w:proofErr w:type="spellEnd"/>
      <w:r>
        <w:rPr>
          <w:sz w:val="20"/>
          <w:szCs w:val="20"/>
        </w:rPr>
        <w:t xml:space="preserve"> (&gt;p20 &lt;p50) were grown to ~90% confluence in 6 wells format and maintained in E8 medium for at least three passages before starting </w:t>
      </w:r>
      <w:r>
        <w:rPr>
          <w:sz w:val="20"/>
          <w:szCs w:val="20"/>
        </w:rPr>
        <w:lastRenderedPageBreak/>
        <w:t xml:space="preserve">cardiac lineage differentiation. Upon differentiation, the medium was changed to medium without insulin (INS- medium), as insulin inhibits cardiac mesoderm formation. On day zero (day 0), 3 ml/well INS- medium was supplemented with 6-8 </w:t>
      </w:r>
      <w:proofErr w:type="spellStart"/>
      <w:r>
        <w:rPr>
          <w:sz w:val="20"/>
          <w:szCs w:val="20"/>
        </w:rPr>
        <w:t>μM</w:t>
      </w:r>
      <w:proofErr w:type="spellEnd"/>
      <w:r>
        <w:rPr>
          <w:sz w:val="20"/>
          <w:szCs w:val="20"/>
        </w:rPr>
        <w:t xml:space="preserve"> CHIR99021 (Selleck Chemicals). After one night of incubation, an additional 2 ml of the INS- medium was carefully added (day 1), and an additional 1 ml of the INS- medium was added on day 2. On day 3, the medium was replaced by a 3 ml/well INS- medium supplemented with 2 </w:t>
      </w:r>
      <w:proofErr w:type="spellStart"/>
      <w:r>
        <w:rPr>
          <w:sz w:val="20"/>
          <w:szCs w:val="20"/>
        </w:rPr>
        <w:t>μM</w:t>
      </w:r>
      <w:proofErr w:type="spellEnd"/>
      <w:r>
        <w:rPr>
          <w:sz w:val="20"/>
          <w:szCs w:val="20"/>
        </w:rPr>
        <w:t xml:space="preserve"> Wnt-C59 (</w:t>
      </w:r>
      <w:proofErr w:type="spellStart"/>
      <w:r>
        <w:rPr>
          <w:sz w:val="20"/>
          <w:szCs w:val="20"/>
        </w:rPr>
        <w:t>Tocris</w:t>
      </w:r>
      <w:proofErr w:type="spellEnd"/>
      <w:r>
        <w:rPr>
          <w:sz w:val="20"/>
          <w:szCs w:val="20"/>
        </w:rPr>
        <w:t xml:space="preserve"> Bioscience). Afterwards, the culturing medium was changed every other day and contracting cells were generally seen between day 7 and day 9. After day 9, the INS- medium was changed to 3 ml/well INS+ medium. To metabolically select and purify hiPSC-CMs, INS+ was replaced with a purification medium (without D-glucose) for 2 days. Purified hiPSC-CMs were continuously cultured in INS+ for 2 days to recover. On day 15 hiPSC-CMs were detached by 10 mins incubation of 10X </w:t>
      </w:r>
      <w:proofErr w:type="spellStart"/>
      <w:r>
        <w:rPr>
          <w:sz w:val="20"/>
          <w:szCs w:val="20"/>
        </w:rPr>
        <w:t>TrypLE</w:t>
      </w:r>
      <w:proofErr w:type="spellEnd"/>
      <w:r>
        <w:rPr>
          <w:sz w:val="20"/>
          <w:szCs w:val="20"/>
        </w:rPr>
        <w:t xml:space="preserve"> select 10X (</w:t>
      </w:r>
      <w:proofErr w:type="spellStart"/>
      <w:r>
        <w:rPr>
          <w:sz w:val="20"/>
          <w:szCs w:val="20"/>
        </w:rPr>
        <w:t>Thermo</w:t>
      </w:r>
      <w:proofErr w:type="spellEnd"/>
      <w:r>
        <w:rPr>
          <w:sz w:val="20"/>
          <w:szCs w:val="20"/>
        </w:rPr>
        <w:t xml:space="preserve"> Fisher) at 37°C. Detached cells in </w:t>
      </w:r>
      <w:proofErr w:type="spellStart"/>
      <w:r>
        <w:rPr>
          <w:sz w:val="20"/>
          <w:szCs w:val="20"/>
        </w:rPr>
        <w:t>TrypLE</w:t>
      </w:r>
      <w:proofErr w:type="spellEnd"/>
      <w:r>
        <w:rPr>
          <w:sz w:val="20"/>
          <w:szCs w:val="20"/>
        </w:rPr>
        <w:t xml:space="preserve"> solution were flushed using INS+ medium and cell pellets were obtained by centrifuging at 300g for 3 minutes. After aspiration, hiPSC-CMs were resuspended in INS+ medium supplemented with 5 </w:t>
      </w:r>
      <w:proofErr w:type="spellStart"/>
      <w:r>
        <w:rPr>
          <w:sz w:val="20"/>
          <w:szCs w:val="20"/>
        </w:rPr>
        <w:t>uM</w:t>
      </w:r>
      <w:proofErr w:type="spellEnd"/>
      <w:r>
        <w:rPr>
          <w:sz w:val="20"/>
          <w:szCs w:val="20"/>
        </w:rPr>
        <w:t xml:space="preserve"> ROCK inhibitor and 10% KO-serum (</w:t>
      </w:r>
      <w:proofErr w:type="spellStart"/>
      <w:r>
        <w:rPr>
          <w:sz w:val="20"/>
          <w:szCs w:val="20"/>
        </w:rPr>
        <w:t>Thermo</w:t>
      </w:r>
      <w:proofErr w:type="spellEnd"/>
      <w:r>
        <w:rPr>
          <w:sz w:val="20"/>
          <w:szCs w:val="20"/>
        </w:rPr>
        <w:t xml:space="preserve"> Fisher) and filtered through a 100 µm pore filter (Corning). Approximately three million hiPSC-CMs were re-plated into Matrigel-coated wells in a 6-well plate and further cultured for 2 days in INS+ medium for recovery. To ensure the purity of hiPSC-CMs, they were cultured in a purification medium for 2 days before all cell-based experiments in this study (e.g. RNA-seq and Seahorse assays).</w:t>
      </w:r>
    </w:p>
    <w:p w14:paraId="00000018" w14:textId="77777777" w:rsidR="00D72892" w:rsidRDefault="00D72892">
      <w:pPr>
        <w:jc w:val="both"/>
        <w:rPr>
          <w:sz w:val="20"/>
          <w:szCs w:val="20"/>
        </w:rPr>
      </w:pPr>
    </w:p>
    <w:p w14:paraId="00000019" w14:textId="77777777" w:rsidR="00D72892" w:rsidRDefault="00000000">
      <w:pPr>
        <w:jc w:val="both"/>
        <w:rPr>
          <w:b/>
          <w:sz w:val="20"/>
          <w:szCs w:val="20"/>
        </w:rPr>
      </w:pPr>
      <w:r>
        <w:rPr>
          <w:b/>
          <w:sz w:val="20"/>
          <w:szCs w:val="20"/>
        </w:rPr>
        <w:t xml:space="preserve">Media used for the cultivation of iPSC-CMs </w:t>
      </w:r>
    </w:p>
    <w:p w14:paraId="0000001A" w14:textId="77777777" w:rsidR="00D72892" w:rsidRDefault="00000000">
      <w:pPr>
        <w:jc w:val="both"/>
        <w:rPr>
          <w:sz w:val="20"/>
          <w:szCs w:val="20"/>
        </w:rPr>
      </w:pPr>
      <w:r>
        <w:rPr>
          <w:sz w:val="20"/>
          <w:szCs w:val="20"/>
        </w:rPr>
        <w:t>To mature hiPSC-CMs, we used the maturation medium developed in the Mercola lab</w:t>
      </w:r>
      <w:hyperlink r:id="rId23">
        <w:r>
          <w:rPr>
            <w:color w:val="000000"/>
            <w:sz w:val="20"/>
            <w:szCs w:val="20"/>
            <w:vertAlign w:val="superscript"/>
          </w:rPr>
          <w:t>16</w:t>
        </w:r>
      </w:hyperlink>
      <w:r>
        <w:rPr>
          <w:sz w:val="20"/>
          <w:szCs w:val="20"/>
        </w:rPr>
        <w:t xml:space="preserve">. After the 2nd purification as indicated above, INS+ medium was replaced by the maturation medium for a minimum of 3 weeks, which metabolically matured hiPSC-CMs. Next, to study the metabolic capacity of hiPSC-CMs, they were continuously cultured in a glucose-rich medium or lipid-rich medium for another 3 weeks before the Seahorse assays and the immunofluorescence analyses. An overview of culture media is shown in </w:t>
      </w:r>
      <w:r>
        <w:rPr>
          <w:b/>
          <w:sz w:val="20"/>
          <w:szCs w:val="20"/>
        </w:rPr>
        <w:t>Table S6.</w:t>
      </w:r>
    </w:p>
    <w:p w14:paraId="0000001B" w14:textId="77777777" w:rsidR="00D72892" w:rsidRDefault="00D72892">
      <w:pPr>
        <w:jc w:val="both"/>
        <w:rPr>
          <w:sz w:val="20"/>
          <w:szCs w:val="20"/>
        </w:rPr>
      </w:pPr>
    </w:p>
    <w:p w14:paraId="0000001C" w14:textId="77777777" w:rsidR="00D72892" w:rsidRDefault="00000000">
      <w:pPr>
        <w:jc w:val="both"/>
        <w:rPr>
          <w:b/>
          <w:sz w:val="20"/>
          <w:szCs w:val="20"/>
        </w:rPr>
      </w:pPr>
      <w:r>
        <w:rPr>
          <w:b/>
          <w:sz w:val="20"/>
          <w:szCs w:val="20"/>
        </w:rPr>
        <w:t>RNA isolation and transcriptome analysis of hiPSC-CMs using RNA-seq</w:t>
      </w:r>
    </w:p>
    <w:p w14:paraId="0000001D" w14:textId="77777777" w:rsidR="00D72892" w:rsidRDefault="00000000">
      <w:pPr>
        <w:jc w:val="both"/>
        <w:rPr>
          <w:sz w:val="20"/>
          <w:szCs w:val="20"/>
        </w:rPr>
      </w:pPr>
      <w:r>
        <w:rPr>
          <w:sz w:val="20"/>
          <w:szCs w:val="20"/>
        </w:rPr>
        <w:t xml:space="preserve">Total RNA was isolated from cells using </w:t>
      </w:r>
      <w:proofErr w:type="spellStart"/>
      <w:r>
        <w:rPr>
          <w:sz w:val="20"/>
          <w:szCs w:val="20"/>
        </w:rPr>
        <w:t>TriZol</w:t>
      </w:r>
      <w:proofErr w:type="spellEnd"/>
      <w:r>
        <w:rPr>
          <w:sz w:val="20"/>
          <w:szCs w:val="20"/>
        </w:rPr>
        <w:t xml:space="preserve"> (</w:t>
      </w:r>
      <w:proofErr w:type="spellStart"/>
      <w:r>
        <w:rPr>
          <w:sz w:val="20"/>
          <w:szCs w:val="20"/>
        </w:rPr>
        <w:t>Ambion</w:t>
      </w:r>
      <w:proofErr w:type="spellEnd"/>
      <w:r>
        <w:rPr>
          <w:sz w:val="20"/>
          <w:szCs w:val="20"/>
        </w:rPr>
        <w:t>) according to the manufacturer’s instructions. DNase treatment was carried out using the RNase-Free DNase Set (Qiagen). The quality of total RNA was first examined using Bioanalyzer 6000 Pico Kit (Agilent), and mRNA was selected. Libraries were prepared and sequenced as indicated before. Raw counts per gene per sample were imported to the Galaxy server and differentially expressed genes (</w:t>
      </w:r>
      <w:r>
        <w:rPr>
          <w:b/>
          <w:sz w:val="20"/>
          <w:szCs w:val="20"/>
        </w:rPr>
        <w:t>Table S7</w:t>
      </w:r>
      <w:r>
        <w:rPr>
          <w:sz w:val="20"/>
          <w:szCs w:val="20"/>
        </w:rPr>
        <w:t>) between PLN-R14del and control hiPSC-CMs were identified using DESeq2 as indicated above</w:t>
      </w:r>
      <w:hyperlink r:id="rId24">
        <w:r>
          <w:rPr>
            <w:color w:val="000000"/>
            <w:sz w:val="20"/>
            <w:szCs w:val="20"/>
            <w:vertAlign w:val="superscript"/>
          </w:rPr>
          <w:t>14</w:t>
        </w:r>
      </w:hyperlink>
      <w:r>
        <w:rPr>
          <w:sz w:val="20"/>
          <w:szCs w:val="20"/>
        </w:rPr>
        <w:t>.</w:t>
      </w:r>
    </w:p>
    <w:p w14:paraId="0000001E" w14:textId="77777777" w:rsidR="00D72892" w:rsidRDefault="00D72892">
      <w:pPr>
        <w:jc w:val="both"/>
        <w:rPr>
          <w:sz w:val="20"/>
          <w:szCs w:val="20"/>
        </w:rPr>
      </w:pPr>
    </w:p>
    <w:p w14:paraId="0000001F" w14:textId="77777777" w:rsidR="00D72892" w:rsidRDefault="00000000">
      <w:pPr>
        <w:jc w:val="both"/>
        <w:rPr>
          <w:b/>
          <w:sz w:val="20"/>
          <w:szCs w:val="20"/>
        </w:rPr>
      </w:pPr>
      <w:r>
        <w:rPr>
          <w:b/>
          <w:sz w:val="20"/>
          <w:szCs w:val="20"/>
        </w:rPr>
        <w:t>Metabolic measurements of iPSC-CMs using Seahorse assay</w:t>
      </w:r>
    </w:p>
    <w:p w14:paraId="00000020" w14:textId="77777777" w:rsidR="00D72892" w:rsidRDefault="00000000">
      <w:pPr>
        <w:jc w:val="both"/>
        <w:rPr>
          <w:sz w:val="20"/>
          <w:szCs w:val="20"/>
        </w:rPr>
      </w:pPr>
      <w:r>
        <w:rPr>
          <w:sz w:val="20"/>
          <w:szCs w:val="20"/>
        </w:rPr>
        <w:t xml:space="preserve">Metabolic activity of purified hiPSC-CMs was determined by mitochondrial fatty acid β-oxidation (FAO) and cytosolic glycolysis using the Seahorse XFe24 Extracellular Flux Analyzer (Seahorse Bioscience). Briefly, long-term cultured hiPSC-CMs (77-159 days old) were first seeded to Matrigel-coated Seahorse XFe24 assay plates at a density of 50,000 cells/well and cultured in the standard culture medium for 2 days. Afterwards, the standard culture medium was replaced by a glucose-rich or lipid-rich medium and refreshed every other day. To measure the oxygen consumption rate (OCR, </w:t>
      </w:r>
      <w:proofErr w:type="spellStart"/>
      <w:r>
        <w:rPr>
          <w:sz w:val="20"/>
          <w:szCs w:val="20"/>
        </w:rPr>
        <w:t>pmol</w:t>
      </w:r>
      <w:proofErr w:type="spellEnd"/>
      <w:r>
        <w:rPr>
          <w:sz w:val="20"/>
          <w:szCs w:val="20"/>
        </w:rPr>
        <w:t xml:space="preserve">/min/µg protein) and extracellular acidification rate (ECAR, </w:t>
      </w:r>
      <w:proofErr w:type="spellStart"/>
      <w:r>
        <w:rPr>
          <w:sz w:val="20"/>
          <w:szCs w:val="20"/>
        </w:rPr>
        <w:t>mpH</w:t>
      </w:r>
      <w:proofErr w:type="spellEnd"/>
      <w:r>
        <w:rPr>
          <w:sz w:val="20"/>
          <w:szCs w:val="20"/>
        </w:rPr>
        <w:t xml:space="preserve">/min/µg of protein), hiPSC-CMs were first washed three times with 0.5 ml fresh Seahorse medium (Agilent Technologies/Seahorse Bioscience) supplemented with 2% B27, 1% Chemically Defined Lipid Concentrate (Gibco), 4mM L-glutamine (Gibco), and 10mM glucose (Agilent, 103577-100) and then kept in the same medium for 1 hour in a non-CO2 incubator at 37 °C. Afterwards, 100 µM etomoxir (ETO, a specific irreversible inhibitor of carnitine </w:t>
      </w:r>
      <w:proofErr w:type="spellStart"/>
      <w:r>
        <w:rPr>
          <w:sz w:val="20"/>
          <w:szCs w:val="20"/>
        </w:rPr>
        <w:t>palmitoyltransferase</w:t>
      </w:r>
      <w:proofErr w:type="spellEnd"/>
      <w:r>
        <w:rPr>
          <w:sz w:val="20"/>
          <w:szCs w:val="20"/>
        </w:rPr>
        <w:t xml:space="preserve"> 1, Agilent) was added to determine FAO dependency by measuring the oxygen consumption rate (OCR, </w:t>
      </w:r>
      <w:proofErr w:type="spellStart"/>
      <w:r>
        <w:rPr>
          <w:sz w:val="20"/>
          <w:szCs w:val="20"/>
        </w:rPr>
        <w:t>pmol</w:t>
      </w:r>
      <w:proofErr w:type="spellEnd"/>
      <w:r>
        <w:rPr>
          <w:sz w:val="20"/>
          <w:szCs w:val="20"/>
        </w:rPr>
        <w:t xml:space="preserve">/min/µg protein), followed by the addition of 50 mM 2-Deoxy-D-glucose (2DG competitive glycolytic inhibitor, Sigma-Aldrich) to determine cytosolic glycolysis by measuring extracellular acidification rate (ECAR, </w:t>
      </w:r>
      <w:proofErr w:type="spellStart"/>
      <w:r>
        <w:rPr>
          <w:sz w:val="20"/>
          <w:szCs w:val="20"/>
        </w:rPr>
        <w:t>mpH</w:t>
      </w:r>
      <w:proofErr w:type="spellEnd"/>
      <w:r>
        <w:rPr>
          <w:sz w:val="20"/>
          <w:szCs w:val="20"/>
        </w:rPr>
        <w:t xml:space="preserve">/min/µg </w:t>
      </w:r>
      <w:r>
        <w:rPr>
          <w:sz w:val="20"/>
          <w:szCs w:val="20"/>
        </w:rPr>
        <w:lastRenderedPageBreak/>
        <w:t>of protein)</w:t>
      </w:r>
      <w:hyperlink r:id="rId25">
        <w:r>
          <w:rPr>
            <w:color w:val="000000"/>
            <w:sz w:val="20"/>
            <w:szCs w:val="20"/>
            <w:vertAlign w:val="superscript"/>
          </w:rPr>
          <w:t>17</w:t>
        </w:r>
      </w:hyperlink>
      <w:r>
        <w:rPr>
          <w:sz w:val="20"/>
          <w:szCs w:val="20"/>
        </w:rPr>
        <w:t>. Three measurements were taken before and after each injection and mixing cycle. Both OCR and ECAR were compared between PLN-R14del and wild-type hiPSC-CMs. Besides, immunofluorescent staining with alpha-actinin antibody, DAPI, and Nile-red was performed to demonstrate the purity and the accumulated lipids of both PLN-R14del and wild-type hiPSC-CMs included in the Seahorse assay (</w:t>
      </w:r>
      <w:r>
        <w:rPr>
          <w:b/>
          <w:sz w:val="20"/>
          <w:szCs w:val="20"/>
        </w:rPr>
        <w:t>Fig.S9</w:t>
      </w:r>
      <w:r>
        <w:rPr>
          <w:sz w:val="20"/>
          <w:szCs w:val="20"/>
        </w:rPr>
        <w:t>).</w:t>
      </w:r>
    </w:p>
    <w:p w14:paraId="00000021" w14:textId="77777777" w:rsidR="00D72892" w:rsidRDefault="00D72892">
      <w:pPr>
        <w:jc w:val="both"/>
        <w:rPr>
          <w:sz w:val="20"/>
          <w:szCs w:val="20"/>
        </w:rPr>
      </w:pPr>
    </w:p>
    <w:p w14:paraId="00000022" w14:textId="77777777" w:rsidR="00D72892" w:rsidRDefault="00000000">
      <w:pPr>
        <w:jc w:val="both"/>
        <w:rPr>
          <w:sz w:val="20"/>
          <w:szCs w:val="20"/>
        </w:rPr>
      </w:pPr>
      <w:r>
        <w:rPr>
          <w:i/>
          <w:sz w:val="20"/>
          <w:szCs w:val="20"/>
          <w:u w:val="single"/>
        </w:rPr>
        <w:t>Seahorse mitochondrial FAO assay by measuring OCR</w:t>
      </w:r>
      <w:r>
        <w:rPr>
          <w:b/>
          <w:sz w:val="20"/>
          <w:szCs w:val="20"/>
        </w:rPr>
        <w:t xml:space="preserve">: </w:t>
      </w:r>
      <w:r>
        <w:rPr>
          <w:sz w:val="20"/>
          <w:szCs w:val="20"/>
        </w:rPr>
        <w:t xml:space="preserve">Each parameter for % OCR from baseline we assessed and calculated as described below: (1) Baseline: the last measurement of basal respiration before ETO injection (time point 3) was </w:t>
      </w:r>
      <w:proofErr w:type="spellStart"/>
      <w:r>
        <w:rPr>
          <w:sz w:val="20"/>
          <w:szCs w:val="20"/>
        </w:rPr>
        <w:t>normalised</w:t>
      </w:r>
      <w:proofErr w:type="spellEnd"/>
      <w:r>
        <w:rPr>
          <w:sz w:val="20"/>
          <w:szCs w:val="20"/>
        </w:rPr>
        <w:t xml:space="preserve"> to 100%, and the base measurement was defined by combining three measurements </w:t>
      </w:r>
      <w:proofErr w:type="spellStart"/>
      <w:r>
        <w:rPr>
          <w:sz w:val="20"/>
          <w:szCs w:val="20"/>
        </w:rPr>
        <w:t>normalised</w:t>
      </w:r>
      <w:proofErr w:type="spellEnd"/>
      <w:r>
        <w:rPr>
          <w:sz w:val="20"/>
          <w:szCs w:val="20"/>
        </w:rPr>
        <w:t xml:space="preserve"> to time point 3. (2) FAO: the three measurements after ETO injection </w:t>
      </w:r>
      <w:proofErr w:type="spellStart"/>
      <w:r>
        <w:rPr>
          <w:sz w:val="20"/>
          <w:szCs w:val="20"/>
        </w:rPr>
        <w:t>normalised</w:t>
      </w:r>
      <w:proofErr w:type="spellEnd"/>
      <w:r>
        <w:rPr>
          <w:sz w:val="20"/>
          <w:szCs w:val="20"/>
        </w:rPr>
        <w:t xml:space="preserve"> to time point 3. (3) Glycolysis: the three measurements after 2-DG injection </w:t>
      </w:r>
      <w:proofErr w:type="spellStart"/>
      <w:r>
        <w:rPr>
          <w:sz w:val="20"/>
          <w:szCs w:val="20"/>
        </w:rPr>
        <w:t>normalised</w:t>
      </w:r>
      <w:proofErr w:type="spellEnd"/>
      <w:r>
        <w:rPr>
          <w:sz w:val="20"/>
          <w:szCs w:val="20"/>
        </w:rPr>
        <w:t xml:space="preserve"> to time point 3. (4) FAO dependency: the percentage of fatty acids dependence was calculated by quantifying the change in basal OCR after ETO-inhibited FAO compared to the total mitochondrial function from other substrate oxidation. (5) Metabolic flexibility: the maximal respiration due to the </w:t>
      </w:r>
      <w:proofErr w:type="spellStart"/>
      <w:r>
        <w:rPr>
          <w:sz w:val="20"/>
          <w:szCs w:val="20"/>
        </w:rPr>
        <w:t>utilisation</w:t>
      </w:r>
      <w:proofErr w:type="spellEnd"/>
      <w:r>
        <w:rPr>
          <w:sz w:val="20"/>
          <w:szCs w:val="20"/>
        </w:rPr>
        <w:t xml:space="preserve"> of other substrates was determined by the OCR after 2-DG-inhibited glycolysis.</w:t>
      </w:r>
    </w:p>
    <w:p w14:paraId="00000023" w14:textId="77777777" w:rsidR="00D72892" w:rsidRDefault="00000000">
      <w:pPr>
        <w:jc w:val="both"/>
        <w:rPr>
          <w:sz w:val="20"/>
          <w:szCs w:val="20"/>
        </w:rPr>
      </w:pPr>
      <w:r>
        <w:rPr>
          <w:sz w:val="20"/>
          <w:szCs w:val="20"/>
        </w:rPr>
        <w:t xml:space="preserve"> </w:t>
      </w:r>
    </w:p>
    <w:p w14:paraId="00000024" w14:textId="77777777" w:rsidR="00D72892" w:rsidRDefault="00000000">
      <w:pPr>
        <w:jc w:val="both"/>
        <w:rPr>
          <w:sz w:val="20"/>
          <w:szCs w:val="20"/>
        </w:rPr>
      </w:pPr>
      <w:r>
        <w:rPr>
          <w:i/>
          <w:sz w:val="20"/>
          <w:szCs w:val="20"/>
          <w:u w:val="single"/>
        </w:rPr>
        <w:t>Seahorse glycolysis assay by measuring ECAR:</w:t>
      </w:r>
      <w:r>
        <w:rPr>
          <w:b/>
          <w:sz w:val="20"/>
          <w:szCs w:val="20"/>
        </w:rPr>
        <w:t xml:space="preserve"> </w:t>
      </w:r>
      <w:r>
        <w:rPr>
          <w:sz w:val="20"/>
          <w:szCs w:val="20"/>
        </w:rPr>
        <w:t xml:space="preserve">Each parameter for % ECAR from baseline was measured and processed as follows: (1) Baseline: the last measurement of baseline before ETO injection (time point 3) was </w:t>
      </w:r>
      <w:proofErr w:type="spellStart"/>
      <w:r>
        <w:rPr>
          <w:sz w:val="20"/>
          <w:szCs w:val="20"/>
        </w:rPr>
        <w:t>normalised</w:t>
      </w:r>
      <w:proofErr w:type="spellEnd"/>
      <w:r>
        <w:rPr>
          <w:sz w:val="20"/>
          <w:szCs w:val="20"/>
        </w:rPr>
        <w:t xml:space="preserve"> to 100%, and the base measurement was defined by combining three measurements </w:t>
      </w:r>
      <w:proofErr w:type="spellStart"/>
      <w:r>
        <w:rPr>
          <w:sz w:val="20"/>
          <w:szCs w:val="20"/>
        </w:rPr>
        <w:t>normalised</w:t>
      </w:r>
      <w:proofErr w:type="spellEnd"/>
      <w:r>
        <w:rPr>
          <w:sz w:val="20"/>
          <w:szCs w:val="20"/>
        </w:rPr>
        <w:t xml:space="preserve"> to time point 3. (2) Glycolysis: the three measurements after ETO injection </w:t>
      </w:r>
      <w:proofErr w:type="spellStart"/>
      <w:r>
        <w:rPr>
          <w:sz w:val="20"/>
          <w:szCs w:val="20"/>
        </w:rPr>
        <w:t>normalised</w:t>
      </w:r>
      <w:proofErr w:type="spellEnd"/>
      <w:r>
        <w:rPr>
          <w:sz w:val="20"/>
          <w:szCs w:val="20"/>
        </w:rPr>
        <w:t xml:space="preserve"> to time point 3. Glycolysis was quantified as the maximum percentage increase of ECAR over baseline. (3) Glycolysis inhibition: the three measurements after 2-DG injection </w:t>
      </w:r>
      <w:proofErr w:type="spellStart"/>
      <w:r>
        <w:rPr>
          <w:sz w:val="20"/>
          <w:szCs w:val="20"/>
        </w:rPr>
        <w:t>normalised</w:t>
      </w:r>
      <w:proofErr w:type="spellEnd"/>
      <w:r>
        <w:rPr>
          <w:sz w:val="20"/>
          <w:szCs w:val="20"/>
        </w:rPr>
        <w:t xml:space="preserve"> to time point 3. (4) Glycolysis dependency: the degree of glycolysis dependency was determined by the reduction of glycolysis after 2-DG injection. (5) Glycolytic reserve was determined by the average ECAR level after ETO injection subtracted from the average ECAR level after 2-DG injection.</w:t>
      </w:r>
    </w:p>
    <w:p w14:paraId="00000025" w14:textId="77777777" w:rsidR="00D72892" w:rsidRDefault="00000000">
      <w:pPr>
        <w:jc w:val="both"/>
        <w:rPr>
          <w:sz w:val="20"/>
          <w:szCs w:val="20"/>
        </w:rPr>
      </w:pPr>
      <w:r>
        <w:rPr>
          <w:sz w:val="20"/>
          <w:szCs w:val="20"/>
        </w:rPr>
        <w:t xml:space="preserve"> </w:t>
      </w:r>
    </w:p>
    <w:p w14:paraId="00000026" w14:textId="77777777" w:rsidR="00D72892" w:rsidRDefault="00000000">
      <w:pPr>
        <w:jc w:val="both"/>
        <w:rPr>
          <w:sz w:val="20"/>
          <w:szCs w:val="20"/>
        </w:rPr>
      </w:pPr>
      <w:r>
        <w:rPr>
          <w:i/>
          <w:sz w:val="20"/>
          <w:szCs w:val="20"/>
          <w:u w:val="single"/>
        </w:rPr>
        <w:t>Statistical analysis of OCR and ECAR measurements:</w:t>
      </w:r>
      <w:r>
        <w:rPr>
          <w:b/>
          <w:sz w:val="20"/>
          <w:szCs w:val="20"/>
        </w:rPr>
        <w:t xml:space="preserve"> </w:t>
      </w:r>
      <w:r>
        <w:rPr>
          <w:sz w:val="20"/>
          <w:szCs w:val="20"/>
        </w:rPr>
        <w:t xml:space="preserve">The Seahorse experiments were performed using 3 biological replicates, with each replicate consisting of 5–12 technical repeats per condition. OCR and ECAR rates were </w:t>
      </w:r>
      <w:proofErr w:type="spellStart"/>
      <w:r>
        <w:rPr>
          <w:sz w:val="20"/>
          <w:szCs w:val="20"/>
        </w:rPr>
        <w:t>normalised</w:t>
      </w:r>
      <w:proofErr w:type="spellEnd"/>
      <w:r>
        <w:rPr>
          <w:sz w:val="20"/>
          <w:szCs w:val="20"/>
        </w:rPr>
        <w:t xml:space="preserve"> to the non-glycolytic acidification rate per well and all values were further </w:t>
      </w:r>
      <w:proofErr w:type="spellStart"/>
      <w:r>
        <w:rPr>
          <w:sz w:val="20"/>
          <w:szCs w:val="20"/>
        </w:rPr>
        <w:t>normalised</w:t>
      </w:r>
      <w:proofErr w:type="spellEnd"/>
      <w:r>
        <w:rPr>
          <w:sz w:val="20"/>
          <w:szCs w:val="20"/>
        </w:rPr>
        <w:t xml:space="preserve"> to the </w:t>
      </w:r>
      <w:r>
        <w:rPr>
          <w:i/>
          <w:sz w:val="20"/>
          <w:szCs w:val="20"/>
        </w:rPr>
        <w:t>in situ</w:t>
      </w:r>
      <w:r>
        <w:rPr>
          <w:rFonts w:ascii="Arial Unicode MS" w:eastAsia="Arial Unicode MS" w:hAnsi="Arial Unicode MS" w:cs="Arial Unicode MS"/>
          <w:sz w:val="20"/>
          <w:szCs w:val="20"/>
        </w:rPr>
        <w:t xml:space="preserve"> nuclear staining cell counts (Mean ± SD, n=3 counts/well). To compare OCR and ECAR between PLN-R14del and wild-type hiPSC-CMs, an unpaired t-test or one-way ANOVA (biological replicates n=3, n=5-12 wells per replicate) was used. All data was represented as Mean ± SD and significance was displayed by *p &lt; 0.05; **p &lt; 0.01; ***p &lt; 0.001, 0.001 and ****P ≤.0001. All ANOVA tests were subsequently </w:t>
      </w:r>
      <w:proofErr w:type="spellStart"/>
      <w:r>
        <w:rPr>
          <w:rFonts w:ascii="Arial Unicode MS" w:eastAsia="Arial Unicode MS" w:hAnsi="Arial Unicode MS" w:cs="Arial Unicode MS"/>
          <w:sz w:val="20"/>
          <w:szCs w:val="20"/>
        </w:rPr>
        <w:t>analysed</w:t>
      </w:r>
      <w:proofErr w:type="spellEnd"/>
      <w:r>
        <w:rPr>
          <w:rFonts w:ascii="Arial Unicode MS" w:eastAsia="Arial Unicode MS" w:hAnsi="Arial Unicode MS" w:cs="Arial Unicode MS"/>
          <w:sz w:val="20"/>
          <w:szCs w:val="20"/>
        </w:rPr>
        <w:t xml:space="preserve"> using Tukey’s post hoc test. Statistical analysis was performed using the GraphPad Prism 8.3 software.</w:t>
      </w:r>
    </w:p>
    <w:p w14:paraId="00000027" w14:textId="77777777" w:rsidR="00D72892" w:rsidRDefault="00D72892">
      <w:pPr>
        <w:jc w:val="both"/>
        <w:rPr>
          <w:sz w:val="20"/>
          <w:szCs w:val="20"/>
        </w:rPr>
      </w:pPr>
    </w:p>
    <w:p w14:paraId="00000028" w14:textId="77777777" w:rsidR="00D72892" w:rsidRDefault="00000000">
      <w:pPr>
        <w:jc w:val="both"/>
        <w:rPr>
          <w:b/>
          <w:sz w:val="20"/>
          <w:szCs w:val="20"/>
        </w:rPr>
      </w:pPr>
      <w:r>
        <w:rPr>
          <w:b/>
          <w:sz w:val="20"/>
          <w:szCs w:val="20"/>
        </w:rPr>
        <w:t>Bezafibrate application</w:t>
      </w:r>
    </w:p>
    <w:p w14:paraId="00000029" w14:textId="77777777" w:rsidR="00D72892" w:rsidRDefault="00000000">
      <w:pPr>
        <w:jc w:val="both"/>
        <w:rPr>
          <w:sz w:val="20"/>
          <w:szCs w:val="20"/>
        </w:rPr>
      </w:pPr>
      <w:r>
        <w:rPr>
          <w:sz w:val="20"/>
          <w:szCs w:val="20"/>
        </w:rPr>
        <w:t xml:space="preserve">Bezafibrate, a PPAR-agonist, was applied to control and PLN-R14del hiPSC-CMs. Briefly, all hiPSC-CMs were cultured in the maturation medium for 120 days. Bezafibrate was dissolved in dimethyl sulfoxide (DMSO) and added to hiPSC-CMs at 100 </w:t>
      </w:r>
      <w:proofErr w:type="spellStart"/>
      <w:r>
        <w:rPr>
          <w:sz w:val="20"/>
          <w:szCs w:val="20"/>
        </w:rPr>
        <w:t>μM</w:t>
      </w:r>
      <w:proofErr w:type="spellEnd"/>
      <w:r>
        <w:rPr>
          <w:sz w:val="20"/>
          <w:szCs w:val="20"/>
        </w:rPr>
        <w:t>. After 24hr incubation, all hiPSC-CMs with and without treatment were fixed for immunofluorescence staining purposes as described below.</w:t>
      </w:r>
    </w:p>
    <w:p w14:paraId="0000002A" w14:textId="77777777" w:rsidR="00D72892" w:rsidRDefault="00D72892">
      <w:pPr>
        <w:jc w:val="both"/>
        <w:rPr>
          <w:sz w:val="20"/>
          <w:szCs w:val="20"/>
        </w:rPr>
      </w:pPr>
    </w:p>
    <w:p w14:paraId="0000002B" w14:textId="77777777" w:rsidR="00D72892" w:rsidRDefault="00000000">
      <w:pPr>
        <w:jc w:val="both"/>
        <w:rPr>
          <w:b/>
          <w:sz w:val="20"/>
          <w:szCs w:val="20"/>
        </w:rPr>
      </w:pPr>
      <w:r>
        <w:rPr>
          <w:b/>
          <w:sz w:val="20"/>
          <w:szCs w:val="20"/>
        </w:rPr>
        <w:t>Optical Ca</w:t>
      </w:r>
      <w:r>
        <w:rPr>
          <w:b/>
          <w:sz w:val="20"/>
          <w:szCs w:val="20"/>
          <w:vertAlign w:val="superscript"/>
        </w:rPr>
        <w:t>2+</w:t>
      </w:r>
      <w:r>
        <w:rPr>
          <w:b/>
          <w:sz w:val="20"/>
          <w:szCs w:val="20"/>
        </w:rPr>
        <w:t xml:space="preserve"> transient analysis</w:t>
      </w:r>
    </w:p>
    <w:p w14:paraId="0000002C" w14:textId="77777777" w:rsidR="00D72892" w:rsidRDefault="00000000">
      <w:pPr>
        <w:jc w:val="both"/>
        <w:rPr>
          <w:sz w:val="20"/>
          <w:szCs w:val="20"/>
        </w:rPr>
      </w:pPr>
      <w:r>
        <w:rPr>
          <w:sz w:val="20"/>
          <w:szCs w:val="20"/>
        </w:rPr>
        <w:t>Ca</w:t>
      </w:r>
      <w:r>
        <w:rPr>
          <w:sz w:val="20"/>
          <w:szCs w:val="20"/>
          <w:vertAlign w:val="superscript"/>
        </w:rPr>
        <w:t>2+</w:t>
      </w:r>
      <w:r>
        <w:rPr>
          <w:sz w:val="20"/>
          <w:szCs w:val="20"/>
        </w:rPr>
        <w:t xml:space="preserve"> transient analysis was performed to evaluate Ca</w:t>
      </w:r>
      <w:r>
        <w:rPr>
          <w:sz w:val="20"/>
          <w:szCs w:val="20"/>
          <w:vertAlign w:val="superscript"/>
        </w:rPr>
        <w:t>2+</w:t>
      </w:r>
      <w:r>
        <w:rPr>
          <w:sz w:val="20"/>
          <w:szCs w:val="20"/>
        </w:rPr>
        <w:t xml:space="preserve"> handling property between control and PLN-R14del hiPSC-CMs with and without bezafibrate treatment. Briefly, cells were loaded 30 min in </w:t>
      </w:r>
      <w:proofErr w:type="spellStart"/>
      <w:r>
        <w:rPr>
          <w:sz w:val="20"/>
          <w:szCs w:val="20"/>
        </w:rPr>
        <w:t>FluoroBrite</w:t>
      </w:r>
      <w:proofErr w:type="spellEnd"/>
      <w:r>
        <w:rPr>
          <w:sz w:val="20"/>
          <w:szCs w:val="20"/>
        </w:rPr>
        <w:t xml:space="preserve"> DMEM Media (</w:t>
      </w:r>
      <w:proofErr w:type="spellStart"/>
      <w:r>
        <w:rPr>
          <w:sz w:val="20"/>
          <w:szCs w:val="20"/>
        </w:rPr>
        <w:t>Thermo</w:t>
      </w:r>
      <w:proofErr w:type="spellEnd"/>
      <w:r>
        <w:rPr>
          <w:sz w:val="20"/>
          <w:szCs w:val="20"/>
        </w:rPr>
        <w:t xml:space="preserve"> Fisher) supplemented with 1.25 µM Cal-520 (Abcam) and 0.02% Pluronic F-127 solution (Sigma Aldrich). Spontaneous calcium transients were recorded between two and three weeks   after plating. Video streams of Cal-520 (the green channel) lasting 10 seconds at 33 fps were automatically scanned by a Leica Thunder microscope. Image analysis was conducted using </w:t>
      </w:r>
      <w:proofErr w:type="spellStart"/>
      <w:r>
        <w:rPr>
          <w:sz w:val="20"/>
          <w:szCs w:val="20"/>
        </w:rPr>
        <w:t>Cyteseer</w:t>
      </w:r>
      <w:proofErr w:type="spellEnd"/>
      <w:r>
        <w:rPr>
          <w:sz w:val="20"/>
          <w:szCs w:val="20"/>
        </w:rPr>
        <w:t xml:space="preserve"> (</w:t>
      </w:r>
      <w:proofErr w:type="spellStart"/>
      <w:r>
        <w:rPr>
          <w:sz w:val="20"/>
          <w:szCs w:val="20"/>
        </w:rPr>
        <w:t>Vala</w:t>
      </w:r>
      <w:proofErr w:type="spellEnd"/>
      <w:r>
        <w:rPr>
          <w:sz w:val="20"/>
          <w:szCs w:val="20"/>
        </w:rPr>
        <w:t xml:space="preserve"> Sciences, California, USA) as previously described</w:t>
      </w:r>
      <w:hyperlink r:id="rId26">
        <w:r>
          <w:rPr>
            <w:color w:val="000000"/>
            <w:sz w:val="20"/>
            <w:szCs w:val="20"/>
            <w:vertAlign w:val="superscript"/>
          </w:rPr>
          <w:t>18</w:t>
        </w:r>
      </w:hyperlink>
      <w:r>
        <w:rPr>
          <w:sz w:val="20"/>
          <w:szCs w:val="20"/>
        </w:rPr>
        <w:t xml:space="preserve">. The physiological parameters; peak value (normalized area </w:t>
      </w:r>
      <w:r>
        <w:rPr>
          <w:sz w:val="20"/>
          <w:szCs w:val="20"/>
        </w:rPr>
        <w:lastRenderedPageBreak/>
        <w:t xml:space="preserve">under the peak trace), rise time and decay time  were automatically calculated for each time series. Data tables were analyzed with Microsoft Excel and drug responses and bar plots were generated with GraphPad Prism 9 software. </w:t>
      </w:r>
    </w:p>
    <w:p w14:paraId="0000002D" w14:textId="77777777" w:rsidR="00D72892" w:rsidRDefault="00D72892">
      <w:pPr>
        <w:jc w:val="both"/>
        <w:rPr>
          <w:sz w:val="20"/>
          <w:szCs w:val="20"/>
        </w:rPr>
      </w:pPr>
    </w:p>
    <w:p w14:paraId="0000002E" w14:textId="77777777" w:rsidR="00D72892" w:rsidRDefault="00000000">
      <w:pPr>
        <w:jc w:val="both"/>
        <w:rPr>
          <w:b/>
          <w:sz w:val="20"/>
          <w:szCs w:val="20"/>
        </w:rPr>
      </w:pPr>
      <w:r>
        <w:rPr>
          <w:b/>
          <w:sz w:val="20"/>
          <w:szCs w:val="20"/>
        </w:rPr>
        <w:t>Characterization of hiPSC-CMs by immunofluorescence staining</w:t>
      </w:r>
    </w:p>
    <w:p w14:paraId="0000002F" w14:textId="77777777" w:rsidR="00D72892" w:rsidRDefault="00000000">
      <w:pPr>
        <w:jc w:val="both"/>
        <w:rPr>
          <w:sz w:val="20"/>
          <w:szCs w:val="20"/>
        </w:rPr>
      </w:pPr>
      <w:r>
        <w:rPr>
          <w:sz w:val="20"/>
          <w:szCs w:val="20"/>
        </w:rPr>
        <w:t xml:space="preserve">HiPSC-CMs were cultured on Matrigel-coated coverslips, fixed in paraformaldehyde (4%), and permeabilized in blocking/permeabilization buffer (5% BSA/0,3% Triton-X-100 in PBS) for 30 minutes. Primary antibodies were added and incubated in 1:5 diluted blocking/permeabilization buffer DPBS overnight at 4°C. Cells were washed four times with PBS (5 mins each time) and incubated with Alexa-conjugated secondary antibodies diluted in 1:5 blocking/permeabilization buffer in the dark at room temperature for 1 hr. Cells were washed as previously described and nuclei were stained using 1 µg/ml Hoechst (Life Technologies) for 15 mins. Coverslips were mounted using </w:t>
      </w:r>
      <w:proofErr w:type="spellStart"/>
      <w:r>
        <w:rPr>
          <w:sz w:val="20"/>
          <w:szCs w:val="20"/>
        </w:rPr>
        <w:t>Fluoromount</w:t>
      </w:r>
      <w:proofErr w:type="spellEnd"/>
      <w:r>
        <w:rPr>
          <w:sz w:val="20"/>
          <w:szCs w:val="20"/>
        </w:rPr>
        <w:t xml:space="preserve">-G (Southern Biotech) and images were acquired using a Leica SP8X confocal microscope. Immunofluorescence </w:t>
      </w:r>
      <w:proofErr w:type="spellStart"/>
      <w:r>
        <w:rPr>
          <w:sz w:val="20"/>
          <w:szCs w:val="20"/>
        </w:rPr>
        <w:t>stainings</w:t>
      </w:r>
      <w:proofErr w:type="spellEnd"/>
      <w:r>
        <w:rPr>
          <w:sz w:val="20"/>
          <w:szCs w:val="20"/>
        </w:rPr>
        <w:t xml:space="preserve"> of Nile-red were quantified by the lipid mask macro of Image J, displaying the number of lipids/nuclei and were quantified using one-way ANOVA (n=3/3 coverslips/images per well, n=3 biological replicates, n=&gt;10 wells per condition). Details of antibodies were shown in </w:t>
      </w:r>
      <w:r>
        <w:rPr>
          <w:b/>
          <w:sz w:val="20"/>
          <w:szCs w:val="20"/>
        </w:rPr>
        <w:t>Table S8</w:t>
      </w:r>
      <w:r>
        <w:rPr>
          <w:sz w:val="20"/>
          <w:szCs w:val="20"/>
        </w:rPr>
        <w:t>.</w:t>
      </w:r>
    </w:p>
    <w:p w14:paraId="00000030" w14:textId="77777777" w:rsidR="00D72892" w:rsidRDefault="00D72892">
      <w:pPr>
        <w:jc w:val="both"/>
        <w:rPr>
          <w:sz w:val="20"/>
          <w:szCs w:val="20"/>
        </w:rPr>
      </w:pPr>
    </w:p>
    <w:p w14:paraId="00000031" w14:textId="77777777" w:rsidR="00D72892" w:rsidRDefault="00000000">
      <w:pPr>
        <w:jc w:val="both"/>
        <w:rPr>
          <w:b/>
          <w:sz w:val="20"/>
          <w:szCs w:val="20"/>
        </w:rPr>
      </w:pPr>
      <w:r>
        <w:br w:type="page"/>
      </w:r>
    </w:p>
    <w:p w14:paraId="00000032" w14:textId="77777777" w:rsidR="00D72892" w:rsidRDefault="00000000">
      <w:pPr>
        <w:jc w:val="both"/>
        <w:rPr>
          <w:b/>
          <w:sz w:val="20"/>
          <w:szCs w:val="20"/>
        </w:rPr>
      </w:pPr>
      <w:r>
        <w:rPr>
          <w:b/>
          <w:sz w:val="20"/>
          <w:szCs w:val="20"/>
        </w:rPr>
        <w:lastRenderedPageBreak/>
        <w:t>References</w:t>
      </w:r>
    </w:p>
    <w:p w14:paraId="00000033" w14:textId="77777777" w:rsidR="00D72892" w:rsidRDefault="00000000" w:rsidP="00026A0F">
      <w:pPr>
        <w:pStyle w:val="NoSpacing"/>
        <w:rPr>
          <w:color w:val="000000"/>
          <w:sz w:val="20"/>
          <w:szCs w:val="20"/>
        </w:rPr>
      </w:pPr>
      <w:r>
        <w:rPr>
          <w:color w:val="000000"/>
          <w:sz w:val="20"/>
          <w:szCs w:val="20"/>
        </w:rPr>
        <w:t>1.</w:t>
      </w:r>
      <w:r>
        <w:rPr>
          <w:color w:val="000000"/>
          <w:sz w:val="20"/>
          <w:szCs w:val="20"/>
        </w:rPr>
        <w:tab/>
      </w:r>
      <w:hyperlink r:id="rId27">
        <w:proofErr w:type="spellStart"/>
        <w:r>
          <w:rPr>
            <w:color w:val="000000"/>
            <w:sz w:val="20"/>
            <w:szCs w:val="20"/>
          </w:rPr>
          <w:t>Feyen</w:t>
        </w:r>
        <w:proofErr w:type="spellEnd"/>
        <w:r>
          <w:rPr>
            <w:color w:val="000000"/>
            <w:sz w:val="20"/>
            <w:szCs w:val="20"/>
          </w:rPr>
          <w:t xml:space="preserve">, D. A. M. </w:t>
        </w:r>
      </w:hyperlink>
      <w:hyperlink r:id="rId28">
        <w:r>
          <w:rPr>
            <w:i/>
            <w:color w:val="000000"/>
            <w:sz w:val="20"/>
            <w:szCs w:val="20"/>
          </w:rPr>
          <w:t>et al.</w:t>
        </w:r>
      </w:hyperlink>
      <w:hyperlink r:id="rId29">
        <w:r>
          <w:rPr>
            <w:color w:val="000000"/>
            <w:sz w:val="20"/>
            <w:szCs w:val="20"/>
          </w:rPr>
          <w:t xml:space="preserve"> Unfolded Protein Response as a Compensatory Mechanism and Potential Therapeutic Target in PLN R14del Cardiomyopathy. </w:t>
        </w:r>
      </w:hyperlink>
      <w:hyperlink r:id="rId30">
        <w:r>
          <w:rPr>
            <w:i/>
            <w:color w:val="000000"/>
            <w:sz w:val="20"/>
            <w:szCs w:val="20"/>
          </w:rPr>
          <w:t>Circulation</w:t>
        </w:r>
      </w:hyperlink>
      <w:hyperlink r:id="rId31">
        <w:r>
          <w:rPr>
            <w:color w:val="000000"/>
            <w:sz w:val="20"/>
            <w:szCs w:val="20"/>
          </w:rPr>
          <w:t xml:space="preserve"> </w:t>
        </w:r>
      </w:hyperlink>
      <w:hyperlink r:id="rId32">
        <w:r>
          <w:rPr>
            <w:b/>
            <w:color w:val="000000"/>
            <w:sz w:val="20"/>
            <w:szCs w:val="20"/>
          </w:rPr>
          <w:t>144</w:t>
        </w:r>
      </w:hyperlink>
      <w:hyperlink r:id="rId33">
        <w:r>
          <w:rPr>
            <w:color w:val="000000"/>
            <w:sz w:val="20"/>
            <w:szCs w:val="20"/>
          </w:rPr>
          <w:t>, (2021).</w:t>
        </w:r>
      </w:hyperlink>
    </w:p>
    <w:p w14:paraId="00000034" w14:textId="77777777" w:rsidR="00D72892" w:rsidRDefault="00000000" w:rsidP="00026A0F">
      <w:pPr>
        <w:pStyle w:val="NoSpacing"/>
        <w:rPr>
          <w:color w:val="000000"/>
          <w:sz w:val="20"/>
          <w:szCs w:val="20"/>
        </w:rPr>
      </w:pPr>
      <w:r>
        <w:rPr>
          <w:color w:val="000000"/>
          <w:sz w:val="20"/>
          <w:szCs w:val="20"/>
        </w:rPr>
        <w:t>2.</w:t>
      </w:r>
      <w:r>
        <w:rPr>
          <w:color w:val="000000"/>
          <w:sz w:val="20"/>
          <w:szCs w:val="20"/>
        </w:rPr>
        <w:tab/>
      </w:r>
      <w:hyperlink r:id="rId34">
        <w:r>
          <w:rPr>
            <w:color w:val="000000"/>
            <w:sz w:val="20"/>
            <w:szCs w:val="20"/>
          </w:rPr>
          <w:t xml:space="preserve">Pei, J., van den </w:t>
        </w:r>
        <w:proofErr w:type="spellStart"/>
        <w:r>
          <w:rPr>
            <w:color w:val="000000"/>
            <w:sz w:val="20"/>
            <w:szCs w:val="20"/>
          </w:rPr>
          <w:t>Dungen</w:t>
        </w:r>
        <w:proofErr w:type="spellEnd"/>
        <w:r>
          <w:rPr>
            <w:color w:val="000000"/>
            <w:sz w:val="20"/>
            <w:szCs w:val="20"/>
          </w:rPr>
          <w:t xml:space="preserve">, N. A. M., </w:t>
        </w:r>
        <w:proofErr w:type="spellStart"/>
        <w:r>
          <w:rPr>
            <w:color w:val="000000"/>
            <w:sz w:val="20"/>
            <w:szCs w:val="20"/>
          </w:rPr>
          <w:t>Asselbergs</w:t>
        </w:r>
        <w:proofErr w:type="spellEnd"/>
        <w:r>
          <w:rPr>
            <w:color w:val="000000"/>
            <w:sz w:val="20"/>
            <w:szCs w:val="20"/>
          </w:rPr>
          <w:t xml:space="preserve">, F. W., </w:t>
        </w:r>
        <w:proofErr w:type="spellStart"/>
        <w:r>
          <w:rPr>
            <w:color w:val="000000"/>
            <w:sz w:val="20"/>
            <w:szCs w:val="20"/>
          </w:rPr>
          <w:t>Mokry</w:t>
        </w:r>
        <w:proofErr w:type="spellEnd"/>
        <w:r>
          <w:rPr>
            <w:color w:val="000000"/>
            <w:sz w:val="20"/>
            <w:szCs w:val="20"/>
          </w:rPr>
          <w:t xml:space="preserve">, M. &amp; </w:t>
        </w:r>
        <w:proofErr w:type="spellStart"/>
        <w:r>
          <w:rPr>
            <w:color w:val="000000"/>
            <w:sz w:val="20"/>
            <w:szCs w:val="20"/>
          </w:rPr>
          <w:t>Harakalova</w:t>
        </w:r>
        <w:proofErr w:type="spellEnd"/>
        <w:r>
          <w:rPr>
            <w:color w:val="000000"/>
            <w:sz w:val="20"/>
            <w:szCs w:val="20"/>
          </w:rPr>
          <w:t xml:space="preserve">, M. Chromatin Immunoprecipitation Sequencing (ChIP-seq) Protocol for Small Amounts of Frozen </w:t>
        </w:r>
        <w:proofErr w:type="spellStart"/>
        <w:r>
          <w:rPr>
            <w:color w:val="000000"/>
            <w:sz w:val="20"/>
            <w:szCs w:val="20"/>
          </w:rPr>
          <w:t>Biobanked</w:t>
        </w:r>
        <w:proofErr w:type="spellEnd"/>
        <w:r>
          <w:rPr>
            <w:color w:val="000000"/>
            <w:sz w:val="20"/>
            <w:szCs w:val="20"/>
          </w:rPr>
          <w:t xml:space="preserve"> Cardiac Tissue. </w:t>
        </w:r>
      </w:hyperlink>
      <w:hyperlink r:id="rId35">
        <w:r>
          <w:rPr>
            <w:i/>
            <w:color w:val="000000"/>
            <w:sz w:val="20"/>
            <w:szCs w:val="20"/>
          </w:rPr>
          <w:t>Methods Mol. Biol.</w:t>
        </w:r>
      </w:hyperlink>
      <w:hyperlink r:id="rId36">
        <w:r>
          <w:rPr>
            <w:color w:val="000000"/>
            <w:sz w:val="20"/>
            <w:szCs w:val="20"/>
          </w:rPr>
          <w:t xml:space="preserve"> </w:t>
        </w:r>
      </w:hyperlink>
      <w:hyperlink r:id="rId37">
        <w:r>
          <w:rPr>
            <w:b/>
            <w:color w:val="000000"/>
            <w:sz w:val="20"/>
            <w:szCs w:val="20"/>
          </w:rPr>
          <w:t>2458</w:t>
        </w:r>
      </w:hyperlink>
      <w:hyperlink r:id="rId38">
        <w:r>
          <w:rPr>
            <w:color w:val="000000"/>
            <w:sz w:val="20"/>
            <w:szCs w:val="20"/>
          </w:rPr>
          <w:t>, 97–111 (2022).</w:t>
        </w:r>
      </w:hyperlink>
    </w:p>
    <w:p w14:paraId="00000035" w14:textId="77777777" w:rsidR="00D72892" w:rsidRDefault="00000000" w:rsidP="00026A0F">
      <w:pPr>
        <w:pStyle w:val="NoSpacing"/>
        <w:rPr>
          <w:color w:val="000000"/>
          <w:sz w:val="20"/>
          <w:szCs w:val="20"/>
        </w:rPr>
      </w:pPr>
      <w:r>
        <w:rPr>
          <w:color w:val="000000"/>
          <w:sz w:val="20"/>
          <w:szCs w:val="20"/>
        </w:rPr>
        <w:t>3.</w:t>
      </w:r>
      <w:r>
        <w:rPr>
          <w:color w:val="000000"/>
          <w:sz w:val="20"/>
          <w:szCs w:val="20"/>
        </w:rPr>
        <w:tab/>
      </w:r>
      <w:hyperlink r:id="rId39">
        <w:r>
          <w:rPr>
            <w:color w:val="000000"/>
            <w:sz w:val="20"/>
            <w:szCs w:val="20"/>
          </w:rPr>
          <w:t xml:space="preserve">Li, H. &amp; Durbin, R. Fast and accurate long-read alignment with Burrows-Wheeler transform. </w:t>
        </w:r>
      </w:hyperlink>
      <w:hyperlink r:id="rId40">
        <w:r>
          <w:rPr>
            <w:i/>
            <w:color w:val="000000"/>
            <w:sz w:val="20"/>
            <w:szCs w:val="20"/>
          </w:rPr>
          <w:t>Bioinformatics</w:t>
        </w:r>
      </w:hyperlink>
      <w:hyperlink r:id="rId41">
        <w:r>
          <w:rPr>
            <w:color w:val="000000"/>
            <w:sz w:val="20"/>
            <w:szCs w:val="20"/>
          </w:rPr>
          <w:t xml:space="preserve"> </w:t>
        </w:r>
      </w:hyperlink>
      <w:hyperlink r:id="rId42">
        <w:r>
          <w:rPr>
            <w:b/>
            <w:color w:val="000000"/>
            <w:sz w:val="20"/>
            <w:szCs w:val="20"/>
          </w:rPr>
          <w:t>26</w:t>
        </w:r>
      </w:hyperlink>
      <w:hyperlink r:id="rId43">
        <w:r>
          <w:rPr>
            <w:color w:val="000000"/>
            <w:sz w:val="20"/>
            <w:szCs w:val="20"/>
          </w:rPr>
          <w:t>, 589–595 (2010).</w:t>
        </w:r>
      </w:hyperlink>
    </w:p>
    <w:p w14:paraId="00000036" w14:textId="77777777" w:rsidR="00D72892" w:rsidRDefault="00000000" w:rsidP="00026A0F">
      <w:pPr>
        <w:pStyle w:val="NoSpacing"/>
        <w:rPr>
          <w:color w:val="000000"/>
          <w:sz w:val="20"/>
          <w:szCs w:val="20"/>
        </w:rPr>
      </w:pPr>
      <w:r>
        <w:rPr>
          <w:color w:val="000000"/>
          <w:sz w:val="20"/>
          <w:szCs w:val="20"/>
        </w:rPr>
        <w:t>4.</w:t>
      </w:r>
      <w:r>
        <w:rPr>
          <w:color w:val="000000"/>
          <w:sz w:val="20"/>
          <w:szCs w:val="20"/>
        </w:rPr>
        <w:tab/>
      </w:r>
      <w:hyperlink r:id="rId44">
        <w:r>
          <w:rPr>
            <w:color w:val="000000"/>
            <w:sz w:val="20"/>
            <w:szCs w:val="20"/>
          </w:rPr>
          <w:t xml:space="preserve">Ji, H. </w:t>
        </w:r>
      </w:hyperlink>
      <w:hyperlink r:id="rId45">
        <w:r>
          <w:rPr>
            <w:i/>
            <w:color w:val="000000"/>
            <w:sz w:val="20"/>
            <w:szCs w:val="20"/>
          </w:rPr>
          <w:t>et al.</w:t>
        </w:r>
      </w:hyperlink>
      <w:hyperlink r:id="rId46">
        <w:r>
          <w:rPr>
            <w:color w:val="000000"/>
            <w:sz w:val="20"/>
            <w:szCs w:val="20"/>
          </w:rPr>
          <w:t xml:space="preserve"> An integrated software system for analyzing </w:t>
        </w:r>
        <w:proofErr w:type="spellStart"/>
        <w:r>
          <w:rPr>
            <w:color w:val="000000"/>
            <w:sz w:val="20"/>
            <w:szCs w:val="20"/>
          </w:rPr>
          <w:t>ChIP</w:t>
        </w:r>
        <w:proofErr w:type="spellEnd"/>
        <w:r>
          <w:rPr>
            <w:color w:val="000000"/>
            <w:sz w:val="20"/>
            <w:szCs w:val="20"/>
          </w:rPr>
          <w:t xml:space="preserve">-chip and ChIP-seq data. </w:t>
        </w:r>
      </w:hyperlink>
      <w:hyperlink r:id="rId47">
        <w:r>
          <w:rPr>
            <w:i/>
            <w:color w:val="000000"/>
            <w:sz w:val="20"/>
            <w:szCs w:val="20"/>
          </w:rPr>
          <w:t xml:space="preserve">Nat. </w:t>
        </w:r>
        <w:proofErr w:type="spellStart"/>
        <w:r>
          <w:rPr>
            <w:i/>
            <w:color w:val="000000"/>
            <w:sz w:val="20"/>
            <w:szCs w:val="20"/>
          </w:rPr>
          <w:t>Biotechnol</w:t>
        </w:r>
        <w:proofErr w:type="spellEnd"/>
        <w:r>
          <w:rPr>
            <w:i/>
            <w:color w:val="000000"/>
            <w:sz w:val="20"/>
            <w:szCs w:val="20"/>
          </w:rPr>
          <w:t>.</w:t>
        </w:r>
      </w:hyperlink>
      <w:hyperlink r:id="rId48">
        <w:r>
          <w:rPr>
            <w:color w:val="000000"/>
            <w:sz w:val="20"/>
            <w:szCs w:val="20"/>
          </w:rPr>
          <w:t xml:space="preserve"> </w:t>
        </w:r>
      </w:hyperlink>
      <w:hyperlink r:id="rId49">
        <w:r>
          <w:rPr>
            <w:b/>
            <w:color w:val="000000"/>
            <w:sz w:val="20"/>
            <w:szCs w:val="20"/>
          </w:rPr>
          <w:t>26</w:t>
        </w:r>
      </w:hyperlink>
      <w:hyperlink r:id="rId50">
        <w:r>
          <w:rPr>
            <w:color w:val="000000"/>
            <w:sz w:val="20"/>
            <w:szCs w:val="20"/>
          </w:rPr>
          <w:t>, 1293–1300 (2008).</w:t>
        </w:r>
      </w:hyperlink>
    </w:p>
    <w:p w14:paraId="00000037" w14:textId="77777777" w:rsidR="00D72892" w:rsidRDefault="00000000" w:rsidP="00026A0F">
      <w:pPr>
        <w:pStyle w:val="NoSpacing"/>
        <w:rPr>
          <w:color w:val="000000"/>
          <w:sz w:val="20"/>
          <w:szCs w:val="20"/>
        </w:rPr>
      </w:pPr>
      <w:r>
        <w:rPr>
          <w:color w:val="000000"/>
          <w:sz w:val="20"/>
          <w:szCs w:val="20"/>
        </w:rPr>
        <w:t>5.</w:t>
      </w:r>
      <w:r>
        <w:rPr>
          <w:color w:val="000000"/>
          <w:sz w:val="20"/>
          <w:szCs w:val="20"/>
        </w:rPr>
        <w:tab/>
      </w:r>
      <w:hyperlink r:id="rId51">
        <w:r>
          <w:rPr>
            <w:color w:val="000000"/>
            <w:sz w:val="20"/>
            <w:szCs w:val="20"/>
          </w:rPr>
          <w:t xml:space="preserve">Huber, W. </w:t>
        </w:r>
      </w:hyperlink>
      <w:hyperlink r:id="rId52">
        <w:r>
          <w:rPr>
            <w:i/>
            <w:color w:val="000000"/>
            <w:sz w:val="20"/>
            <w:szCs w:val="20"/>
          </w:rPr>
          <w:t>et al.</w:t>
        </w:r>
      </w:hyperlink>
      <w:hyperlink r:id="rId53">
        <w:r>
          <w:rPr>
            <w:color w:val="000000"/>
            <w:sz w:val="20"/>
            <w:szCs w:val="20"/>
          </w:rPr>
          <w:t xml:space="preserve"> Orchestrating high-throughput genomic analysis with Bioconductor. </w:t>
        </w:r>
      </w:hyperlink>
      <w:hyperlink r:id="rId54">
        <w:r>
          <w:rPr>
            <w:i/>
            <w:color w:val="000000"/>
            <w:sz w:val="20"/>
            <w:szCs w:val="20"/>
          </w:rPr>
          <w:t>Nat. Methods</w:t>
        </w:r>
      </w:hyperlink>
      <w:hyperlink r:id="rId55">
        <w:r>
          <w:rPr>
            <w:color w:val="000000"/>
            <w:sz w:val="20"/>
            <w:szCs w:val="20"/>
          </w:rPr>
          <w:t xml:space="preserve"> </w:t>
        </w:r>
      </w:hyperlink>
      <w:hyperlink r:id="rId56">
        <w:r>
          <w:rPr>
            <w:b/>
            <w:color w:val="000000"/>
            <w:sz w:val="20"/>
            <w:szCs w:val="20"/>
          </w:rPr>
          <w:t>12</w:t>
        </w:r>
      </w:hyperlink>
      <w:hyperlink r:id="rId57">
        <w:r>
          <w:rPr>
            <w:color w:val="000000"/>
            <w:sz w:val="20"/>
            <w:szCs w:val="20"/>
          </w:rPr>
          <w:t>, 115–121 (2015).</w:t>
        </w:r>
      </w:hyperlink>
    </w:p>
    <w:p w14:paraId="00000038" w14:textId="77777777" w:rsidR="00D72892" w:rsidRDefault="00000000" w:rsidP="00026A0F">
      <w:pPr>
        <w:pStyle w:val="NoSpacing"/>
        <w:rPr>
          <w:color w:val="000000"/>
          <w:sz w:val="20"/>
          <w:szCs w:val="20"/>
        </w:rPr>
      </w:pPr>
      <w:r>
        <w:rPr>
          <w:color w:val="000000"/>
          <w:sz w:val="20"/>
          <w:szCs w:val="20"/>
        </w:rPr>
        <w:t>6.</w:t>
      </w:r>
      <w:r>
        <w:rPr>
          <w:color w:val="000000"/>
          <w:sz w:val="20"/>
          <w:szCs w:val="20"/>
        </w:rPr>
        <w:tab/>
      </w:r>
      <w:hyperlink r:id="rId58">
        <w:r>
          <w:rPr>
            <w:color w:val="000000"/>
            <w:sz w:val="20"/>
            <w:szCs w:val="20"/>
          </w:rPr>
          <w:t xml:space="preserve">Chen, J., Bardes, E. E., </w:t>
        </w:r>
        <w:proofErr w:type="spellStart"/>
        <w:r>
          <w:rPr>
            <w:color w:val="000000"/>
            <w:sz w:val="20"/>
            <w:szCs w:val="20"/>
          </w:rPr>
          <w:t>Aronow</w:t>
        </w:r>
        <w:proofErr w:type="spellEnd"/>
        <w:r>
          <w:rPr>
            <w:color w:val="000000"/>
            <w:sz w:val="20"/>
            <w:szCs w:val="20"/>
          </w:rPr>
          <w:t xml:space="preserve">, B. J. &amp; </w:t>
        </w:r>
        <w:proofErr w:type="spellStart"/>
        <w:r>
          <w:rPr>
            <w:color w:val="000000"/>
            <w:sz w:val="20"/>
            <w:szCs w:val="20"/>
          </w:rPr>
          <w:t>Jegga</w:t>
        </w:r>
        <w:proofErr w:type="spellEnd"/>
        <w:r>
          <w:rPr>
            <w:color w:val="000000"/>
            <w:sz w:val="20"/>
            <w:szCs w:val="20"/>
          </w:rPr>
          <w:t xml:space="preserve">, A. G. ToppGene Suite for gene list enrichment analysis and candidate gene prioritization. </w:t>
        </w:r>
      </w:hyperlink>
      <w:hyperlink r:id="rId59">
        <w:r>
          <w:rPr>
            <w:i/>
            <w:color w:val="000000"/>
            <w:sz w:val="20"/>
            <w:szCs w:val="20"/>
          </w:rPr>
          <w:t>Nucleic Acids Res.</w:t>
        </w:r>
      </w:hyperlink>
      <w:hyperlink r:id="rId60">
        <w:r>
          <w:rPr>
            <w:color w:val="000000"/>
            <w:sz w:val="20"/>
            <w:szCs w:val="20"/>
          </w:rPr>
          <w:t xml:space="preserve"> </w:t>
        </w:r>
      </w:hyperlink>
      <w:hyperlink r:id="rId61">
        <w:r>
          <w:rPr>
            <w:b/>
            <w:color w:val="000000"/>
            <w:sz w:val="20"/>
            <w:szCs w:val="20"/>
          </w:rPr>
          <w:t>37</w:t>
        </w:r>
      </w:hyperlink>
      <w:hyperlink r:id="rId62">
        <w:r>
          <w:rPr>
            <w:color w:val="000000"/>
            <w:sz w:val="20"/>
            <w:szCs w:val="20"/>
          </w:rPr>
          <w:t>, W305–11 (2009).</w:t>
        </w:r>
      </w:hyperlink>
    </w:p>
    <w:p w14:paraId="00000039" w14:textId="77777777" w:rsidR="00D72892" w:rsidRDefault="00000000" w:rsidP="00026A0F">
      <w:pPr>
        <w:pStyle w:val="NoSpacing"/>
        <w:rPr>
          <w:color w:val="000000"/>
          <w:sz w:val="20"/>
          <w:szCs w:val="20"/>
        </w:rPr>
      </w:pPr>
      <w:r>
        <w:rPr>
          <w:color w:val="000000"/>
          <w:sz w:val="20"/>
          <w:szCs w:val="20"/>
        </w:rPr>
        <w:t>7.</w:t>
      </w:r>
      <w:r>
        <w:rPr>
          <w:color w:val="000000"/>
          <w:sz w:val="20"/>
          <w:szCs w:val="20"/>
        </w:rPr>
        <w:tab/>
      </w:r>
      <w:hyperlink r:id="rId63">
        <w:proofErr w:type="spellStart"/>
        <w:r>
          <w:rPr>
            <w:color w:val="000000"/>
            <w:sz w:val="20"/>
            <w:szCs w:val="20"/>
          </w:rPr>
          <w:t>Franceschini</w:t>
        </w:r>
        <w:proofErr w:type="spellEnd"/>
        <w:r>
          <w:rPr>
            <w:color w:val="000000"/>
            <w:sz w:val="20"/>
            <w:szCs w:val="20"/>
          </w:rPr>
          <w:t xml:space="preserve">, A. </w:t>
        </w:r>
      </w:hyperlink>
      <w:hyperlink r:id="rId64">
        <w:r>
          <w:rPr>
            <w:i/>
            <w:color w:val="000000"/>
            <w:sz w:val="20"/>
            <w:szCs w:val="20"/>
          </w:rPr>
          <w:t>et al.</w:t>
        </w:r>
      </w:hyperlink>
      <w:hyperlink r:id="rId65">
        <w:r>
          <w:rPr>
            <w:color w:val="000000"/>
            <w:sz w:val="20"/>
            <w:szCs w:val="20"/>
          </w:rPr>
          <w:t xml:space="preserve"> STRING v9.1: protein-protein interaction networks, with increased coverage and integration. </w:t>
        </w:r>
      </w:hyperlink>
      <w:hyperlink r:id="rId66">
        <w:r>
          <w:rPr>
            <w:i/>
            <w:color w:val="000000"/>
            <w:sz w:val="20"/>
            <w:szCs w:val="20"/>
          </w:rPr>
          <w:t>Nucleic Acids Res.</w:t>
        </w:r>
      </w:hyperlink>
      <w:hyperlink r:id="rId67">
        <w:r>
          <w:rPr>
            <w:color w:val="000000"/>
            <w:sz w:val="20"/>
            <w:szCs w:val="20"/>
          </w:rPr>
          <w:t xml:space="preserve"> </w:t>
        </w:r>
      </w:hyperlink>
      <w:hyperlink r:id="rId68">
        <w:r>
          <w:rPr>
            <w:b/>
            <w:color w:val="000000"/>
            <w:sz w:val="20"/>
            <w:szCs w:val="20"/>
          </w:rPr>
          <w:t>41</w:t>
        </w:r>
      </w:hyperlink>
      <w:hyperlink r:id="rId69">
        <w:r>
          <w:rPr>
            <w:color w:val="000000"/>
            <w:sz w:val="20"/>
            <w:szCs w:val="20"/>
          </w:rPr>
          <w:t>, D808–15 (2013).</w:t>
        </w:r>
      </w:hyperlink>
    </w:p>
    <w:p w14:paraId="0000003A" w14:textId="77777777" w:rsidR="00D72892" w:rsidRDefault="00000000" w:rsidP="00026A0F">
      <w:pPr>
        <w:pStyle w:val="NoSpacing"/>
        <w:rPr>
          <w:color w:val="000000"/>
          <w:sz w:val="20"/>
          <w:szCs w:val="20"/>
        </w:rPr>
      </w:pPr>
      <w:r>
        <w:rPr>
          <w:color w:val="000000"/>
          <w:sz w:val="20"/>
          <w:szCs w:val="20"/>
        </w:rPr>
        <w:t>8.</w:t>
      </w:r>
      <w:r>
        <w:rPr>
          <w:color w:val="000000"/>
          <w:sz w:val="20"/>
          <w:szCs w:val="20"/>
        </w:rPr>
        <w:tab/>
      </w:r>
      <w:hyperlink r:id="rId70">
        <w:r>
          <w:rPr>
            <w:color w:val="000000"/>
            <w:sz w:val="20"/>
            <w:szCs w:val="20"/>
          </w:rPr>
          <w:t xml:space="preserve">Rosenbloom, K. R. </w:t>
        </w:r>
      </w:hyperlink>
      <w:hyperlink r:id="rId71">
        <w:r>
          <w:rPr>
            <w:i/>
            <w:color w:val="000000"/>
            <w:sz w:val="20"/>
            <w:szCs w:val="20"/>
          </w:rPr>
          <w:t>et al.</w:t>
        </w:r>
      </w:hyperlink>
      <w:hyperlink r:id="rId72">
        <w:r>
          <w:rPr>
            <w:color w:val="000000"/>
            <w:sz w:val="20"/>
            <w:szCs w:val="20"/>
          </w:rPr>
          <w:t xml:space="preserve"> ENCODE data in the UCSC Genome Browser: year 5 update. </w:t>
        </w:r>
      </w:hyperlink>
      <w:hyperlink r:id="rId73">
        <w:r>
          <w:rPr>
            <w:i/>
            <w:color w:val="000000"/>
            <w:sz w:val="20"/>
            <w:szCs w:val="20"/>
          </w:rPr>
          <w:t>Nucleic Acids Res.</w:t>
        </w:r>
      </w:hyperlink>
      <w:hyperlink r:id="rId74">
        <w:r>
          <w:rPr>
            <w:color w:val="000000"/>
            <w:sz w:val="20"/>
            <w:szCs w:val="20"/>
          </w:rPr>
          <w:t xml:space="preserve"> </w:t>
        </w:r>
      </w:hyperlink>
      <w:hyperlink r:id="rId75">
        <w:r>
          <w:rPr>
            <w:b/>
            <w:color w:val="000000"/>
            <w:sz w:val="20"/>
            <w:szCs w:val="20"/>
          </w:rPr>
          <w:t>41</w:t>
        </w:r>
      </w:hyperlink>
      <w:hyperlink r:id="rId76">
        <w:r>
          <w:rPr>
            <w:color w:val="000000"/>
            <w:sz w:val="20"/>
            <w:szCs w:val="20"/>
          </w:rPr>
          <w:t>, D56–63 (2013).</w:t>
        </w:r>
      </w:hyperlink>
    </w:p>
    <w:p w14:paraId="0000003B" w14:textId="77777777" w:rsidR="00D72892" w:rsidRDefault="00000000" w:rsidP="00026A0F">
      <w:pPr>
        <w:pStyle w:val="NoSpacing"/>
        <w:rPr>
          <w:color w:val="000000"/>
          <w:sz w:val="20"/>
          <w:szCs w:val="20"/>
        </w:rPr>
      </w:pPr>
      <w:r>
        <w:rPr>
          <w:color w:val="000000"/>
          <w:sz w:val="20"/>
          <w:szCs w:val="20"/>
        </w:rPr>
        <w:t>9.</w:t>
      </w:r>
      <w:r>
        <w:rPr>
          <w:color w:val="000000"/>
          <w:sz w:val="20"/>
          <w:szCs w:val="20"/>
        </w:rPr>
        <w:tab/>
      </w:r>
      <w:hyperlink r:id="rId77">
        <w:r>
          <w:rPr>
            <w:color w:val="000000"/>
            <w:sz w:val="20"/>
            <w:szCs w:val="20"/>
          </w:rPr>
          <w:t xml:space="preserve">McLeay, R. C. &amp; Bailey, T. L. Motif Enrichment Analysis: a unified framework and an evaluation on </w:t>
        </w:r>
        <w:proofErr w:type="spellStart"/>
        <w:r>
          <w:rPr>
            <w:color w:val="000000"/>
            <w:sz w:val="20"/>
            <w:szCs w:val="20"/>
          </w:rPr>
          <w:t>ChIP</w:t>
        </w:r>
        <w:proofErr w:type="spellEnd"/>
        <w:r>
          <w:rPr>
            <w:color w:val="000000"/>
            <w:sz w:val="20"/>
            <w:szCs w:val="20"/>
          </w:rPr>
          <w:t xml:space="preserve"> data. </w:t>
        </w:r>
      </w:hyperlink>
      <w:hyperlink r:id="rId78">
        <w:r>
          <w:rPr>
            <w:i/>
            <w:color w:val="000000"/>
            <w:sz w:val="20"/>
            <w:szCs w:val="20"/>
          </w:rPr>
          <w:t>BMC Bioinformatics</w:t>
        </w:r>
      </w:hyperlink>
      <w:hyperlink r:id="rId79">
        <w:r>
          <w:rPr>
            <w:color w:val="000000"/>
            <w:sz w:val="20"/>
            <w:szCs w:val="20"/>
          </w:rPr>
          <w:t xml:space="preserve"> vol. 11 (2010).</w:t>
        </w:r>
      </w:hyperlink>
    </w:p>
    <w:p w14:paraId="0000003C" w14:textId="77777777" w:rsidR="00D72892" w:rsidRDefault="00000000" w:rsidP="00026A0F">
      <w:pPr>
        <w:pStyle w:val="NoSpacing"/>
        <w:rPr>
          <w:color w:val="000000"/>
          <w:sz w:val="20"/>
          <w:szCs w:val="20"/>
        </w:rPr>
      </w:pPr>
      <w:r>
        <w:rPr>
          <w:color w:val="000000"/>
          <w:sz w:val="20"/>
          <w:szCs w:val="20"/>
        </w:rPr>
        <w:t>10.</w:t>
      </w:r>
      <w:r>
        <w:rPr>
          <w:color w:val="000000"/>
          <w:sz w:val="20"/>
          <w:szCs w:val="20"/>
        </w:rPr>
        <w:tab/>
      </w:r>
      <w:hyperlink r:id="rId80">
        <w:proofErr w:type="spellStart"/>
        <w:r>
          <w:rPr>
            <w:color w:val="000000"/>
            <w:sz w:val="20"/>
            <w:szCs w:val="20"/>
          </w:rPr>
          <w:t>Dobin</w:t>
        </w:r>
        <w:proofErr w:type="spellEnd"/>
        <w:r>
          <w:rPr>
            <w:color w:val="000000"/>
            <w:sz w:val="20"/>
            <w:szCs w:val="20"/>
          </w:rPr>
          <w:t xml:space="preserve">, A. </w:t>
        </w:r>
      </w:hyperlink>
      <w:hyperlink r:id="rId81">
        <w:r>
          <w:rPr>
            <w:i/>
            <w:color w:val="000000"/>
            <w:sz w:val="20"/>
            <w:szCs w:val="20"/>
          </w:rPr>
          <w:t>et al.</w:t>
        </w:r>
      </w:hyperlink>
      <w:hyperlink r:id="rId82">
        <w:r>
          <w:rPr>
            <w:color w:val="000000"/>
            <w:sz w:val="20"/>
            <w:szCs w:val="20"/>
          </w:rPr>
          <w:t xml:space="preserve"> STAR: ultrafast universal RNA-seq aligner. </w:t>
        </w:r>
      </w:hyperlink>
      <w:hyperlink r:id="rId83">
        <w:r>
          <w:rPr>
            <w:i/>
            <w:color w:val="000000"/>
            <w:sz w:val="20"/>
            <w:szCs w:val="20"/>
          </w:rPr>
          <w:t>Bioinformatics</w:t>
        </w:r>
      </w:hyperlink>
      <w:hyperlink r:id="rId84">
        <w:r>
          <w:rPr>
            <w:color w:val="000000"/>
            <w:sz w:val="20"/>
            <w:szCs w:val="20"/>
          </w:rPr>
          <w:t xml:space="preserve"> </w:t>
        </w:r>
      </w:hyperlink>
      <w:hyperlink r:id="rId85">
        <w:r>
          <w:rPr>
            <w:b/>
            <w:color w:val="000000"/>
            <w:sz w:val="20"/>
            <w:szCs w:val="20"/>
          </w:rPr>
          <w:t>29</w:t>
        </w:r>
      </w:hyperlink>
      <w:hyperlink r:id="rId86">
        <w:r>
          <w:rPr>
            <w:color w:val="000000"/>
            <w:sz w:val="20"/>
            <w:szCs w:val="20"/>
          </w:rPr>
          <w:t>, 15–21 (2013).</w:t>
        </w:r>
      </w:hyperlink>
    </w:p>
    <w:p w14:paraId="0000003D" w14:textId="77777777" w:rsidR="00D72892" w:rsidRDefault="00000000" w:rsidP="00026A0F">
      <w:pPr>
        <w:pStyle w:val="NoSpacing"/>
        <w:rPr>
          <w:color w:val="000000"/>
          <w:sz w:val="20"/>
          <w:szCs w:val="20"/>
        </w:rPr>
      </w:pPr>
      <w:r>
        <w:rPr>
          <w:color w:val="000000"/>
          <w:sz w:val="20"/>
          <w:szCs w:val="20"/>
        </w:rPr>
        <w:t>11.</w:t>
      </w:r>
      <w:r>
        <w:rPr>
          <w:color w:val="000000"/>
          <w:sz w:val="20"/>
          <w:szCs w:val="20"/>
        </w:rPr>
        <w:tab/>
      </w:r>
      <w:hyperlink r:id="rId87">
        <w:r>
          <w:rPr>
            <w:color w:val="000000"/>
            <w:sz w:val="20"/>
            <w:szCs w:val="20"/>
          </w:rPr>
          <w:t xml:space="preserve">Tarasov, A., </w:t>
        </w:r>
        <w:proofErr w:type="spellStart"/>
        <w:r>
          <w:rPr>
            <w:color w:val="000000"/>
            <w:sz w:val="20"/>
            <w:szCs w:val="20"/>
          </w:rPr>
          <w:t>Vilella</w:t>
        </w:r>
        <w:proofErr w:type="spellEnd"/>
        <w:r>
          <w:rPr>
            <w:color w:val="000000"/>
            <w:sz w:val="20"/>
            <w:szCs w:val="20"/>
          </w:rPr>
          <w:t xml:space="preserve">, A. J., </w:t>
        </w:r>
        <w:proofErr w:type="spellStart"/>
        <w:r>
          <w:rPr>
            <w:color w:val="000000"/>
            <w:sz w:val="20"/>
            <w:szCs w:val="20"/>
          </w:rPr>
          <w:t>Cuppen</w:t>
        </w:r>
        <w:proofErr w:type="spellEnd"/>
        <w:r>
          <w:rPr>
            <w:color w:val="000000"/>
            <w:sz w:val="20"/>
            <w:szCs w:val="20"/>
          </w:rPr>
          <w:t xml:space="preserve">, E., Nijman, I. J. &amp; </w:t>
        </w:r>
        <w:proofErr w:type="spellStart"/>
        <w:r>
          <w:rPr>
            <w:color w:val="000000"/>
            <w:sz w:val="20"/>
            <w:szCs w:val="20"/>
          </w:rPr>
          <w:t>Prins</w:t>
        </w:r>
        <w:proofErr w:type="spellEnd"/>
        <w:r>
          <w:rPr>
            <w:color w:val="000000"/>
            <w:sz w:val="20"/>
            <w:szCs w:val="20"/>
          </w:rPr>
          <w:t xml:space="preserve">, P. </w:t>
        </w:r>
        <w:proofErr w:type="spellStart"/>
        <w:r>
          <w:rPr>
            <w:color w:val="000000"/>
            <w:sz w:val="20"/>
            <w:szCs w:val="20"/>
          </w:rPr>
          <w:t>Sambamba</w:t>
        </w:r>
        <w:proofErr w:type="spellEnd"/>
        <w:r>
          <w:rPr>
            <w:color w:val="000000"/>
            <w:sz w:val="20"/>
            <w:szCs w:val="20"/>
          </w:rPr>
          <w:t xml:space="preserve">: fast processing of NGS alignment formats. </w:t>
        </w:r>
      </w:hyperlink>
      <w:hyperlink r:id="rId88">
        <w:r>
          <w:rPr>
            <w:i/>
            <w:color w:val="000000"/>
            <w:sz w:val="20"/>
            <w:szCs w:val="20"/>
          </w:rPr>
          <w:t>Bioinformatics</w:t>
        </w:r>
      </w:hyperlink>
      <w:hyperlink r:id="rId89">
        <w:r>
          <w:rPr>
            <w:color w:val="000000"/>
            <w:sz w:val="20"/>
            <w:szCs w:val="20"/>
          </w:rPr>
          <w:t xml:space="preserve"> vol. 31 2032–2034 (2015).</w:t>
        </w:r>
      </w:hyperlink>
    </w:p>
    <w:p w14:paraId="0000003E" w14:textId="77777777" w:rsidR="00D72892" w:rsidRDefault="00000000" w:rsidP="00026A0F">
      <w:pPr>
        <w:pStyle w:val="NoSpacing"/>
        <w:rPr>
          <w:color w:val="000000"/>
          <w:sz w:val="20"/>
          <w:szCs w:val="20"/>
        </w:rPr>
      </w:pPr>
      <w:r>
        <w:rPr>
          <w:color w:val="000000"/>
          <w:sz w:val="20"/>
          <w:szCs w:val="20"/>
        </w:rPr>
        <w:t>12.</w:t>
      </w:r>
      <w:r>
        <w:rPr>
          <w:color w:val="000000"/>
          <w:sz w:val="20"/>
          <w:szCs w:val="20"/>
        </w:rPr>
        <w:tab/>
      </w:r>
      <w:hyperlink r:id="rId90">
        <w:r>
          <w:rPr>
            <w:color w:val="000000"/>
            <w:sz w:val="20"/>
            <w:szCs w:val="20"/>
          </w:rPr>
          <w:t xml:space="preserve">Anders, S., </w:t>
        </w:r>
        <w:proofErr w:type="spellStart"/>
        <w:r>
          <w:rPr>
            <w:color w:val="000000"/>
            <w:sz w:val="20"/>
            <w:szCs w:val="20"/>
          </w:rPr>
          <w:t>Pyl</w:t>
        </w:r>
        <w:proofErr w:type="spellEnd"/>
        <w:r>
          <w:rPr>
            <w:color w:val="000000"/>
            <w:sz w:val="20"/>
            <w:szCs w:val="20"/>
          </w:rPr>
          <w:t xml:space="preserve">, P. T. &amp; Huber, W. </w:t>
        </w:r>
        <w:proofErr w:type="spellStart"/>
        <w:r>
          <w:rPr>
            <w:color w:val="000000"/>
            <w:sz w:val="20"/>
            <w:szCs w:val="20"/>
          </w:rPr>
          <w:t>HTSeq</w:t>
        </w:r>
        <w:proofErr w:type="spellEnd"/>
        <w:r>
          <w:rPr>
            <w:color w:val="000000"/>
            <w:sz w:val="20"/>
            <w:szCs w:val="20"/>
          </w:rPr>
          <w:t xml:space="preserve">--a Python framework to work with high-throughput sequencing data. </w:t>
        </w:r>
      </w:hyperlink>
      <w:hyperlink r:id="rId91">
        <w:r>
          <w:rPr>
            <w:i/>
            <w:color w:val="000000"/>
            <w:sz w:val="20"/>
            <w:szCs w:val="20"/>
          </w:rPr>
          <w:t>Bioinformatics</w:t>
        </w:r>
      </w:hyperlink>
      <w:hyperlink r:id="rId92">
        <w:r>
          <w:rPr>
            <w:color w:val="000000"/>
            <w:sz w:val="20"/>
            <w:szCs w:val="20"/>
          </w:rPr>
          <w:t xml:space="preserve"> </w:t>
        </w:r>
      </w:hyperlink>
      <w:hyperlink r:id="rId93">
        <w:r>
          <w:rPr>
            <w:b/>
            <w:color w:val="000000"/>
            <w:sz w:val="20"/>
            <w:szCs w:val="20"/>
          </w:rPr>
          <w:t>31</w:t>
        </w:r>
      </w:hyperlink>
      <w:hyperlink r:id="rId94">
        <w:r>
          <w:rPr>
            <w:color w:val="000000"/>
            <w:sz w:val="20"/>
            <w:szCs w:val="20"/>
          </w:rPr>
          <w:t>, 166–169 (2015).</w:t>
        </w:r>
      </w:hyperlink>
    </w:p>
    <w:p w14:paraId="0000003F" w14:textId="77777777" w:rsidR="00D72892" w:rsidRDefault="00000000" w:rsidP="00026A0F">
      <w:pPr>
        <w:pStyle w:val="NoSpacing"/>
        <w:rPr>
          <w:color w:val="000000"/>
          <w:sz w:val="20"/>
          <w:szCs w:val="20"/>
        </w:rPr>
      </w:pPr>
      <w:r>
        <w:rPr>
          <w:color w:val="000000"/>
          <w:sz w:val="20"/>
          <w:szCs w:val="20"/>
        </w:rPr>
        <w:t>13.</w:t>
      </w:r>
      <w:r>
        <w:rPr>
          <w:color w:val="000000"/>
          <w:sz w:val="20"/>
          <w:szCs w:val="20"/>
        </w:rPr>
        <w:tab/>
      </w:r>
      <w:hyperlink r:id="rId95">
        <w:r>
          <w:rPr>
            <w:color w:val="000000"/>
            <w:sz w:val="20"/>
            <w:szCs w:val="20"/>
          </w:rPr>
          <w:t xml:space="preserve">Robinson, M. D., McCarthy, D. J. &amp; Smyth, G. K. </w:t>
        </w:r>
        <w:proofErr w:type="spellStart"/>
        <w:r>
          <w:rPr>
            <w:color w:val="000000"/>
            <w:sz w:val="20"/>
            <w:szCs w:val="20"/>
          </w:rPr>
          <w:t>edgeR</w:t>
        </w:r>
        <w:proofErr w:type="spellEnd"/>
        <w:r>
          <w:rPr>
            <w:color w:val="000000"/>
            <w:sz w:val="20"/>
            <w:szCs w:val="20"/>
          </w:rPr>
          <w:t xml:space="preserve">: a Bioconductor package for differential expression analysis of digital gene expression data. </w:t>
        </w:r>
      </w:hyperlink>
      <w:hyperlink r:id="rId96">
        <w:r>
          <w:rPr>
            <w:i/>
            <w:color w:val="000000"/>
            <w:sz w:val="20"/>
            <w:szCs w:val="20"/>
          </w:rPr>
          <w:t>Bioinformatics</w:t>
        </w:r>
      </w:hyperlink>
      <w:hyperlink r:id="rId97">
        <w:r>
          <w:rPr>
            <w:color w:val="000000"/>
            <w:sz w:val="20"/>
            <w:szCs w:val="20"/>
          </w:rPr>
          <w:t xml:space="preserve"> </w:t>
        </w:r>
      </w:hyperlink>
      <w:hyperlink r:id="rId98">
        <w:r>
          <w:rPr>
            <w:b/>
            <w:color w:val="000000"/>
            <w:sz w:val="20"/>
            <w:szCs w:val="20"/>
          </w:rPr>
          <w:t>26</w:t>
        </w:r>
      </w:hyperlink>
      <w:hyperlink r:id="rId99">
        <w:r>
          <w:rPr>
            <w:color w:val="000000"/>
            <w:sz w:val="20"/>
            <w:szCs w:val="20"/>
          </w:rPr>
          <w:t>, 139–140 (2010).</w:t>
        </w:r>
      </w:hyperlink>
    </w:p>
    <w:p w14:paraId="00000040" w14:textId="77777777" w:rsidR="00D72892" w:rsidRDefault="00000000" w:rsidP="00026A0F">
      <w:pPr>
        <w:pStyle w:val="NoSpacing"/>
        <w:rPr>
          <w:color w:val="000000"/>
          <w:sz w:val="20"/>
          <w:szCs w:val="20"/>
        </w:rPr>
      </w:pPr>
      <w:r>
        <w:rPr>
          <w:color w:val="000000"/>
          <w:sz w:val="20"/>
          <w:szCs w:val="20"/>
        </w:rPr>
        <w:t>14.</w:t>
      </w:r>
      <w:r>
        <w:rPr>
          <w:color w:val="000000"/>
          <w:sz w:val="20"/>
          <w:szCs w:val="20"/>
        </w:rPr>
        <w:tab/>
      </w:r>
      <w:hyperlink r:id="rId100">
        <w:r>
          <w:rPr>
            <w:color w:val="000000"/>
            <w:sz w:val="20"/>
            <w:szCs w:val="20"/>
          </w:rPr>
          <w:t xml:space="preserve">Love, M. I., Huber, W. &amp; Anders, S. Moderated estimation of fold change and dispersion for RNA-seq data with DESeq2. </w:t>
        </w:r>
      </w:hyperlink>
      <w:hyperlink r:id="rId101">
        <w:r>
          <w:rPr>
            <w:i/>
            <w:color w:val="000000"/>
            <w:sz w:val="20"/>
            <w:szCs w:val="20"/>
          </w:rPr>
          <w:t>Genome Biol.</w:t>
        </w:r>
      </w:hyperlink>
      <w:hyperlink r:id="rId102">
        <w:r>
          <w:rPr>
            <w:color w:val="000000"/>
            <w:sz w:val="20"/>
            <w:szCs w:val="20"/>
          </w:rPr>
          <w:t xml:space="preserve"> </w:t>
        </w:r>
      </w:hyperlink>
      <w:hyperlink r:id="rId103">
        <w:r>
          <w:rPr>
            <w:b/>
            <w:color w:val="000000"/>
            <w:sz w:val="20"/>
            <w:szCs w:val="20"/>
          </w:rPr>
          <w:t>15</w:t>
        </w:r>
      </w:hyperlink>
      <w:hyperlink r:id="rId104">
        <w:r>
          <w:rPr>
            <w:color w:val="000000"/>
            <w:sz w:val="20"/>
            <w:szCs w:val="20"/>
          </w:rPr>
          <w:t>, 550 (2014).</w:t>
        </w:r>
      </w:hyperlink>
    </w:p>
    <w:p w14:paraId="00000041" w14:textId="77777777" w:rsidR="00D72892" w:rsidRDefault="00000000" w:rsidP="00026A0F">
      <w:pPr>
        <w:pStyle w:val="NoSpacing"/>
        <w:rPr>
          <w:color w:val="000000"/>
          <w:sz w:val="20"/>
          <w:szCs w:val="20"/>
        </w:rPr>
      </w:pPr>
      <w:r>
        <w:rPr>
          <w:color w:val="000000"/>
          <w:sz w:val="20"/>
          <w:szCs w:val="20"/>
        </w:rPr>
        <w:t>15.</w:t>
      </w:r>
      <w:r>
        <w:rPr>
          <w:color w:val="000000"/>
          <w:sz w:val="20"/>
          <w:szCs w:val="20"/>
        </w:rPr>
        <w:tab/>
      </w:r>
      <w:hyperlink r:id="rId105">
        <w:r>
          <w:rPr>
            <w:color w:val="000000"/>
            <w:sz w:val="20"/>
            <w:szCs w:val="20"/>
          </w:rPr>
          <w:t xml:space="preserve">Sharma, A. </w:t>
        </w:r>
      </w:hyperlink>
      <w:hyperlink r:id="rId106">
        <w:r>
          <w:rPr>
            <w:i/>
            <w:color w:val="000000"/>
            <w:sz w:val="20"/>
            <w:szCs w:val="20"/>
          </w:rPr>
          <w:t>et al.</w:t>
        </w:r>
      </w:hyperlink>
      <w:hyperlink r:id="rId107">
        <w:r>
          <w:rPr>
            <w:color w:val="000000"/>
            <w:sz w:val="20"/>
            <w:szCs w:val="20"/>
          </w:rPr>
          <w:t xml:space="preserve"> High-throughput screening of tyrosine kinase inhibitor cardiotoxicity with human induced pluripotent stem cells. </w:t>
        </w:r>
      </w:hyperlink>
      <w:hyperlink r:id="rId108">
        <w:r>
          <w:rPr>
            <w:i/>
            <w:color w:val="000000"/>
            <w:sz w:val="20"/>
            <w:szCs w:val="20"/>
          </w:rPr>
          <w:t>Sci. Transl. Med.</w:t>
        </w:r>
      </w:hyperlink>
      <w:hyperlink r:id="rId109">
        <w:r>
          <w:rPr>
            <w:color w:val="000000"/>
            <w:sz w:val="20"/>
            <w:szCs w:val="20"/>
          </w:rPr>
          <w:t xml:space="preserve"> </w:t>
        </w:r>
      </w:hyperlink>
      <w:hyperlink r:id="rId110">
        <w:r>
          <w:rPr>
            <w:b/>
            <w:color w:val="000000"/>
            <w:sz w:val="20"/>
            <w:szCs w:val="20"/>
          </w:rPr>
          <w:t>9</w:t>
        </w:r>
      </w:hyperlink>
      <w:hyperlink r:id="rId111">
        <w:r>
          <w:rPr>
            <w:color w:val="000000"/>
            <w:sz w:val="20"/>
            <w:szCs w:val="20"/>
          </w:rPr>
          <w:t>, (2017).</w:t>
        </w:r>
      </w:hyperlink>
    </w:p>
    <w:p w14:paraId="00000042" w14:textId="77777777" w:rsidR="00D72892" w:rsidRDefault="00000000" w:rsidP="00026A0F">
      <w:pPr>
        <w:pStyle w:val="NoSpacing"/>
        <w:rPr>
          <w:color w:val="000000"/>
          <w:sz w:val="20"/>
          <w:szCs w:val="20"/>
        </w:rPr>
      </w:pPr>
      <w:r>
        <w:rPr>
          <w:color w:val="000000"/>
          <w:sz w:val="20"/>
          <w:szCs w:val="20"/>
        </w:rPr>
        <w:t>16.</w:t>
      </w:r>
      <w:r>
        <w:rPr>
          <w:color w:val="000000"/>
          <w:sz w:val="20"/>
          <w:szCs w:val="20"/>
        </w:rPr>
        <w:tab/>
      </w:r>
      <w:hyperlink r:id="rId112">
        <w:proofErr w:type="spellStart"/>
        <w:r>
          <w:rPr>
            <w:color w:val="000000"/>
            <w:sz w:val="20"/>
            <w:szCs w:val="20"/>
          </w:rPr>
          <w:t>Feyen</w:t>
        </w:r>
        <w:proofErr w:type="spellEnd"/>
        <w:r>
          <w:rPr>
            <w:color w:val="000000"/>
            <w:sz w:val="20"/>
            <w:szCs w:val="20"/>
          </w:rPr>
          <w:t xml:space="preserve">, D. A. M. </w:t>
        </w:r>
      </w:hyperlink>
      <w:hyperlink r:id="rId113">
        <w:r>
          <w:rPr>
            <w:i/>
            <w:color w:val="000000"/>
            <w:sz w:val="20"/>
            <w:szCs w:val="20"/>
          </w:rPr>
          <w:t>et al.</w:t>
        </w:r>
      </w:hyperlink>
      <w:hyperlink r:id="rId114">
        <w:r>
          <w:rPr>
            <w:color w:val="000000"/>
            <w:sz w:val="20"/>
            <w:szCs w:val="20"/>
          </w:rPr>
          <w:t xml:space="preserve"> Metabolic Maturation Media Improve Physiological Function of Human iPSC-Derived Cardiomyocytes. </w:t>
        </w:r>
      </w:hyperlink>
      <w:hyperlink r:id="rId115">
        <w:r>
          <w:rPr>
            <w:i/>
            <w:color w:val="000000"/>
            <w:sz w:val="20"/>
            <w:szCs w:val="20"/>
          </w:rPr>
          <w:t>Cell Rep.</w:t>
        </w:r>
      </w:hyperlink>
      <w:hyperlink r:id="rId116">
        <w:r>
          <w:rPr>
            <w:color w:val="000000"/>
            <w:sz w:val="20"/>
            <w:szCs w:val="20"/>
          </w:rPr>
          <w:t xml:space="preserve"> </w:t>
        </w:r>
      </w:hyperlink>
      <w:hyperlink r:id="rId117">
        <w:r>
          <w:rPr>
            <w:b/>
            <w:color w:val="000000"/>
            <w:sz w:val="20"/>
            <w:szCs w:val="20"/>
          </w:rPr>
          <w:t>32</w:t>
        </w:r>
      </w:hyperlink>
      <w:hyperlink r:id="rId118">
        <w:r>
          <w:rPr>
            <w:color w:val="000000"/>
            <w:sz w:val="20"/>
            <w:szCs w:val="20"/>
          </w:rPr>
          <w:t>, 107925 (2020).</w:t>
        </w:r>
      </w:hyperlink>
    </w:p>
    <w:p w14:paraId="00000043" w14:textId="77777777" w:rsidR="00D72892" w:rsidRDefault="00000000" w:rsidP="00026A0F">
      <w:pPr>
        <w:pStyle w:val="NoSpacing"/>
        <w:rPr>
          <w:color w:val="000000"/>
          <w:sz w:val="20"/>
          <w:szCs w:val="20"/>
        </w:rPr>
      </w:pPr>
      <w:r>
        <w:rPr>
          <w:color w:val="000000"/>
          <w:sz w:val="20"/>
          <w:szCs w:val="20"/>
        </w:rPr>
        <w:t>17.</w:t>
      </w:r>
      <w:r>
        <w:rPr>
          <w:color w:val="000000"/>
          <w:sz w:val="20"/>
          <w:szCs w:val="20"/>
        </w:rPr>
        <w:tab/>
      </w:r>
      <w:hyperlink r:id="rId119">
        <w:r>
          <w:rPr>
            <w:color w:val="000000"/>
            <w:sz w:val="20"/>
            <w:szCs w:val="20"/>
          </w:rPr>
          <w:t xml:space="preserve">Kim, C. </w:t>
        </w:r>
      </w:hyperlink>
      <w:hyperlink r:id="rId120">
        <w:r>
          <w:rPr>
            <w:i/>
            <w:color w:val="000000"/>
            <w:sz w:val="20"/>
            <w:szCs w:val="20"/>
          </w:rPr>
          <w:t>et al.</w:t>
        </w:r>
      </w:hyperlink>
      <w:hyperlink r:id="rId121">
        <w:r>
          <w:rPr>
            <w:color w:val="000000"/>
            <w:sz w:val="20"/>
            <w:szCs w:val="20"/>
          </w:rPr>
          <w:t xml:space="preserve"> Studying arrhythmogenic right ventricular dysplasia with patient-specific iPSCs. </w:t>
        </w:r>
      </w:hyperlink>
      <w:hyperlink r:id="rId122">
        <w:r>
          <w:rPr>
            <w:i/>
            <w:color w:val="000000"/>
            <w:sz w:val="20"/>
            <w:szCs w:val="20"/>
          </w:rPr>
          <w:t>Nature</w:t>
        </w:r>
      </w:hyperlink>
      <w:hyperlink r:id="rId123">
        <w:r>
          <w:rPr>
            <w:color w:val="000000"/>
            <w:sz w:val="20"/>
            <w:szCs w:val="20"/>
          </w:rPr>
          <w:t xml:space="preserve"> </w:t>
        </w:r>
      </w:hyperlink>
      <w:hyperlink r:id="rId124">
        <w:r>
          <w:rPr>
            <w:b/>
            <w:color w:val="000000"/>
            <w:sz w:val="20"/>
            <w:szCs w:val="20"/>
          </w:rPr>
          <w:t>494</w:t>
        </w:r>
      </w:hyperlink>
      <w:hyperlink r:id="rId125">
        <w:r>
          <w:rPr>
            <w:color w:val="000000"/>
            <w:sz w:val="20"/>
            <w:szCs w:val="20"/>
          </w:rPr>
          <w:t>, 105 (2013).</w:t>
        </w:r>
      </w:hyperlink>
    </w:p>
    <w:p w14:paraId="00000044" w14:textId="77777777" w:rsidR="00D72892" w:rsidRDefault="00000000" w:rsidP="00026A0F">
      <w:pPr>
        <w:pStyle w:val="NoSpacing"/>
        <w:rPr>
          <w:color w:val="000000"/>
          <w:sz w:val="20"/>
          <w:szCs w:val="20"/>
        </w:rPr>
      </w:pPr>
      <w:r>
        <w:rPr>
          <w:color w:val="000000"/>
          <w:sz w:val="20"/>
          <w:szCs w:val="20"/>
        </w:rPr>
        <w:t>18.</w:t>
      </w:r>
      <w:r>
        <w:rPr>
          <w:color w:val="000000"/>
          <w:sz w:val="20"/>
          <w:szCs w:val="20"/>
        </w:rPr>
        <w:tab/>
      </w:r>
      <w:hyperlink r:id="rId126">
        <w:proofErr w:type="spellStart"/>
        <w:r>
          <w:rPr>
            <w:color w:val="000000"/>
            <w:sz w:val="20"/>
            <w:szCs w:val="20"/>
          </w:rPr>
          <w:t>Cerignoli</w:t>
        </w:r>
        <w:proofErr w:type="spellEnd"/>
        <w:r>
          <w:rPr>
            <w:color w:val="000000"/>
            <w:sz w:val="20"/>
            <w:szCs w:val="20"/>
          </w:rPr>
          <w:t xml:space="preserve">, F. </w:t>
        </w:r>
      </w:hyperlink>
      <w:hyperlink r:id="rId127">
        <w:r>
          <w:rPr>
            <w:i/>
            <w:color w:val="000000"/>
            <w:sz w:val="20"/>
            <w:szCs w:val="20"/>
          </w:rPr>
          <w:t>et al.</w:t>
        </w:r>
      </w:hyperlink>
      <w:hyperlink r:id="rId128">
        <w:r>
          <w:rPr>
            <w:color w:val="000000"/>
            <w:sz w:val="20"/>
            <w:szCs w:val="20"/>
          </w:rPr>
          <w:t xml:space="preserve"> High Throughput Measurement of Ca2+ Dynamics for Drug Risk Assessment in Human Stem Cell-derived Cardiomyocytes by Kinetic Image Cytometry. </w:t>
        </w:r>
      </w:hyperlink>
      <w:hyperlink r:id="rId129">
        <w:r>
          <w:rPr>
            <w:i/>
            <w:color w:val="000000"/>
            <w:sz w:val="20"/>
            <w:szCs w:val="20"/>
          </w:rPr>
          <w:t xml:space="preserve">J. </w:t>
        </w:r>
        <w:proofErr w:type="spellStart"/>
        <w:r>
          <w:rPr>
            <w:i/>
            <w:color w:val="000000"/>
            <w:sz w:val="20"/>
            <w:szCs w:val="20"/>
          </w:rPr>
          <w:t>Pharmacol</w:t>
        </w:r>
        <w:proofErr w:type="spellEnd"/>
        <w:r>
          <w:rPr>
            <w:i/>
            <w:color w:val="000000"/>
            <w:sz w:val="20"/>
            <w:szCs w:val="20"/>
          </w:rPr>
          <w:t xml:space="preserve">. </w:t>
        </w:r>
        <w:proofErr w:type="spellStart"/>
        <w:r>
          <w:rPr>
            <w:i/>
            <w:color w:val="000000"/>
            <w:sz w:val="20"/>
            <w:szCs w:val="20"/>
          </w:rPr>
          <w:t>Toxicol</w:t>
        </w:r>
        <w:proofErr w:type="spellEnd"/>
        <w:r>
          <w:rPr>
            <w:i/>
            <w:color w:val="000000"/>
            <w:sz w:val="20"/>
            <w:szCs w:val="20"/>
          </w:rPr>
          <w:t>. Methods</w:t>
        </w:r>
      </w:hyperlink>
      <w:hyperlink r:id="rId130">
        <w:r>
          <w:rPr>
            <w:color w:val="000000"/>
            <w:sz w:val="20"/>
            <w:szCs w:val="20"/>
          </w:rPr>
          <w:t xml:space="preserve"> </w:t>
        </w:r>
      </w:hyperlink>
      <w:hyperlink r:id="rId131">
        <w:r>
          <w:rPr>
            <w:b/>
            <w:color w:val="000000"/>
            <w:sz w:val="20"/>
            <w:szCs w:val="20"/>
          </w:rPr>
          <w:t>66</w:t>
        </w:r>
      </w:hyperlink>
      <w:hyperlink r:id="rId132">
        <w:r>
          <w:rPr>
            <w:color w:val="000000"/>
            <w:sz w:val="20"/>
            <w:szCs w:val="20"/>
          </w:rPr>
          <w:t>, 246 (2012).</w:t>
        </w:r>
      </w:hyperlink>
    </w:p>
    <w:p w14:paraId="00000045" w14:textId="77777777" w:rsidR="00D72892" w:rsidRDefault="00D72892">
      <w:pPr>
        <w:widowControl w:val="0"/>
        <w:pBdr>
          <w:top w:val="nil"/>
          <w:left w:val="nil"/>
          <w:bottom w:val="nil"/>
          <w:right w:val="nil"/>
          <w:between w:val="nil"/>
        </w:pBdr>
        <w:rPr>
          <w:sz w:val="20"/>
          <w:szCs w:val="20"/>
        </w:rPr>
      </w:pPr>
    </w:p>
    <w:sectPr w:rsidR="00D7289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Arial Unicode MS">
    <w:altName w:val="Arial"/>
    <w:panose1 w:val="020B0604020202020204"/>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2892"/>
    <w:rsid w:val="00026A0F"/>
    <w:rsid w:val="00D72892"/>
  </w:rsids>
  <m:mathPr>
    <m:mathFont m:val="Cambria Math"/>
    <m:brkBin m:val="before"/>
    <m:brkBinSub m:val="--"/>
    <m:smallFrac m:val="0"/>
    <m:dispDef/>
    <m:lMargin m:val="0"/>
    <m:rMargin m:val="0"/>
    <m:defJc m:val="centerGroup"/>
    <m:wrapIndent m:val="1440"/>
    <m:intLim m:val="subSup"/>
    <m:naryLim m:val="undOvr"/>
  </m:mathPr>
  <w:themeFontLang w:val="en-N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6E04B"/>
  <w15:docId w15:val="{AE057C0D-7618-4F37-828A-2D34FCE58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NoSpacing">
    <w:name w:val="No Spacing"/>
    <w:uiPriority w:val="1"/>
    <w:qFormat/>
    <w:rsid w:val="00026A0F"/>
    <w:pPr>
      <w:spacing w:line="240" w:lineRule="auto"/>
    </w:pPr>
  </w:style>
  <w:style w:type="paragraph" w:styleId="NormalWeb">
    <w:name w:val="Normal (Web)"/>
    <w:basedOn w:val="Normal"/>
    <w:uiPriority w:val="99"/>
    <w:semiHidden/>
    <w:unhideWhenUsed/>
    <w:rsid w:val="00026A0F"/>
    <w:pPr>
      <w:spacing w:before="100" w:beforeAutospacing="1" w:after="100" w:afterAutospacing="1" w:line="240" w:lineRule="auto"/>
    </w:pPr>
    <w:rPr>
      <w:rFonts w:ascii="Times New Roman" w:eastAsia="Times New Roman" w:hAnsi="Times New Roman" w:cs="Times New Roman"/>
      <w:sz w:val="24"/>
      <w:szCs w:val="24"/>
      <w:lang w:val="en-NL"/>
    </w:rPr>
  </w:style>
  <w:style w:type="character" w:styleId="Hyperlink">
    <w:name w:val="Hyperlink"/>
    <w:basedOn w:val="DefaultParagraphFont"/>
    <w:uiPriority w:val="99"/>
    <w:semiHidden/>
    <w:unhideWhenUsed/>
    <w:rsid w:val="00026A0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09616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paperpile.com/b/8K6Yyt/IMH3" TargetMode="External"/><Relationship Id="rId21" Type="http://schemas.openxmlformats.org/officeDocument/2006/relationships/hyperlink" Target="https://paperpile.com/c/8K6Yyt/yHKzX" TargetMode="External"/><Relationship Id="rId42" Type="http://schemas.openxmlformats.org/officeDocument/2006/relationships/hyperlink" Target="http://paperpile.com/b/8K6Yyt/2Yf1F" TargetMode="External"/><Relationship Id="rId63" Type="http://schemas.openxmlformats.org/officeDocument/2006/relationships/hyperlink" Target="http://paperpile.com/b/8K6Yyt/yHKzX" TargetMode="External"/><Relationship Id="rId84" Type="http://schemas.openxmlformats.org/officeDocument/2006/relationships/hyperlink" Target="http://paperpile.com/b/8K6Yyt/66rEM" TargetMode="External"/><Relationship Id="rId16" Type="http://schemas.openxmlformats.org/officeDocument/2006/relationships/hyperlink" Target="https://paperpile.com/c/8K6Yyt/RZHfC" TargetMode="External"/><Relationship Id="rId107" Type="http://schemas.openxmlformats.org/officeDocument/2006/relationships/hyperlink" Target="http://paperpile.com/b/8K6Yyt/jRndp" TargetMode="External"/><Relationship Id="rId11" Type="http://schemas.openxmlformats.org/officeDocument/2006/relationships/hyperlink" Target="https://paperpile.com/c/8K6Yyt/zzyBP" TargetMode="External"/><Relationship Id="rId32" Type="http://schemas.openxmlformats.org/officeDocument/2006/relationships/hyperlink" Target="http://paperpile.com/b/8K6Yyt/jgwDj" TargetMode="External"/><Relationship Id="rId37" Type="http://schemas.openxmlformats.org/officeDocument/2006/relationships/hyperlink" Target="http://paperpile.com/b/8K6Yyt/BlDDn" TargetMode="External"/><Relationship Id="rId53" Type="http://schemas.openxmlformats.org/officeDocument/2006/relationships/hyperlink" Target="http://paperpile.com/b/8K6Yyt/Sedr3" TargetMode="External"/><Relationship Id="rId58" Type="http://schemas.openxmlformats.org/officeDocument/2006/relationships/hyperlink" Target="http://paperpile.com/b/8K6Yyt/zzyBP" TargetMode="External"/><Relationship Id="rId74" Type="http://schemas.openxmlformats.org/officeDocument/2006/relationships/hyperlink" Target="http://paperpile.com/b/8K6Yyt/4TChI" TargetMode="External"/><Relationship Id="rId79" Type="http://schemas.openxmlformats.org/officeDocument/2006/relationships/hyperlink" Target="http://paperpile.com/b/8K6Yyt/mtjTO" TargetMode="External"/><Relationship Id="rId102" Type="http://schemas.openxmlformats.org/officeDocument/2006/relationships/hyperlink" Target="http://paperpile.com/b/8K6Yyt/iSVMw" TargetMode="External"/><Relationship Id="rId123" Type="http://schemas.openxmlformats.org/officeDocument/2006/relationships/hyperlink" Target="http://paperpile.com/b/8K6Yyt/oiJc7" TargetMode="External"/><Relationship Id="rId128" Type="http://schemas.openxmlformats.org/officeDocument/2006/relationships/hyperlink" Target="http://paperpile.com/b/8K6Yyt/NEyR" TargetMode="External"/><Relationship Id="rId5" Type="http://schemas.openxmlformats.org/officeDocument/2006/relationships/hyperlink" Target="https://paperpile.com/c/8K6Yyt/jgwDj" TargetMode="External"/><Relationship Id="rId90" Type="http://schemas.openxmlformats.org/officeDocument/2006/relationships/hyperlink" Target="http://paperpile.com/b/8K6Yyt/jqPGy" TargetMode="External"/><Relationship Id="rId95" Type="http://schemas.openxmlformats.org/officeDocument/2006/relationships/hyperlink" Target="http://paperpile.com/b/8K6Yyt/kEblz" TargetMode="External"/><Relationship Id="rId22" Type="http://schemas.openxmlformats.org/officeDocument/2006/relationships/hyperlink" Target="https://paperpile.com/c/8K6Yyt/jRndp" TargetMode="External"/><Relationship Id="rId27" Type="http://schemas.openxmlformats.org/officeDocument/2006/relationships/hyperlink" Target="http://paperpile.com/b/8K6Yyt/jgwDj" TargetMode="External"/><Relationship Id="rId43" Type="http://schemas.openxmlformats.org/officeDocument/2006/relationships/hyperlink" Target="http://paperpile.com/b/8K6Yyt/2Yf1F" TargetMode="External"/><Relationship Id="rId48" Type="http://schemas.openxmlformats.org/officeDocument/2006/relationships/hyperlink" Target="http://paperpile.com/b/8K6Yyt/JuqE1" TargetMode="External"/><Relationship Id="rId64" Type="http://schemas.openxmlformats.org/officeDocument/2006/relationships/hyperlink" Target="http://paperpile.com/b/8K6Yyt/yHKzX" TargetMode="External"/><Relationship Id="rId69" Type="http://schemas.openxmlformats.org/officeDocument/2006/relationships/hyperlink" Target="http://paperpile.com/b/8K6Yyt/yHKzX" TargetMode="External"/><Relationship Id="rId113" Type="http://schemas.openxmlformats.org/officeDocument/2006/relationships/hyperlink" Target="http://paperpile.com/b/8K6Yyt/IMH3" TargetMode="External"/><Relationship Id="rId118" Type="http://schemas.openxmlformats.org/officeDocument/2006/relationships/hyperlink" Target="http://paperpile.com/b/8K6Yyt/IMH3" TargetMode="External"/><Relationship Id="rId134" Type="http://schemas.openxmlformats.org/officeDocument/2006/relationships/theme" Target="theme/theme1.xml"/><Relationship Id="rId80" Type="http://schemas.openxmlformats.org/officeDocument/2006/relationships/hyperlink" Target="http://paperpile.com/b/8K6Yyt/66rEM" TargetMode="External"/><Relationship Id="rId85" Type="http://schemas.openxmlformats.org/officeDocument/2006/relationships/hyperlink" Target="http://paperpile.com/b/8K6Yyt/66rEM" TargetMode="External"/><Relationship Id="rId12" Type="http://schemas.openxmlformats.org/officeDocument/2006/relationships/hyperlink" Target="https://paperpile.com/c/8K6Yyt/yHKzX" TargetMode="External"/><Relationship Id="rId17" Type="http://schemas.openxmlformats.org/officeDocument/2006/relationships/hyperlink" Target="https://paperpile.com/c/8K6Yyt/jqPGy" TargetMode="External"/><Relationship Id="rId33" Type="http://schemas.openxmlformats.org/officeDocument/2006/relationships/hyperlink" Target="http://paperpile.com/b/8K6Yyt/jgwDj" TargetMode="External"/><Relationship Id="rId38" Type="http://schemas.openxmlformats.org/officeDocument/2006/relationships/hyperlink" Target="http://paperpile.com/b/8K6Yyt/BlDDn" TargetMode="External"/><Relationship Id="rId59" Type="http://schemas.openxmlformats.org/officeDocument/2006/relationships/hyperlink" Target="http://paperpile.com/b/8K6Yyt/zzyBP" TargetMode="External"/><Relationship Id="rId103" Type="http://schemas.openxmlformats.org/officeDocument/2006/relationships/hyperlink" Target="http://paperpile.com/b/8K6Yyt/iSVMw" TargetMode="External"/><Relationship Id="rId108" Type="http://schemas.openxmlformats.org/officeDocument/2006/relationships/hyperlink" Target="http://paperpile.com/b/8K6Yyt/jRndp" TargetMode="External"/><Relationship Id="rId124" Type="http://schemas.openxmlformats.org/officeDocument/2006/relationships/hyperlink" Target="http://paperpile.com/b/8K6Yyt/oiJc7" TargetMode="External"/><Relationship Id="rId129" Type="http://schemas.openxmlformats.org/officeDocument/2006/relationships/hyperlink" Target="http://paperpile.com/b/8K6Yyt/NEyR" TargetMode="External"/><Relationship Id="rId54" Type="http://schemas.openxmlformats.org/officeDocument/2006/relationships/hyperlink" Target="http://paperpile.com/b/8K6Yyt/Sedr3" TargetMode="External"/><Relationship Id="rId70" Type="http://schemas.openxmlformats.org/officeDocument/2006/relationships/hyperlink" Target="http://paperpile.com/b/8K6Yyt/4TChI" TargetMode="External"/><Relationship Id="rId75" Type="http://schemas.openxmlformats.org/officeDocument/2006/relationships/hyperlink" Target="http://paperpile.com/b/8K6Yyt/4TChI" TargetMode="External"/><Relationship Id="rId91" Type="http://schemas.openxmlformats.org/officeDocument/2006/relationships/hyperlink" Target="http://paperpile.com/b/8K6Yyt/jqPGy" TargetMode="External"/><Relationship Id="rId96" Type="http://schemas.openxmlformats.org/officeDocument/2006/relationships/hyperlink" Target="http://paperpile.com/b/8K6Yyt/kEblz" TargetMode="External"/><Relationship Id="rId1" Type="http://schemas.openxmlformats.org/officeDocument/2006/relationships/styles" Target="styles.xml"/><Relationship Id="rId6" Type="http://schemas.openxmlformats.org/officeDocument/2006/relationships/hyperlink" Target="https://paperpile.com/c/8K6Yyt/jgwDj" TargetMode="External"/><Relationship Id="rId23" Type="http://schemas.openxmlformats.org/officeDocument/2006/relationships/hyperlink" Target="https://paperpile.com/c/8K6Yyt/IMH3" TargetMode="External"/><Relationship Id="rId28" Type="http://schemas.openxmlformats.org/officeDocument/2006/relationships/hyperlink" Target="http://paperpile.com/b/8K6Yyt/jgwDj" TargetMode="External"/><Relationship Id="rId49" Type="http://schemas.openxmlformats.org/officeDocument/2006/relationships/hyperlink" Target="http://paperpile.com/b/8K6Yyt/JuqE1" TargetMode="External"/><Relationship Id="rId114" Type="http://schemas.openxmlformats.org/officeDocument/2006/relationships/hyperlink" Target="http://paperpile.com/b/8K6Yyt/IMH3" TargetMode="External"/><Relationship Id="rId119" Type="http://schemas.openxmlformats.org/officeDocument/2006/relationships/hyperlink" Target="http://paperpile.com/b/8K6Yyt/oiJc7" TargetMode="External"/><Relationship Id="rId44" Type="http://schemas.openxmlformats.org/officeDocument/2006/relationships/hyperlink" Target="http://paperpile.com/b/8K6Yyt/JuqE1" TargetMode="External"/><Relationship Id="rId60" Type="http://schemas.openxmlformats.org/officeDocument/2006/relationships/hyperlink" Target="http://paperpile.com/b/8K6Yyt/zzyBP" TargetMode="External"/><Relationship Id="rId65" Type="http://schemas.openxmlformats.org/officeDocument/2006/relationships/hyperlink" Target="http://paperpile.com/b/8K6Yyt/yHKzX" TargetMode="External"/><Relationship Id="rId81" Type="http://schemas.openxmlformats.org/officeDocument/2006/relationships/hyperlink" Target="http://paperpile.com/b/8K6Yyt/66rEM" TargetMode="External"/><Relationship Id="rId86" Type="http://schemas.openxmlformats.org/officeDocument/2006/relationships/hyperlink" Target="http://paperpile.com/b/8K6Yyt/66rEM" TargetMode="External"/><Relationship Id="rId130" Type="http://schemas.openxmlformats.org/officeDocument/2006/relationships/hyperlink" Target="http://paperpile.com/b/8K6Yyt/NEyR" TargetMode="External"/><Relationship Id="rId13" Type="http://schemas.openxmlformats.org/officeDocument/2006/relationships/hyperlink" Target="https://paperpile.com/c/8K6Yyt/4TChI" TargetMode="External"/><Relationship Id="rId18" Type="http://schemas.openxmlformats.org/officeDocument/2006/relationships/hyperlink" Target="https://paperpile.com/c/8K6Yyt/kEblz" TargetMode="External"/><Relationship Id="rId39" Type="http://schemas.openxmlformats.org/officeDocument/2006/relationships/hyperlink" Target="http://paperpile.com/b/8K6Yyt/2Yf1F" TargetMode="External"/><Relationship Id="rId109" Type="http://schemas.openxmlformats.org/officeDocument/2006/relationships/hyperlink" Target="http://paperpile.com/b/8K6Yyt/jRndp" TargetMode="External"/><Relationship Id="rId34" Type="http://schemas.openxmlformats.org/officeDocument/2006/relationships/hyperlink" Target="http://paperpile.com/b/8K6Yyt/BlDDn" TargetMode="External"/><Relationship Id="rId50" Type="http://schemas.openxmlformats.org/officeDocument/2006/relationships/hyperlink" Target="http://paperpile.com/b/8K6Yyt/JuqE1" TargetMode="External"/><Relationship Id="rId55" Type="http://schemas.openxmlformats.org/officeDocument/2006/relationships/hyperlink" Target="http://paperpile.com/b/8K6Yyt/Sedr3" TargetMode="External"/><Relationship Id="rId76" Type="http://schemas.openxmlformats.org/officeDocument/2006/relationships/hyperlink" Target="http://paperpile.com/b/8K6Yyt/4TChI" TargetMode="External"/><Relationship Id="rId97" Type="http://schemas.openxmlformats.org/officeDocument/2006/relationships/hyperlink" Target="http://paperpile.com/b/8K6Yyt/kEblz" TargetMode="External"/><Relationship Id="rId104" Type="http://schemas.openxmlformats.org/officeDocument/2006/relationships/hyperlink" Target="http://paperpile.com/b/8K6Yyt/iSVMw" TargetMode="External"/><Relationship Id="rId120" Type="http://schemas.openxmlformats.org/officeDocument/2006/relationships/hyperlink" Target="http://paperpile.com/b/8K6Yyt/oiJc7" TargetMode="External"/><Relationship Id="rId125" Type="http://schemas.openxmlformats.org/officeDocument/2006/relationships/hyperlink" Target="http://paperpile.com/b/8K6Yyt/oiJc7" TargetMode="External"/><Relationship Id="rId7" Type="http://schemas.openxmlformats.org/officeDocument/2006/relationships/hyperlink" Target="https://paperpile.com/c/8K6Yyt/BlDDn" TargetMode="External"/><Relationship Id="rId71" Type="http://schemas.openxmlformats.org/officeDocument/2006/relationships/hyperlink" Target="http://paperpile.com/b/8K6Yyt/4TChI" TargetMode="External"/><Relationship Id="rId92" Type="http://schemas.openxmlformats.org/officeDocument/2006/relationships/hyperlink" Target="http://paperpile.com/b/8K6Yyt/jqPGy" TargetMode="External"/><Relationship Id="rId2" Type="http://schemas.openxmlformats.org/officeDocument/2006/relationships/settings" Target="settings.xml"/><Relationship Id="rId29" Type="http://schemas.openxmlformats.org/officeDocument/2006/relationships/hyperlink" Target="http://paperpile.com/b/8K6Yyt/jgwDj" TargetMode="External"/><Relationship Id="rId24" Type="http://schemas.openxmlformats.org/officeDocument/2006/relationships/hyperlink" Target="https://paperpile.com/c/8K6Yyt/iSVMw" TargetMode="External"/><Relationship Id="rId40" Type="http://schemas.openxmlformats.org/officeDocument/2006/relationships/hyperlink" Target="http://paperpile.com/b/8K6Yyt/2Yf1F" TargetMode="External"/><Relationship Id="rId45" Type="http://schemas.openxmlformats.org/officeDocument/2006/relationships/hyperlink" Target="http://paperpile.com/b/8K6Yyt/JuqE1" TargetMode="External"/><Relationship Id="rId66" Type="http://schemas.openxmlformats.org/officeDocument/2006/relationships/hyperlink" Target="http://paperpile.com/b/8K6Yyt/yHKzX" TargetMode="External"/><Relationship Id="rId87" Type="http://schemas.openxmlformats.org/officeDocument/2006/relationships/hyperlink" Target="http://paperpile.com/b/8K6Yyt/RZHfC" TargetMode="External"/><Relationship Id="rId110" Type="http://schemas.openxmlformats.org/officeDocument/2006/relationships/hyperlink" Target="http://paperpile.com/b/8K6Yyt/jRndp" TargetMode="External"/><Relationship Id="rId115" Type="http://schemas.openxmlformats.org/officeDocument/2006/relationships/hyperlink" Target="http://paperpile.com/b/8K6Yyt/IMH3" TargetMode="External"/><Relationship Id="rId131" Type="http://schemas.openxmlformats.org/officeDocument/2006/relationships/hyperlink" Target="http://paperpile.com/b/8K6Yyt/NEyR" TargetMode="External"/><Relationship Id="rId61" Type="http://schemas.openxmlformats.org/officeDocument/2006/relationships/hyperlink" Target="http://paperpile.com/b/8K6Yyt/zzyBP" TargetMode="External"/><Relationship Id="rId82" Type="http://schemas.openxmlformats.org/officeDocument/2006/relationships/hyperlink" Target="http://paperpile.com/b/8K6Yyt/66rEM" TargetMode="External"/><Relationship Id="rId19" Type="http://schemas.openxmlformats.org/officeDocument/2006/relationships/hyperlink" Target="https://paperpile.com/c/8K6Yyt/iSVMw" TargetMode="External"/><Relationship Id="rId14" Type="http://schemas.openxmlformats.org/officeDocument/2006/relationships/hyperlink" Target="https://paperpile.com/c/8K6Yyt/mtjTO" TargetMode="External"/><Relationship Id="rId30" Type="http://schemas.openxmlformats.org/officeDocument/2006/relationships/hyperlink" Target="http://paperpile.com/b/8K6Yyt/jgwDj" TargetMode="External"/><Relationship Id="rId35" Type="http://schemas.openxmlformats.org/officeDocument/2006/relationships/hyperlink" Target="http://paperpile.com/b/8K6Yyt/BlDDn" TargetMode="External"/><Relationship Id="rId56" Type="http://schemas.openxmlformats.org/officeDocument/2006/relationships/hyperlink" Target="http://paperpile.com/b/8K6Yyt/Sedr3" TargetMode="External"/><Relationship Id="rId77" Type="http://schemas.openxmlformats.org/officeDocument/2006/relationships/hyperlink" Target="http://paperpile.com/b/8K6Yyt/mtjTO" TargetMode="External"/><Relationship Id="rId100" Type="http://schemas.openxmlformats.org/officeDocument/2006/relationships/hyperlink" Target="http://paperpile.com/b/8K6Yyt/iSVMw" TargetMode="External"/><Relationship Id="rId105" Type="http://schemas.openxmlformats.org/officeDocument/2006/relationships/hyperlink" Target="http://paperpile.com/b/8K6Yyt/jRndp" TargetMode="External"/><Relationship Id="rId126" Type="http://schemas.openxmlformats.org/officeDocument/2006/relationships/hyperlink" Target="http://paperpile.com/b/8K6Yyt/NEyR" TargetMode="External"/><Relationship Id="rId8" Type="http://schemas.openxmlformats.org/officeDocument/2006/relationships/hyperlink" Target="https://paperpile.com/c/8K6Yyt/2Yf1F" TargetMode="External"/><Relationship Id="rId51" Type="http://schemas.openxmlformats.org/officeDocument/2006/relationships/hyperlink" Target="http://paperpile.com/b/8K6Yyt/Sedr3" TargetMode="External"/><Relationship Id="rId72" Type="http://schemas.openxmlformats.org/officeDocument/2006/relationships/hyperlink" Target="http://paperpile.com/b/8K6Yyt/4TChI" TargetMode="External"/><Relationship Id="rId93" Type="http://schemas.openxmlformats.org/officeDocument/2006/relationships/hyperlink" Target="http://paperpile.com/b/8K6Yyt/jqPGy" TargetMode="External"/><Relationship Id="rId98" Type="http://schemas.openxmlformats.org/officeDocument/2006/relationships/hyperlink" Target="http://paperpile.com/b/8K6Yyt/kEblz" TargetMode="External"/><Relationship Id="rId121" Type="http://schemas.openxmlformats.org/officeDocument/2006/relationships/hyperlink" Target="http://paperpile.com/b/8K6Yyt/oiJc7" TargetMode="External"/><Relationship Id="rId3" Type="http://schemas.openxmlformats.org/officeDocument/2006/relationships/webSettings" Target="webSettings.xml"/><Relationship Id="rId25" Type="http://schemas.openxmlformats.org/officeDocument/2006/relationships/hyperlink" Target="https://paperpile.com/c/8K6Yyt/oiJc7" TargetMode="External"/><Relationship Id="rId46" Type="http://schemas.openxmlformats.org/officeDocument/2006/relationships/hyperlink" Target="http://paperpile.com/b/8K6Yyt/JuqE1" TargetMode="External"/><Relationship Id="rId67" Type="http://schemas.openxmlformats.org/officeDocument/2006/relationships/hyperlink" Target="http://paperpile.com/b/8K6Yyt/yHKzX" TargetMode="External"/><Relationship Id="rId116" Type="http://schemas.openxmlformats.org/officeDocument/2006/relationships/hyperlink" Target="http://paperpile.com/b/8K6Yyt/IMH3" TargetMode="External"/><Relationship Id="rId20" Type="http://schemas.openxmlformats.org/officeDocument/2006/relationships/hyperlink" Target="https://paperpile.com/c/8K6Yyt/zzyBP" TargetMode="External"/><Relationship Id="rId41" Type="http://schemas.openxmlformats.org/officeDocument/2006/relationships/hyperlink" Target="http://paperpile.com/b/8K6Yyt/2Yf1F" TargetMode="External"/><Relationship Id="rId62" Type="http://schemas.openxmlformats.org/officeDocument/2006/relationships/hyperlink" Target="http://paperpile.com/b/8K6Yyt/zzyBP" TargetMode="External"/><Relationship Id="rId83" Type="http://schemas.openxmlformats.org/officeDocument/2006/relationships/hyperlink" Target="http://paperpile.com/b/8K6Yyt/66rEM" TargetMode="External"/><Relationship Id="rId88" Type="http://schemas.openxmlformats.org/officeDocument/2006/relationships/hyperlink" Target="http://paperpile.com/b/8K6Yyt/RZHfC" TargetMode="External"/><Relationship Id="rId111" Type="http://schemas.openxmlformats.org/officeDocument/2006/relationships/hyperlink" Target="http://paperpile.com/b/8K6Yyt/jRndp" TargetMode="External"/><Relationship Id="rId132" Type="http://schemas.openxmlformats.org/officeDocument/2006/relationships/hyperlink" Target="http://paperpile.com/b/8K6Yyt/NEyR" TargetMode="External"/><Relationship Id="rId15" Type="http://schemas.openxmlformats.org/officeDocument/2006/relationships/hyperlink" Target="https://paperpile.com/c/8K6Yyt/66rEM" TargetMode="External"/><Relationship Id="rId36" Type="http://schemas.openxmlformats.org/officeDocument/2006/relationships/hyperlink" Target="http://paperpile.com/b/8K6Yyt/BlDDn" TargetMode="External"/><Relationship Id="rId57" Type="http://schemas.openxmlformats.org/officeDocument/2006/relationships/hyperlink" Target="http://paperpile.com/b/8K6Yyt/Sedr3" TargetMode="External"/><Relationship Id="rId106" Type="http://schemas.openxmlformats.org/officeDocument/2006/relationships/hyperlink" Target="http://paperpile.com/b/8K6Yyt/jRndp" TargetMode="External"/><Relationship Id="rId127" Type="http://schemas.openxmlformats.org/officeDocument/2006/relationships/hyperlink" Target="http://paperpile.com/b/8K6Yyt/NEyR" TargetMode="External"/><Relationship Id="rId10" Type="http://schemas.openxmlformats.org/officeDocument/2006/relationships/hyperlink" Target="https://paperpile.com/c/8K6Yyt/Sedr3" TargetMode="External"/><Relationship Id="rId31" Type="http://schemas.openxmlformats.org/officeDocument/2006/relationships/hyperlink" Target="http://paperpile.com/b/8K6Yyt/jgwDj" TargetMode="External"/><Relationship Id="rId52" Type="http://schemas.openxmlformats.org/officeDocument/2006/relationships/hyperlink" Target="http://paperpile.com/b/8K6Yyt/Sedr3" TargetMode="External"/><Relationship Id="rId73" Type="http://schemas.openxmlformats.org/officeDocument/2006/relationships/hyperlink" Target="http://paperpile.com/b/8K6Yyt/4TChI" TargetMode="External"/><Relationship Id="rId78" Type="http://schemas.openxmlformats.org/officeDocument/2006/relationships/hyperlink" Target="http://paperpile.com/b/8K6Yyt/mtjTO" TargetMode="External"/><Relationship Id="rId94" Type="http://schemas.openxmlformats.org/officeDocument/2006/relationships/hyperlink" Target="http://paperpile.com/b/8K6Yyt/jqPGy" TargetMode="External"/><Relationship Id="rId99" Type="http://schemas.openxmlformats.org/officeDocument/2006/relationships/hyperlink" Target="http://paperpile.com/b/8K6Yyt/kEblz" TargetMode="External"/><Relationship Id="rId101" Type="http://schemas.openxmlformats.org/officeDocument/2006/relationships/hyperlink" Target="http://paperpile.com/b/8K6Yyt/iSVMw" TargetMode="External"/><Relationship Id="rId122" Type="http://schemas.openxmlformats.org/officeDocument/2006/relationships/hyperlink" Target="http://paperpile.com/b/8K6Yyt/oiJc7" TargetMode="External"/><Relationship Id="rId4" Type="http://schemas.openxmlformats.org/officeDocument/2006/relationships/hyperlink" Target="mailto:m.harakalova@umcutrecht.nl" TargetMode="External"/><Relationship Id="rId9" Type="http://schemas.openxmlformats.org/officeDocument/2006/relationships/hyperlink" Target="https://paperpile.com/c/8K6Yyt/JuqE1" TargetMode="External"/><Relationship Id="rId26" Type="http://schemas.openxmlformats.org/officeDocument/2006/relationships/hyperlink" Target="https://paperpile.com/c/8K6Yyt/NEyR" TargetMode="External"/><Relationship Id="rId47" Type="http://schemas.openxmlformats.org/officeDocument/2006/relationships/hyperlink" Target="http://paperpile.com/b/8K6Yyt/JuqE1" TargetMode="External"/><Relationship Id="rId68" Type="http://schemas.openxmlformats.org/officeDocument/2006/relationships/hyperlink" Target="http://paperpile.com/b/8K6Yyt/yHKzX" TargetMode="External"/><Relationship Id="rId89" Type="http://schemas.openxmlformats.org/officeDocument/2006/relationships/hyperlink" Target="http://paperpile.com/b/8K6Yyt/RZHfC" TargetMode="External"/><Relationship Id="rId112" Type="http://schemas.openxmlformats.org/officeDocument/2006/relationships/hyperlink" Target="http://paperpile.com/b/8K6Yyt/IMH3" TargetMode="External"/><Relationship Id="rId13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5394</Words>
  <Characters>30749</Characters>
  <Application>Microsoft Office Word</Application>
  <DocSecurity>0</DocSecurity>
  <Lines>256</Lines>
  <Paragraphs>72</Paragraphs>
  <ScaleCrop>false</ScaleCrop>
  <Company/>
  <LinksUpToDate>false</LinksUpToDate>
  <CharactersWithSpaces>36071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Jiayi Pei</cp:lastModifiedBy>
  <cp:revision>2</cp:revision>
  <dcterms:created xsi:type="dcterms:W3CDTF">2022-07-27T13:39:00Z</dcterms:created>
  <dcterms:modified xsi:type="dcterms:W3CDTF">2022-07-27T13:40:00Z</dcterms:modified>
</cp:coreProperties>
</file>