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Arial"/>
          <w:b/>
          <w:bCs w:val="0"/>
          <w:color w:val="auto"/>
          <w:sz w:val="24"/>
          <w:szCs w:val="21"/>
          <w:shd w:val="clear" w:color="auto" w:fill="FFFFFF"/>
          <w:lang w:val="en-US" w:eastAsia="zh-CN"/>
        </w:rPr>
      </w:pPr>
      <w:r>
        <w:rPr>
          <w:rFonts w:hint="eastAsia" w:ascii="Times New Roman" w:hAnsi="Times New Roman" w:cs="Arial"/>
          <w:b/>
          <w:bCs w:val="0"/>
          <w:color w:val="auto"/>
          <w:sz w:val="24"/>
          <w:szCs w:val="21"/>
          <w:shd w:val="clear" w:color="auto" w:fill="FFFFFF"/>
          <w:lang w:val="en-US" w:eastAsia="zh-CN"/>
        </w:rPr>
        <w:t>Supplementary Table S1. The new European Kidney Function Consortium equation</w:t>
      </w:r>
    </w:p>
    <w:p>
      <w:pPr>
        <w:rPr>
          <w:rFonts w:hint="eastAsia" w:ascii="Times New Roman" w:hAnsi="Times New Roman" w:cs="Arial"/>
          <w:b/>
          <w:bCs w:val="0"/>
          <w:color w:val="auto"/>
          <w:sz w:val="24"/>
          <w:szCs w:val="21"/>
          <w:shd w:val="clear" w:color="auto" w:fill="FFFFFF"/>
          <w:lang w:val="en-US" w:eastAsia="zh-CN"/>
        </w:rPr>
      </w:pPr>
    </w:p>
    <w:tbl>
      <w:tblPr>
        <w:tblStyle w:val="3"/>
        <w:tblpPr w:leftFromText="180" w:rightFromText="180" w:vertAnchor="text" w:horzAnchor="page" w:tblpX="2872" w:tblpY="229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027"/>
        <w:gridCol w:w="346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2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Age</w:t>
            </w:r>
          </w:p>
        </w:tc>
        <w:tc>
          <w:tcPr>
            <w:tcW w:w="102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Scr/Q</w:t>
            </w:r>
          </w:p>
        </w:tc>
        <w:tc>
          <w:tcPr>
            <w:tcW w:w="346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Equation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2-40 y</w:t>
            </w:r>
          </w:p>
        </w:tc>
        <w:tc>
          <w:tcPr>
            <w:tcW w:w="1027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&lt;1</w:t>
            </w:r>
          </w:p>
        </w:tc>
        <w:tc>
          <w:tcPr>
            <w:tcW w:w="3464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107.3×(Scr/Q)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-0.322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02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≥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46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107.3×(Scr/Q)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-1.132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Q values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For ages 2-25 y: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Males: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ln(Q)=3.200 + 0.259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× Age - 0.543 × ln(Age) - 0.00763 × Age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 xml:space="preserve">2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+ 0.0000790 × Age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Females: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ln(Q)=3.080 + 0.177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× Age - 0.223 × ln(Age) - 0.00596 × Age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 xml:space="preserve">2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+ 0.0000686 × Age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Q values (in </w:t>
      </w:r>
      <w:r>
        <w:rPr>
          <w:rFonts w:hint="default" w:ascii="Times New Roman" w:hAnsi="Times New Roman" w:eastAsia="微软雅黑" w:cs="Times New Roman"/>
          <w:b w:val="0"/>
          <w:bCs w:val="0"/>
          <w:sz w:val="24"/>
          <w:szCs w:val="24"/>
          <w:lang w:val="en-US" w:eastAsia="zh-CN"/>
        </w:rPr>
        <w:t>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mol/L or mg/dL) correspond to the median Scr values for the age- and sex-specific populations. Scr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serum creatinine.</w:t>
      </w:r>
      <w:bookmarkStart w:id="0" w:name="_GoBack"/>
      <w:bookmarkEnd w:id="0"/>
    </w:p>
    <w:p>
      <w:pPr>
        <w:rPr>
          <w:rFonts w:hint="eastAsia" w:ascii="Times New Roman" w:hAnsi="Times New Roman" w:cs="Arial"/>
          <w:b/>
          <w:bCs w:val="0"/>
          <w:color w:val="auto"/>
          <w:sz w:val="24"/>
          <w:szCs w:val="21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C3987"/>
    <w:rsid w:val="41E80A80"/>
    <w:rsid w:val="42AC3987"/>
    <w:rsid w:val="5F5E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/>
      <w:bCs/>
      <w:color w:val="000000" w:themeColor="text1"/>
      <w:kern w:val="2"/>
      <w:sz w:val="28"/>
      <w:szCs w:val="28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2022-06-05T12:40:00Z</dcterms:created>
  <dc:creator>杨永昌</dc:creator>
  <cp:lastModifiedBy>杨永昌</cp:lastModifiedBy>
  <dcterms:modified xsi:type="dcterms:W3CDTF">2022-06-05T12:42:19Z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