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99AD" w14:textId="77777777" w:rsidR="009A1296" w:rsidRPr="00C678D3" w:rsidRDefault="009A1296" w:rsidP="009A1296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678D3">
        <w:rPr>
          <w:rFonts w:ascii="Arial" w:hAnsi="Arial" w:cs="Arial" w:hint="eastAsia"/>
          <w:b/>
          <w:bCs/>
          <w:color w:val="000000" w:themeColor="text1"/>
          <w:sz w:val="24"/>
          <w:szCs w:val="24"/>
        </w:rPr>
        <w:t>S</w:t>
      </w:r>
      <w:r w:rsidRPr="00C678D3">
        <w:rPr>
          <w:rFonts w:ascii="Arial" w:hAnsi="Arial" w:cs="Arial"/>
          <w:b/>
          <w:bCs/>
          <w:color w:val="000000" w:themeColor="text1"/>
          <w:sz w:val="24"/>
          <w:szCs w:val="24"/>
        </w:rPr>
        <w:t>upplemental material</w:t>
      </w:r>
    </w:p>
    <w:p w14:paraId="08A6776A" w14:textId="77777777" w:rsidR="009A1296" w:rsidRPr="00C678D3" w:rsidRDefault="009A1296" w:rsidP="009A1296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678D3">
        <w:rPr>
          <w:rFonts w:ascii="Arial" w:hAnsi="Arial" w:cs="Arial"/>
          <w:b/>
          <w:bCs/>
          <w:color w:val="000000" w:themeColor="text1"/>
          <w:sz w:val="24"/>
          <w:szCs w:val="24"/>
        </w:rPr>
        <w:t>Figure legend</w:t>
      </w:r>
    </w:p>
    <w:p w14:paraId="753FD0C1" w14:textId="77777777" w:rsidR="009A1296" w:rsidRPr="00C678D3" w:rsidRDefault="009A1296" w:rsidP="009A1296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3"/>
        </w:rPr>
      </w:pPr>
      <w:r w:rsidRPr="00C678D3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Figure 1.</w:t>
      </w:r>
      <w:r w:rsidRPr="00C678D3">
        <w:rPr>
          <w:rFonts w:ascii="Arial" w:hAnsi="Arial" w:cs="Arial" w:hint="eastAsia"/>
          <w:b/>
          <w:bCs/>
          <w:color w:val="000000" w:themeColor="text1"/>
          <w:sz w:val="24"/>
          <w:szCs w:val="23"/>
        </w:rPr>
        <w:t xml:space="preserve"> Q</w:t>
      </w:r>
      <w:r w:rsidRPr="00C678D3">
        <w:rPr>
          <w:rFonts w:ascii="Arial" w:hAnsi="Arial" w:cs="Arial"/>
          <w:b/>
          <w:bCs/>
          <w:color w:val="000000" w:themeColor="text1"/>
          <w:sz w:val="24"/>
          <w:szCs w:val="23"/>
        </w:rPr>
        <w:t>uality</w:t>
      </w:r>
      <w:r w:rsidRPr="00C678D3">
        <w:rPr>
          <w:rFonts w:ascii="Arial" w:hAnsi="Arial" w:cs="Arial" w:hint="eastAsia"/>
          <w:b/>
          <w:bCs/>
          <w:color w:val="000000" w:themeColor="text1"/>
          <w:sz w:val="24"/>
          <w:szCs w:val="23"/>
        </w:rPr>
        <w:t xml:space="preserve"> validation</w:t>
      </w:r>
      <w:r w:rsidRPr="00C678D3">
        <w:rPr>
          <w:rFonts w:ascii="Arial" w:hAnsi="Arial" w:cs="Arial"/>
          <w:b/>
          <w:bCs/>
          <w:color w:val="000000" w:themeColor="text1"/>
          <w:sz w:val="24"/>
          <w:szCs w:val="23"/>
        </w:rPr>
        <w:t xml:space="preserve"> of </w:t>
      </w:r>
      <w:r w:rsidRPr="00C678D3">
        <w:rPr>
          <w:rFonts w:ascii="Arial" w:hAnsi="Arial" w:cs="Arial" w:hint="eastAsia"/>
          <w:b/>
          <w:bCs/>
          <w:color w:val="000000" w:themeColor="text1"/>
          <w:sz w:val="24"/>
          <w:szCs w:val="23"/>
        </w:rPr>
        <w:t xml:space="preserve">the </w:t>
      </w:r>
      <w:proofErr w:type="spellStart"/>
      <w:r w:rsidRPr="00C678D3">
        <w:rPr>
          <w:rFonts w:ascii="Arial" w:hAnsi="Arial" w:cs="Arial"/>
          <w:b/>
          <w:bCs/>
          <w:color w:val="000000" w:themeColor="text1"/>
          <w:sz w:val="24"/>
          <w:szCs w:val="23"/>
        </w:rPr>
        <w:t>RNAseq</w:t>
      </w:r>
      <w:proofErr w:type="spellEnd"/>
      <w:r w:rsidRPr="00C678D3">
        <w:rPr>
          <w:rFonts w:ascii="Arial" w:hAnsi="Arial" w:cs="Arial" w:hint="eastAsia"/>
          <w:b/>
          <w:bCs/>
          <w:color w:val="000000" w:themeColor="text1"/>
          <w:sz w:val="24"/>
          <w:szCs w:val="23"/>
        </w:rPr>
        <w:t xml:space="preserve"> data </w:t>
      </w:r>
      <w:r w:rsidRPr="00C678D3">
        <w:rPr>
          <w:rFonts w:ascii="Arial" w:hAnsi="Arial" w:cs="Arial"/>
          <w:b/>
          <w:bCs/>
          <w:color w:val="000000" w:themeColor="text1"/>
          <w:sz w:val="24"/>
          <w:szCs w:val="23"/>
        </w:rPr>
        <w:t xml:space="preserve">from </w:t>
      </w:r>
      <w:r w:rsidRPr="00C678D3">
        <w:rPr>
          <w:rFonts w:ascii="Arial" w:hAnsi="Arial" w:cs="Arial" w:hint="eastAsia"/>
          <w:b/>
          <w:bCs/>
          <w:color w:val="000000" w:themeColor="text1"/>
          <w:sz w:val="24"/>
          <w:szCs w:val="23"/>
        </w:rPr>
        <w:t>each</w:t>
      </w:r>
      <w:r w:rsidRPr="00C678D3">
        <w:rPr>
          <w:rFonts w:ascii="Arial" w:hAnsi="Arial" w:cs="Arial"/>
          <w:b/>
          <w:bCs/>
          <w:color w:val="000000" w:themeColor="text1"/>
          <w:sz w:val="24"/>
          <w:szCs w:val="23"/>
        </w:rPr>
        <w:t xml:space="preserve"> </w:t>
      </w:r>
      <w:r w:rsidRPr="00C678D3">
        <w:rPr>
          <w:rFonts w:ascii="Arial" w:hAnsi="Arial" w:cs="Arial" w:hint="eastAsia"/>
          <w:b/>
          <w:bCs/>
          <w:color w:val="000000" w:themeColor="text1"/>
          <w:sz w:val="24"/>
          <w:szCs w:val="23"/>
        </w:rPr>
        <w:t>sample</w:t>
      </w:r>
    </w:p>
    <w:p w14:paraId="2C38859C" w14:textId="77777777" w:rsidR="009A1296" w:rsidRPr="00C678D3" w:rsidRDefault="009A1296" w:rsidP="009A1296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678D3">
        <w:rPr>
          <w:rFonts w:ascii="Arial" w:hAnsi="Arial" w:cs="Arial"/>
          <w:b/>
          <w:color w:val="000000" w:themeColor="text1"/>
          <w:sz w:val="24"/>
          <w:szCs w:val="23"/>
        </w:rPr>
        <w:t>A</w:t>
      </w:r>
      <w:r w:rsidRPr="00C678D3">
        <w:rPr>
          <w:rFonts w:ascii="Arial" w:hAnsi="Arial" w:cs="Arial" w:hint="eastAsia"/>
          <w:b/>
          <w:color w:val="000000" w:themeColor="text1"/>
          <w:sz w:val="24"/>
          <w:szCs w:val="23"/>
        </w:rPr>
        <w:t xml:space="preserve"> </w:t>
      </w:r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>G</w:t>
      </w:r>
      <w:r w:rsidRPr="00C678D3">
        <w:rPr>
          <w:rFonts w:ascii="Arial" w:hAnsi="Arial" w:cs="Arial"/>
          <w:color w:val="000000" w:themeColor="text1"/>
          <w:sz w:val="24"/>
          <w:szCs w:val="23"/>
        </w:rPr>
        <w:t xml:space="preserve">ene expression distribution of </w:t>
      </w:r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 xml:space="preserve">the </w:t>
      </w:r>
      <w:proofErr w:type="spellStart"/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>RNAseq</w:t>
      </w:r>
      <w:proofErr w:type="spellEnd"/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 xml:space="preserve"> results from </w:t>
      </w:r>
      <w:r w:rsidRPr="00C678D3">
        <w:rPr>
          <w:rFonts w:ascii="Arial" w:hAnsi="Arial" w:cs="Arial"/>
          <w:color w:val="000000" w:themeColor="text1"/>
          <w:sz w:val="24"/>
          <w:szCs w:val="23"/>
        </w:rPr>
        <w:t xml:space="preserve">each </w:t>
      </w:r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>sample</w:t>
      </w:r>
      <w:r w:rsidRPr="00C678D3">
        <w:rPr>
          <w:rFonts w:ascii="Arial" w:hAnsi="Arial" w:cs="Arial"/>
          <w:color w:val="000000" w:themeColor="text1"/>
          <w:sz w:val="24"/>
          <w:szCs w:val="23"/>
        </w:rPr>
        <w:t>.</w:t>
      </w:r>
      <w:r w:rsidRPr="00C678D3">
        <w:rPr>
          <w:rFonts w:ascii="Arial" w:hAnsi="Arial" w:cs="Arial" w:hint="eastAsia"/>
          <w:b/>
          <w:bCs/>
          <w:color w:val="000000" w:themeColor="text1"/>
          <w:sz w:val="24"/>
          <w:szCs w:val="23"/>
        </w:rPr>
        <w:t xml:space="preserve"> </w:t>
      </w:r>
      <w:r w:rsidRPr="00C678D3">
        <w:rPr>
          <w:rFonts w:ascii="Arial" w:hAnsi="Arial" w:cs="Arial"/>
          <w:b/>
          <w:bCs/>
          <w:color w:val="000000" w:themeColor="text1"/>
          <w:sz w:val="24"/>
          <w:szCs w:val="23"/>
        </w:rPr>
        <w:t>B</w:t>
      </w:r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 xml:space="preserve"> </w:t>
      </w:r>
      <w:r w:rsidRPr="00C678D3">
        <w:rPr>
          <w:rFonts w:ascii="Arial" w:hAnsi="Arial" w:cs="Arial"/>
          <w:color w:val="000000" w:themeColor="text1"/>
          <w:sz w:val="24"/>
          <w:szCs w:val="23"/>
        </w:rPr>
        <w:t>Heatmap</w:t>
      </w:r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 xml:space="preserve"> </w:t>
      </w:r>
      <w:r w:rsidRPr="00C678D3">
        <w:rPr>
          <w:rFonts w:ascii="Arial" w:hAnsi="Arial" w:cs="Arial"/>
          <w:color w:val="000000" w:themeColor="text1"/>
          <w:sz w:val="24"/>
          <w:szCs w:val="23"/>
        </w:rPr>
        <w:t>of</w:t>
      </w:r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 xml:space="preserve"> </w:t>
      </w:r>
      <w:r w:rsidRPr="00C678D3">
        <w:rPr>
          <w:rFonts w:ascii="Arial" w:hAnsi="Arial" w:cs="Arial"/>
          <w:color w:val="000000" w:themeColor="text1"/>
          <w:sz w:val="24"/>
          <w:szCs w:val="23"/>
        </w:rPr>
        <w:t>the</w:t>
      </w:r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 xml:space="preserve"> </w:t>
      </w:r>
      <w:proofErr w:type="spellStart"/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>RNAseq</w:t>
      </w:r>
      <w:proofErr w:type="spellEnd"/>
      <w:r w:rsidRPr="00C678D3">
        <w:rPr>
          <w:rFonts w:ascii="Arial" w:hAnsi="Arial" w:cs="Arial" w:hint="eastAsia"/>
          <w:color w:val="000000" w:themeColor="text1"/>
          <w:sz w:val="24"/>
          <w:szCs w:val="23"/>
        </w:rPr>
        <w:t xml:space="preserve"> data</w:t>
      </w:r>
      <w:r w:rsidRPr="00C678D3">
        <w:rPr>
          <w:rFonts w:ascii="Arial" w:hAnsi="Arial" w:cs="Arial"/>
          <w:color w:val="000000" w:themeColor="text1"/>
          <w:sz w:val="24"/>
          <w:szCs w:val="23"/>
        </w:rPr>
        <w:t xml:space="preserve"> correlation between each sample with the Pearson method.</w:t>
      </w:r>
    </w:p>
    <w:p w14:paraId="0F6A7124" w14:textId="77777777" w:rsidR="009A1296" w:rsidRPr="00C678D3" w:rsidRDefault="009A1296" w:rsidP="009A1296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1831FCA" w14:textId="77777777" w:rsidR="009A1296" w:rsidRPr="00C678D3" w:rsidRDefault="009A1296" w:rsidP="009A1296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678D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Supplementary Figure 2. KEGG pathway enrichment analysis of DEGs </w:t>
      </w:r>
      <w:r w:rsidRPr="00C678D3">
        <w:rPr>
          <w:rFonts w:ascii="Arial" w:hAnsi="Arial" w:cs="Arial"/>
          <w:b/>
          <w:color w:val="000000" w:themeColor="text1"/>
          <w:sz w:val="24"/>
          <w:szCs w:val="24"/>
        </w:rPr>
        <w:t>in mouse DRG and spinal cord</w:t>
      </w:r>
      <w:r w:rsidRPr="00C678D3">
        <w:rPr>
          <w:rFonts w:ascii="Arial" w:hAnsi="Arial" w:cs="Arial"/>
          <w:b/>
          <w:color w:val="000000" w:themeColor="text1"/>
          <w:sz w:val="24"/>
          <w:szCs w:val="23"/>
        </w:rPr>
        <w:t xml:space="preserve"> after </w:t>
      </w:r>
      <w:r w:rsidRPr="00C678D3">
        <w:rPr>
          <w:rFonts w:ascii="Arial" w:hAnsi="Arial" w:cs="Arial"/>
          <w:b/>
          <w:bCs/>
          <w:color w:val="000000" w:themeColor="text1"/>
          <w:sz w:val="24"/>
          <w:szCs w:val="23"/>
        </w:rPr>
        <w:t>HS</w:t>
      </w:r>
      <w:r w:rsidRPr="00C678D3">
        <w:rPr>
          <w:rFonts w:ascii="Arial" w:hAnsi="Arial" w:cs="Arial" w:hint="eastAsia"/>
          <w:b/>
          <w:bCs/>
          <w:color w:val="000000" w:themeColor="text1"/>
          <w:sz w:val="24"/>
          <w:szCs w:val="23"/>
        </w:rPr>
        <w:t>V</w:t>
      </w:r>
      <w:r w:rsidRPr="00C678D3">
        <w:rPr>
          <w:rFonts w:ascii="Arial" w:hAnsi="Arial" w:cs="Arial"/>
          <w:b/>
          <w:bCs/>
          <w:color w:val="000000" w:themeColor="text1"/>
          <w:sz w:val="24"/>
          <w:szCs w:val="23"/>
        </w:rPr>
        <w:t>-1 inoculation</w:t>
      </w:r>
    </w:p>
    <w:p w14:paraId="1E673438" w14:textId="77777777" w:rsidR="009A1296" w:rsidRPr="0095277B" w:rsidRDefault="009A1296" w:rsidP="009A1296">
      <w:pPr>
        <w:spacing w:line="360" w:lineRule="auto"/>
        <w:rPr>
          <w:rFonts w:ascii="Arial" w:hAnsi="Arial" w:cs="Arial"/>
          <w:bCs/>
          <w:color w:val="231F20"/>
          <w:sz w:val="24"/>
          <w:szCs w:val="23"/>
        </w:rPr>
      </w:pPr>
      <w:r w:rsidRPr="00C678D3">
        <w:rPr>
          <w:rFonts w:ascii="Arial" w:hAnsi="Arial" w:cs="Arial"/>
          <w:b/>
          <w:bCs/>
          <w:color w:val="000000" w:themeColor="text1"/>
          <w:sz w:val="24"/>
          <w:szCs w:val="24"/>
        </w:rPr>
        <w:t>A and B</w:t>
      </w:r>
      <w:r w:rsidRPr="00C678D3">
        <w:rPr>
          <w:rFonts w:ascii="Arial" w:hAnsi="Arial" w:cs="Arial"/>
          <w:color w:val="000000" w:themeColor="text1"/>
          <w:sz w:val="24"/>
          <w:szCs w:val="24"/>
        </w:rPr>
        <w:t xml:space="preserve"> The functional analysis of cytokine-cytokine receptor interaction pathway with data from the DRG (A) and spinal cord (B) in mice after HSV-1 inoculation. The red blocks indicate the up-regulated genes and the green blocks indicate the down-regulated genes.</w:t>
      </w:r>
    </w:p>
    <w:p w14:paraId="13E48E80" w14:textId="77777777" w:rsidR="00180FC1" w:rsidRPr="009A1296" w:rsidRDefault="00180FC1"/>
    <w:sectPr w:rsidR="00180FC1" w:rsidRPr="009A1296" w:rsidSect="004102A5">
      <w:footerReference w:type="default" r:id="rId4"/>
      <w:pgSz w:w="11906" w:h="16838"/>
      <w:pgMar w:top="1440" w:right="1800" w:bottom="1440" w:left="1800" w:header="851" w:footer="90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76062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84B05C8" w14:textId="77777777" w:rsidR="0003149C" w:rsidRPr="009C2F53" w:rsidRDefault="00000000" w:rsidP="004102A5">
        <w:pPr>
          <w:pStyle w:val="a3"/>
          <w:jc w:val="center"/>
          <w:rPr>
            <w:rFonts w:ascii="Arial" w:hAnsi="Arial" w:cs="Arial"/>
          </w:rPr>
        </w:pPr>
        <w:r w:rsidRPr="009C2F53">
          <w:rPr>
            <w:rFonts w:ascii="Arial" w:hAnsi="Arial" w:cs="Arial"/>
          </w:rPr>
          <w:fldChar w:fldCharType="begin"/>
        </w:r>
        <w:r w:rsidRPr="009C2F53">
          <w:rPr>
            <w:rFonts w:ascii="Arial" w:hAnsi="Arial" w:cs="Arial"/>
          </w:rPr>
          <w:instrText>PAGE   \* MERGEFORMAT</w:instrText>
        </w:r>
        <w:r w:rsidRPr="009C2F53">
          <w:rPr>
            <w:rFonts w:ascii="Arial" w:hAnsi="Arial" w:cs="Arial"/>
          </w:rPr>
          <w:fldChar w:fldCharType="separate"/>
        </w:r>
        <w:r w:rsidRPr="00BC03BD">
          <w:rPr>
            <w:rFonts w:ascii="Arial" w:hAnsi="Arial" w:cs="Arial"/>
            <w:noProof/>
            <w:lang w:val="zh-CN"/>
          </w:rPr>
          <w:t>1</w:t>
        </w:r>
        <w:r w:rsidRPr="009C2F53">
          <w:rPr>
            <w:rFonts w:ascii="Arial" w:hAnsi="Arial" w:cs="Arial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96"/>
    <w:rsid w:val="00180FC1"/>
    <w:rsid w:val="009A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E5A1D"/>
  <w15:chartTrackingRefBased/>
  <w15:docId w15:val="{67EA8A44-D1A9-4AA5-9637-EA15DF90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2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12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A12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2022-07-19T07:37:00Z</dcterms:created>
  <dcterms:modified xsi:type="dcterms:W3CDTF">2022-07-19T07:37:00Z</dcterms:modified>
</cp:coreProperties>
</file>