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0351" w:rsidRPr="00D41953" w:rsidRDefault="00690351" w:rsidP="00690351">
      <w:pPr>
        <w:pStyle w:val="Body"/>
        <w:spacing w:line="360" w:lineRule="auto"/>
        <w:rPr>
          <w:rFonts w:ascii="Arial" w:hAnsi="Arial" w:cs="Arial"/>
          <w:sz w:val="24"/>
        </w:rPr>
      </w:pPr>
      <w:r w:rsidRPr="00D41953">
        <w:rPr>
          <w:rFonts w:ascii="Arial" w:hAnsi="Arial" w:cs="Arial"/>
          <w:sz w:val="24"/>
        </w:rPr>
        <w:t>Supplementary Figures:</w:t>
      </w:r>
    </w:p>
    <w:p w:rsidR="00690351" w:rsidRPr="00D41953" w:rsidRDefault="00690351" w:rsidP="00690351">
      <w:pPr>
        <w:pStyle w:val="Body"/>
        <w:spacing w:line="360" w:lineRule="auto"/>
        <w:rPr>
          <w:rFonts w:ascii="Arial" w:hAnsi="Arial" w:cs="Arial"/>
        </w:rPr>
      </w:pPr>
    </w:p>
    <w:p w:rsidR="00690351" w:rsidRPr="00D41953" w:rsidRDefault="00690351" w:rsidP="00690351">
      <w:pPr>
        <w:pStyle w:val="Body"/>
        <w:spacing w:line="360" w:lineRule="auto"/>
        <w:jc w:val="both"/>
        <w:rPr>
          <w:rFonts w:ascii="Arial" w:hAnsi="Arial" w:cs="Arial"/>
        </w:rPr>
      </w:pPr>
      <w:r w:rsidRPr="00D41953">
        <w:rPr>
          <w:rFonts w:ascii="Arial" w:hAnsi="Arial" w:cs="Arial"/>
          <w:b/>
          <w:bCs/>
        </w:rPr>
        <w:t xml:space="preserve">Fig S1. </w:t>
      </w:r>
      <w:r w:rsidRPr="00D41953">
        <w:rPr>
          <w:rFonts w:ascii="Arial" w:hAnsi="Arial" w:cs="Arial"/>
          <w:b/>
          <w:i/>
          <w:color w:val="222222"/>
          <w:shd w:val="clear" w:color="auto" w:fill="FFFFFF"/>
        </w:rPr>
        <w:t>CRYAB</w:t>
      </w:r>
      <w:r w:rsidRPr="00D41953">
        <w:rPr>
          <w:rFonts w:ascii="Arial" w:hAnsi="Arial" w:cs="Arial"/>
          <w:b/>
          <w:color w:val="222222"/>
          <w:shd w:val="clear" w:color="auto" w:fill="FFFFFF"/>
        </w:rPr>
        <w:t xml:space="preserve"> is frequently gained and high expression is associated with poor survival in multiple cancer types.</w:t>
      </w:r>
      <w:r w:rsidRPr="00D41953">
        <w:rPr>
          <w:rFonts w:ascii="Arial" w:hAnsi="Arial" w:cs="Arial"/>
        </w:rPr>
        <w:t xml:space="preserve"> </w:t>
      </w:r>
      <w:r w:rsidRPr="00724935">
        <w:rPr>
          <w:rFonts w:ascii="Arial" w:hAnsi="Arial" w:cs="Arial"/>
          <w:b/>
          <w:color w:val="222222"/>
          <w:shd w:val="clear" w:color="auto" w:fill="FFFFFF"/>
        </w:rPr>
        <w:t xml:space="preserve">(a) </w:t>
      </w:r>
      <w:r w:rsidRPr="00297CE4">
        <w:rPr>
          <w:rFonts w:ascii="Arial" w:hAnsi="Arial" w:cs="Arial"/>
          <w:color w:val="222222"/>
          <w:shd w:val="clear" w:color="auto" w:fill="FFFFFF"/>
        </w:rPr>
        <w:t xml:space="preserve">Chart shows the percentages of copy number amplification (red) or copy number gain (pink) of </w:t>
      </w:r>
      <w:r w:rsidRPr="00297CE4">
        <w:rPr>
          <w:rFonts w:ascii="Arial" w:hAnsi="Arial" w:cs="Arial"/>
          <w:i/>
          <w:iCs/>
          <w:color w:val="222222"/>
          <w:shd w:val="clear" w:color="auto" w:fill="FFFFFF"/>
        </w:rPr>
        <w:t>CRYAB</w:t>
      </w:r>
      <w:r w:rsidRPr="00297CE4">
        <w:rPr>
          <w:rFonts w:ascii="Arial" w:hAnsi="Arial" w:cs="Arial"/>
          <w:color w:val="222222"/>
          <w:shd w:val="clear" w:color="auto" w:fill="FFFFFF"/>
        </w:rPr>
        <w:t xml:space="preserve"> across various cancers using the cBioPortal for Cancer Genomics. </w:t>
      </w:r>
      <w:r w:rsidRPr="00724935">
        <w:rPr>
          <w:rFonts w:ascii="Arial" w:hAnsi="Arial" w:cs="Arial"/>
          <w:b/>
          <w:color w:val="222222"/>
          <w:shd w:val="clear" w:color="auto" w:fill="FFFFFF"/>
        </w:rPr>
        <w:t xml:space="preserve">(b) </w:t>
      </w:r>
      <w:r w:rsidRPr="00D41953">
        <w:rPr>
          <w:rFonts w:ascii="Arial" w:hAnsi="Arial" w:cs="Arial"/>
        </w:rPr>
        <w:t xml:space="preserve">Kaplan-Meier survival analysis for TCGA cancer type indicated below the chart for the overall survival. Patients were split into two groups of high (red) and low (black) </w:t>
      </w:r>
      <w:r w:rsidRPr="00D41953">
        <w:rPr>
          <w:rFonts w:ascii="Arial" w:hAnsi="Arial" w:cs="Arial"/>
          <w:i/>
          <w:iCs/>
        </w:rPr>
        <w:t>CRYAB</w:t>
      </w:r>
      <w:r w:rsidRPr="00D41953">
        <w:rPr>
          <w:rFonts w:ascii="Arial" w:hAnsi="Arial" w:cs="Arial"/>
        </w:rPr>
        <w:t xml:space="preserve"> expression levels. Numbers of patients at risk are shown at the bottom.</w:t>
      </w:r>
    </w:p>
    <w:p w:rsidR="00690351" w:rsidRPr="00D41953" w:rsidRDefault="00690351" w:rsidP="00690351">
      <w:pPr>
        <w:pStyle w:val="Body"/>
        <w:spacing w:line="360" w:lineRule="auto"/>
        <w:rPr>
          <w:rFonts w:ascii="Arial" w:hAnsi="Arial" w:cs="Arial"/>
        </w:rPr>
      </w:pPr>
    </w:p>
    <w:p w:rsidR="00690351" w:rsidRPr="00D41953" w:rsidRDefault="00690351" w:rsidP="00690351">
      <w:pPr>
        <w:pStyle w:val="Body"/>
        <w:spacing w:line="360" w:lineRule="auto"/>
        <w:jc w:val="both"/>
        <w:rPr>
          <w:rFonts w:ascii="Arial" w:hAnsi="Arial" w:cs="Arial"/>
        </w:rPr>
      </w:pPr>
      <w:r w:rsidRPr="00D41953">
        <w:rPr>
          <w:rFonts w:ascii="Arial" w:hAnsi="Arial" w:cs="Arial"/>
          <w:b/>
        </w:rPr>
        <w:t xml:space="preserve">Fig S2. </w:t>
      </w:r>
      <w:r w:rsidRPr="00D41953">
        <w:rPr>
          <w:rFonts w:ascii="Arial" w:hAnsi="Arial" w:cs="Arial"/>
          <w:b/>
          <w:i/>
          <w:color w:val="222222"/>
          <w:shd w:val="clear" w:color="auto" w:fill="FFFFFF"/>
        </w:rPr>
        <w:t>CRYAB</w:t>
      </w:r>
      <w:r w:rsidRPr="00D41953">
        <w:rPr>
          <w:rFonts w:ascii="Arial" w:hAnsi="Arial" w:cs="Arial"/>
          <w:b/>
          <w:color w:val="222222"/>
          <w:shd w:val="clear" w:color="auto" w:fill="FFFFFF"/>
        </w:rPr>
        <w:t xml:space="preserve"> correlated with deregulation of signaling, oncogenic features and tumor infiltration across some cancers.</w:t>
      </w:r>
      <w:r w:rsidRPr="00D41953">
        <w:rPr>
          <w:rFonts w:ascii="Arial" w:hAnsi="Arial" w:cs="Arial"/>
          <w:color w:val="222222"/>
          <w:shd w:val="clear" w:color="auto" w:fill="FFFFFF"/>
        </w:rPr>
        <w:t xml:space="preserve"> </w:t>
      </w:r>
      <w:r w:rsidRPr="00724935">
        <w:rPr>
          <w:rFonts w:ascii="Arial" w:hAnsi="Arial" w:cs="Arial"/>
          <w:b/>
        </w:rPr>
        <w:t xml:space="preserve">(a-d) </w:t>
      </w:r>
      <w:r w:rsidRPr="00D41953">
        <w:rPr>
          <w:rFonts w:ascii="Arial" w:hAnsi="Arial" w:cs="Arial"/>
        </w:rPr>
        <w:t xml:space="preserve">The heatmaps show the correlations between CRYAB gene expression levels and variables (determined via the integration of multi-platform data from several types of ‘omics’ analyses) listed on the y-axis in up to 32 cancer types, whose abbreviations are listed on the top x-axis based on the methodology previously described </w:t>
      </w:r>
      <w:sdt>
        <w:sdtPr>
          <w:rPr>
            <w:rFonts w:ascii="Arial" w:hAnsi="Arial" w:cs="Arial"/>
            <w:vertAlign w:val="superscript"/>
          </w:rPr>
          <w:tag w:val="MENDELEY_CITATION_v3_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"/>
          <w:id w:val="-448093981"/>
          <w:placeholder>
            <w:docPart w:val="E27CE12AF0EF4F3F929B823ECE28F34E"/>
          </w:placeholder>
        </w:sdtPr>
        <w:sdtContent>
          <w:r w:rsidRPr="001A6ACC">
            <w:rPr>
              <w:rFonts w:ascii="Arial" w:hAnsi="Arial" w:cs="Arial"/>
              <w:vertAlign w:val="superscript"/>
            </w:rPr>
            <w:t>29</w:t>
          </w:r>
        </w:sdtContent>
      </w:sdt>
      <w:r w:rsidRPr="00D41953">
        <w:rPr>
          <w:rFonts w:ascii="Arial" w:hAnsi="Arial" w:cs="Arial"/>
        </w:rPr>
        <w:t xml:space="preserve"> ; for all analysis </w:t>
      </w:r>
      <w:r w:rsidRPr="00724935">
        <w:rPr>
          <w:rFonts w:ascii="Arial" w:hAnsi="Arial" w:cs="Arial"/>
          <w:b/>
        </w:rPr>
        <w:t>(a-</w:t>
      </w:r>
      <w:r>
        <w:rPr>
          <w:rFonts w:ascii="Arial" w:hAnsi="Arial" w:cs="Arial"/>
          <w:b/>
        </w:rPr>
        <w:t>d</w:t>
      </w:r>
      <w:r w:rsidRPr="00724935">
        <w:rPr>
          <w:rFonts w:ascii="Arial" w:hAnsi="Arial" w:cs="Arial"/>
          <w:b/>
        </w:rPr>
        <w:t>)</w:t>
      </w:r>
      <w:r w:rsidRPr="00D41953">
        <w:rPr>
          <w:rFonts w:ascii="Arial" w:hAnsi="Arial" w:cs="Arial"/>
        </w:rPr>
        <w:t xml:space="preserve">: each tile in the heatmaps shows the Spearman correlation between the gene expression levels (mRNA levels from The Cancer Genome Atlas (TCGA) RNAseq datasets) and the variables listed below. The color of each tile reflects the Spearman correlation coefficient (r), as indicated by the color key on the right. Each tile shows the Spearman p value abbreviations in the following format: blank tiles: p &gt; 0.05; *, p &lt; 0.05; **, p &lt; 0.01; ***, p &lt; 0.001; ****, p &lt; 0.0001. </w:t>
      </w:r>
    </w:p>
    <w:p w:rsidR="00690351" w:rsidRPr="00D41953" w:rsidRDefault="00690351" w:rsidP="00690351">
      <w:pPr>
        <w:pStyle w:val="Body"/>
        <w:spacing w:line="360" w:lineRule="auto"/>
        <w:jc w:val="both"/>
        <w:rPr>
          <w:rFonts w:ascii="Arial" w:hAnsi="Arial" w:cs="Arial"/>
        </w:rPr>
      </w:pPr>
      <w:r w:rsidRPr="00D41953">
        <w:rPr>
          <w:rFonts w:ascii="Arial" w:hAnsi="Arial" w:cs="Arial"/>
          <w:u w:val="single"/>
        </w:rPr>
        <w:t>Cancer type abbreviations</w:t>
      </w:r>
      <w:r w:rsidRPr="00D41953">
        <w:rPr>
          <w:rFonts w:ascii="Arial" w:hAnsi="Arial" w:cs="Arial"/>
        </w:rPr>
        <w:t>: ACC, Adrenocortical Cancer; BLCA, Bladder Cancer; BRCA, Breast Cancer; CESC, Cervical Cancer; CHOL, Cholangiocarcinoma (bile duct cancer); COAD, Colon Cancer; DLBC, Large B-cell Lymphoma; ESCA, Esophageal Cancer; GBM, Glioblastoma; HNSC, Head and Neck Cancer; KICH, Kidney Chromophobe; KIRC, Kidney Clear Cell Carcinoma; KIRP, Kidney Papillary Cell Carcinoma; LGG, Lower Grade Glioma; LIHC, Liver Cancer; LUAD, Lung Adenocarcinoma; LUSC, Lung Squamous Cell Carcinoma; MESO, Mesothelioma; OV, Ovarian Cancer; PAAD, Pancreatic Cancer; PCPG, Pheochromocytoma &amp; Paraganglioma; PRAD, Prostate Cancer; READ, Rectal Cancer; SARC, Sarcoma; SKCM, Melanoma; STAD, Stomach Cancer; TGCT, Testicular Cancer; THCA, Thyroid Cancer; THYM, Thymoma; UCEC, Endometrioid Cancer; UCS, Uterine Carcinosarcoma; UVM, Ocular melanoma.</w:t>
      </w:r>
    </w:p>
    <w:p w:rsidR="00690351" w:rsidRPr="00D41953" w:rsidRDefault="00690351" w:rsidP="00690351">
      <w:pPr>
        <w:pStyle w:val="Body"/>
        <w:spacing w:line="360" w:lineRule="auto"/>
        <w:jc w:val="both"/>
        <w:rPr>
          <w:rFonts w:ascii="Arial" w:hAnsi="Arial" w:cs="Arial"/>
        </w:rPr>
      </w:pPr>
    </w:p>
    <w:p w:rsidR="00690351" w:rsidRPr="00D41953" w:rsidRDefault="00690351" w:rsidP="00690351">
      <w:pPr>
        <w:pStyle w:val="Body"/>
        <w:spacing w:line="360" w:lineRule="auto"/>
        <w:jc w:val="both"/>
        <w:rPr>
          <w:rFonts w:ascii="Arial" w:hAnsi="Arial" w:cs="Arial"/>
        </w:rPr>
      </w:pPr>
      <w:r w:rsidRPr="00D41953">
        <w:rPr>
          <w:rFonts w:ascii="Arial" w:hAnsi="Arial" w:cs="Arial"/>
          <w:b/>
        </w:rPr>
        <w:t xml:space="preserve">Fig S3. Protein alignment and mouse model target validation. </w:t>
      </w:r>
      <w:r w:rsidRPr="00724935">
        <w:rPr>
          <w:rFonts w:ascii="Arial" w:hAnsi="Arial" w:cs="Arial"/>
          <w:b/>
        </w:rPr>
        <w:t>(a)</w:t>
      </w:r>
      <w:r w:rsidRPr="00D41953">
        <w:rPr>
          <w:rFonts w:ascii="Arial" w:hAnsi="Arial" w:cs="Arial"/>
        </w:rPr>
        <w:t xml:space="preserve"> Alignment of human (NP_001876, upper in red) and mouse (NP_034094.1, lower in blue) ɑB-Crystallin protein sequences. The spaces indicate sequence mismatch and a + indicates a positive match on the scoring matrix and ɑB-crystallin domain is underlined in the consensus.  </w:t>
      </w:r>
      <w:r w:rsidRPr="00724935">
        <w:rPr>
          <w:rFonts w:ascii="Arial" w:hAnsi="Arial" w:cs="Arial"/>
          <w:b/>
        </w:rPr>
        <w:t>(b)</w:t>
      </w:r>
      <w:r w:rsidRPr="00D41953">
        <w:rPr>
          <w:rFonts w:ascii="Arial" w:hAnsi="Arial" w:cs="Arial"/>
        </w:rPr>
        <w:t xml:space="preserve">  PCR genotyping showing </w:t>
      </w:r>
      <w:r w:rsidRPr="00D41953">
        <w:rPr>
          <w:rFonts w:ascii="Arial" w:hAnsi="Arial" w:cs="Arial"/>
          <w:i/>
        </w:rPr>
        <w:t>Cryab</w:t>
      </w:r>
      <w:r w:rsidRPr="00D41953">
        <w:rPr>
          <w:rFonts w:ascii="Arial" w:hAnsi="Arial" w:cs="Arial"/>
          <w:vertAlign w:val="superscript"/>
        </w:rPr>
        <w:t>Wt/</w:t>
      </w:r>
      <w:proofErr w:type="gramStart"/>
      <w:r w:rsidRPr="00D41953">
        <w:rPr>
          <w:rFonts w:ascii="Arial" w:hAnsi="Arial" w:cs="Arial"/>
          <w:vertAlign w:val="superscript"/>
        </w:rPr>
        <w:t>Tg</w:t>
      </w:r>
      <w:r w:rsidRPr="00D41953">
        <w:rPr>
          <w:rFonts w:ascii="Arial" w:hAnsi="Arial" w:cs="Arial"/>
        </w:rPr>
        <w:t xml:space="preserve"> ,</w:t>
      </w:r>
      <w:proofErr w:type="gramEnd"/>
      <w:r w:rsidRPr="00D41953">
        <w:rPr>
          <w:rFonts w:ascii="Arial" w:hAnsi="Arial" w:cs="Arial"/>
        </w:rPr>
        <w:t xml:space="preserve"> </w:t>
      </w:r>
      <w:r w:rsidRPr="00D41953">
        <w:rPr>
          <w:rFonts w:ascii="Arial" w:hAnsi="Arial" w:cs="Arial"/>
          <w:i/>
        </w:rPr>
        <w:t>Cryab</w:t>
      </w:r>
      <w:r w:rsidRPr="00D41953">
        <w:rPr>
          <w:rFonts w:ascii="Arial" w:hAnsi="Arial" w:cs="Arial"/>
          <w:vertAlign w:val="superscript"/>
        </w:rPr>
        <w:t>Wt/Wt</w:t>
      </w:r>
      <w:r w:rsidRPr="00D41953">
        <w:rPr>
          <w:rFonts w:ascii="Arial" w:hAnsi="Arial" w:cs="Arial"/>
        </w:rPr>
        <w:t xml:space="preserve">  and </w:t>
      </w:r>
      <w:r w:rsidRPr="00D41953">
        <w:rPr>
          <w:rFonts w:ascii="Arial" w:hAnsi="Arial" w:cs="Arial"/>
          <w:i/>
        </w:rPr>
        <w:t>Cryab</w:t>
      </w:r>
      <w:r w:rsidRPr="00D41953">
        <w:rPr>
          <w:rFonts w:ascii="Arial" w:hAnsi="Arial" w:cs="Arial"/>
          <w:vertAlign w:val="superscript"/>
        </w:rPr>
        <w:t>Tg/Tg</w:t>
      </w:r>
      <w:r w:rsidRPr="00D41953">
        <w:rPr>
          <w:rFonts w:ascii="Arial" w:hAnsi="Arial" w:cs="Arial"/>
        </w:rPr>
        <w:t xml:space="preserve"> genotypes. </w:t>
      </w:r>
      <w:r w:rsidRPr="00724935">
        <w:rPr>
          <w:rFonts w:ascii="Arial" w:hAnsi="Arial" w:cs="Arial"/>
          <w:b/>
        </w:rPr>
        <w:t>(c)</w:t>
      </w:r>
      <w:r w:rsidRPr="00D41953">
        <w:rPr>
          <w:rFonts w:ascii="Arial" w:hAnsi="Arial" w:cs="Arial"/>
        </w:rPr>
        <w:t xml:space="preserve"> Immunoblot analysis of Crystallin protein expression </w:t>
      </w:r>
      <w:proofErr w:type="gramStart"/>
      <w:r w:rsidRPr="00D41953">
        <w:rPr>
          <w:rFonts w:ascii="Arial" w:hAnsi="Arial" w:cs="Arial"/>
        </w:rPr>
        <w:t xml:space="preserve">of  </w:t>
      </w:r>
      <w:r w:rsidRPr="00D41953">
        <w:rPr>
          <w:rFonts w:ascii="Arial" w:hAnsi="Arial" w:cs="Arial"/>
          <w:i/>
        </w:rPr>
        <w:t>Cryab</w:t>
      </w:r>
      <w:r w:rsidRPr="00D41953">
        <w:rPr>
          <w:rFonts w:ascii="Arial" w:hAnsi="Arial" w:cs="Arial"/>
          <w:vertAlign w:val="superscript"/>
        </w:rPr>
        <w:t>Wt</w:t>
      </w:r>
      <w:proofErr w:type="gramEnd"/>
      <w:r w:rsidRPr="00D41953">
        <w:rPr>
          <w:rFonts w:ascii="Arial" w:hAnsi="Arial" w:cs="Arial"/>
          <w:vertAlign w:val="superscript"/>
        </w:rPr>
        <w:t>/Wt</w:t>
      </w:r>
      <w:r w:rsidRPr="00D41953">
        <w:rPr>
          <w:rFonts w:ascii="Arial" w:hAnsi="Arial" w:cs="Arial"/>
        </w:rPr>
        <w:t xml:space="preserve"> , </w:t>
      </w:r>
      <w:r w:rsidRPr="00D41953">
        <w:rPr>
          <w:rFonts w:ascii="Arial" w:hAnsi="Arial" w:cs="Arial"/>
          <w:i/>
        </w:rPr>
        <w:t>Cryab</w:t>
      </w:r>
      <w:r w:rsidRPr="00D41953">
        <w:rPr>
          <w:rFonts w:ascii="Arial" w:hAnsi="Arial" w:cs="Arial"/>
          <w:vertAlign w:val="superscript"/>
        </w:rPr>
        <w:t>Wt/Tg</w:t>
      </w:r>
      <w:r w:rsidRPr="00D41953">
        <w:rPr>
          <w:rFonts w:ascii="Arial" w:hAnsi="Arial" w:cs="Arial"/>
        </w:rPr>
        <w:t xml:space="preserve"> , and </w:t>
      </w:r>
      <w:r w:rsidRPr="00D41953">
        <w:rPr>
          <w:rFonts w:ascii="Arial" w:hAnsi="Arial" w:cs="Arial"/>
          <w:i/>
        </w:rPr>
        <w:t>Cryab</w:t>
      </w:r>
      <w:r w:rsidRPr="00D41953">
        <w:rPr>
          <w:rFonts w:ascii="Arial" w:hAnsi="Arial" w:cs="Arial"/>
          <w:vertAlign w:val="superscript"/>
        </w:rPr>
        <w:t>Tg/Tg</w:t>
      </w:r>
      <w:r w:rsidRPr="00D41953">
        <w:rPr>
          <w:rFonts w:ascii="Arial" w:hAnsi="Arial" w:cs="Arial"/>
        </w:rPr>
        <w:t xml:space="preserve">  mouse tissues as indicated in the figure. β-actin was used as a loading control. </w:t>
      </w:r>
    </w:p>
    <w:p w:rsidR="00690351" w:rsidRPr="00D41953" w:rsidRDefault="00690351" w:rsidP="00690351">
      <w:pPr>
        <w:pStyle w:val="Body"/>
        <w:spacing w:line="360" w:lineRule="auto"/>
        <w:jc w:val="both"/>
        <w:rPr>
          <w:rFonts w:ascii="Arial" w:hAnsi="Arial" w:cs="Arial"/>
        </w:rPr>
      </w:pPr>
    </w:p>
    <w:p w:rsidR="00690351" w:rsidRPr="00D41953" w:rsidRDefault="00690351" w:rsidP="00690351">
      <w:pPr>
        <w:pStyle w:val="Body"/>
        <w:spacing w:line="360" w:lineRule="auto"/>
        <w:jc w:val="both"/>
        <w:rPr>
          <w:rFonts w:ascii="Arial" w:hAnsi="Arial" w:cs="Arial"/>
          <w:vertAlign w:val="superscript"/>
        </w:rPr>
      </w:pPr>
      <w:r w:rsidRPr="00D41953">
        <w:rPr>
          <w:rFonts w:ascii="Arial" w:hAnsi="Arial" w:cs="Arial"/>
          <w:b/>
        </w:rPr>
        <w:t xml:space="preserve">Fig S4. DMBA experiment. </w:t>
      </w:r>
      <w:r w:rsidRPr="00724935">
        <w:rPr>
          <w:rFonts w:ascii="Arial" w:hAnsi="Arial" w:cs="Arial"/>
          <w:b/>
        </w:rPr>
        <w:t>(a)</w:t>
      </w:r>
      <w:r w:rsidRPr="00D41953">
        <w:rPr>
          <w:rFonts w:ascii="Arial" w:hAnsi="Arial" w:cs="Arial"/>
        </w:rPr>
        <w:t xml:space="preserve"> Chart shows the counted number of nodules from dissected lungs of DMBA </w:t>
      </w:r>
      <w:proofErr w:type="gramStart"/>
      <w:r w:rsidRPr="00D41953">
        <w:rPr>
          <w:rFonts w:ascii="Arial" w:hAnsi="Arial" w:cs="Arial"/>
        </w:rPr>
        <w:t xml:space="preserve">treated  </w:t>
      </w:r>
      <w:r w:rsidRPr="00D41953">
        <w:rPr>
          <w:rFonts w:ascii="Arial" w:hAnsi="Arial" w:cs="Arial"/>
          <w:i/>
        </w:rPr>
        <w:t>Cryab</w:t>
      </w:r>
      <w:r w:rsidRPr="00D41953">
        <w:rPr>
          <w:rFonts w:ascii="Arial" w:hAnsi="Arial" w:cs="Arial"/>
          <w:vertAlign w:val="superscript"/>
        </w:rPr>
        <w:t>Wt</w:t>
      </w:r>
      <w:proofErr w:type="gramEnd"/>
      <w:r w:rsidRPr="00D41953">
        <w:rPr>
          <w:rFonts w:ascii="Arial" w:hAnsi="Arial" w:cs="Arial"/>
          <w:vertAlign w:val="superscript"/>
        </w:rPr>
        <w:t>/Wt</w:t>
      </w:r>
      <w:r w:rsidRPr="00D41953">
        <w:rPr>
          <w:rFonts w:ascii="Arial" w:hAnsi="Arial" w:cs="Arial"/>
        </w:rPr>
        <w:t xml:space="preserve"> , </w:t>
      </w:r>
      <w:r w:rsidRPr="00D41953">
        <w:rPr>
          <w:rFonts w:ascii="Arial" w:hAnsi="Arial" w:cs="Arial"/>
          <w:i/>
        </w:rPr>
        <w:t>Cryab</w:t>
      </w:r>
      <w:r w:rsidRPr="00D41953">
        <w:rPr>
          <w:rFonts w:ascii="Arial" w:hAnsi="Arial" w:cs="Arial"/>
          <w:vertAlign w:val="superscript"/>
        </w:rPr>
        <w:t>Wt/Tg</w:t>
      </w:r>
      <w:r w:rsidRPr="00D41953">
        <w:rPr>
          <w:rFonts w:ascii="Arial" w:hAnsi="Arial" w:cs="Arial"/>
        </w:rPr>
        <w:t xml:space="preserve"> , and </w:t>
      </w:r>
      <w:r w:rsidRPr="00D41953">
        <w:rPr>
          <w:rFonts w:ascii="Arial" w:hAnsi="Arial" w:cs="Arial"/>
          <w:i/>
        </w:rPr>
        <w:t>Cryab</w:t>
      </w:r>
      <w:r w:rsidRPr="00D41953">
        <w:rPr>
          <w:rFonts w:ascii="Arial" w:hAnsi="Arial" w:cs="Arial"/>
          <w:vertAlign w:val="superscript"/>
        </w:rPr>
        <w:t>Tg/Tg</w:t>
      </w:r>
      <w:r w:rsidRPr="00D41953">
        <w:rPr>
          <w:rFonts w:ascii="Arial" w:hAnsi="Arial" w:cs="Arial"/>
        </w:rPr>
        <w:t xml:space="preserve">  the outliers were removed using the ROUT method (Q = </w:t>
      </w:r>
      <w:r w:rsidRPr="00D41953">
        <w:rPr>
          <w:rFonts w:ascii="Arial" w:hAnsi="Arial" w:cs="Arial"/>
        </w:rPr>
        <w:lastRenderedPageBreak/>
        <w:t xml:space="preserve">1%) based on the False Discovery Rate (FDR). </w:t>
      </w:r>
      <w:r w:rsidRPr="00724935">
        <w:rPr>
          <w:rFonts w:ascii="Arial" w:hAnsi="Arial" w:cs="Arial"/>
          <w:b/>
        </w:rPr>
        <w:t>(b)</w:t>
      </w:r>
      <w:r w:rsidRPr="00D41953">
        <w:rPr>
          <w:rFonts w:ascii="Arial" w:hAnsi="Arial" w:cs="Arial"/>
        </w:rPr>
        <w:t xml:space="preserve"> representative image of Bouin's solution fixed lungs from each genotype (upper) </w:t>
      </w:r>
      <w:proofErr w:type="gramStart"/>
      <w:r w:rsidRPr="00D41953">
        <w:rPr>
          <w:rFonts w:ascii="Arial" w:hAnsi="Arial" w:cs="Arial"/>
        </w:rPr>
        <w:t>and  H</w:t>
      </w:r>
      <w:proofErr w:type="gramEnd"/>
      <w:r w:rsidRPr="00D41953">
        <w:rPr>
          <w:rFonts w:ascii="Arial" w:hAnsi="Arial" w:cs="Arial"/>
        </w:rPr>
        <w:t xml:space="preserve">&amp;E stained tissue from </w:t>
      </w:r>
      <w:r w:rsidRPr="00D41953">
        <w:rPr>
          <w:rFonts w:ascii="Arial" w:hAnsi="Arial" w:cs="Arial"/>
          <w:i/>
        </w:rPr>
        <w:t>Cryab</w:t>
      </w:r>
      <w:r w:rsidRPr="00D41953">
        <w:rPr>
          <w:rFonts w:ascii="Arial" w:hAnsi="Arial" w:cs="Arial"/>
          <w:vertAlign w:val="superscript"/>
        </w:rPr>
        <w:t>Wt/Wt</w:t>
      </w:r>
      <w:r w:rsidRPr="00D41953">
        <w:rPr>
          <w:rFonts w:ascii="Arial" w:hAnsi="Arial" w:cs="Arial"/>
        </w:rPr>
        <w:t xml:space="preserve"> and Cryab</w:t>
      </w:r>
      <w:r w:rsidRPr="00D41953">
        <w:rPr>
          <w:rFonts w:ascii="Arial" w:hAnsi="Arial" w:cs="Arial"/>
          <w:vertAlign w:val="superscript"/>
        </w:rPr>
        <w:t>Tg/Tg</w:t>
      </w:r>
      <w:r w:rsidRPr="00D41953">
        <w:rPr>
          <w:rFonts w:ascii="Arial" w:hAnsi="Arial" w:cs="Arial"/>
        </w:rPr>
        <w:t xml:space="preserve"> ( lower), arrows show the nodules </w:t>
      </w:r>
      <w:r>
        <w:rPr>
          <w:rFonts w:ascii="Arial" w:hAnsi="Arial" w:cs="Arial"/>
        </w:rPr>
        <w:t>or</w:t>
      </w:r>
      <w:r w:rsidRPr="00D41953">
        <w:rPr>
          <w:rFonts w:ascii="Arial" w:hAnsi="Arial" w:cs="Arial"/>
        </w:rPr>
        <w:t xml:space="preserve"> tumor</w:t>
      </w:r>
      <w:r>
        <w:rPr>
          <w:rFonts w:ascii="Arial" w:hAnsi="Arial" w:cs="Arial"/>
        </w:rPr>
        <w:t>s</w:t>
      </w:r>
      <w:r w:rsidRPr="00D41953">
        <w:rPr>
          <w:rFonts w:ascii="Arial" w:hAnsi="Arial" w:cs="Arial"/>
        </w:rPr>
        <w:t xml:space="preserve">, notice to the bigger size of tumors in </w:t>
      </w:r>
      <w:r w:rsidRPr="00D41953">
        <w:rPr>
          <w:rFonts w:ascii="Arial" w:hAnsi="Arial" w:cs="Arial"/>
          <w:i/>
        </w:rPr>
        <w:t>Cryab</w:t>
      </w:r>
      <w:r w:rsidRPr="00D41953">
        <w:rPr>
          <w:rFonts w:ascii="Arial" w:hAnsi="Arial" w:cs="Arial"/>
          <w:vertAlign w:val="superscript"/>
        </w:rPr>
        <w:t>Tg</w:t>
      </w:r>
    </w:p>
    <w:p w:rsidR="00690351" w:rsidRPr="00D41953" w:rsidRDefault="00690351" w:rsidP="00690351">
      <w:pPr>
        <w:pStyle w:val="Body"/>
        <w:spacing w:line="360" w:lineRule="auto"/>
        <w:jc w:val="both"/>
        <w:rPr>
          <w:rFonts w:ascii="Arial" w:hAnsi="Arial" w:cs="Arial"/>
        </w:rPr>
      </w:pPr>
    </w:p>
    <w:p w:rsidR="00690351" w:rsidRPr="00D41953" w:rsidRDefault="00690351" w:rsidP="00690351">
      <w:pPr>
        <w:pStyle w:val="Body"/>
        <w:spacing w:line="360" w:lineRule="auto"/>
        <w:jc w:val="both"/>
        <w:rPr>
          <w:rFonts w:ascii="Arial" w:hAnsi="Arial" w:cs="Arial"/>
        </w:rPr>
      </w:pPr>
      <w:r w:rsidRPr="00D41953">
        <w:rPr>
          <w:rFonts w:ascii="Arial" w:hAnsi="Arial" w:cs="Arial"/>
          <w:b/>
        </w:rPr>
        <w:t xml:space="preserve">Fig S5. IHC on tumors and normal tissues. </w:t>
      </w:r>
      <w:r w:rsidRPr="00724935">
        <w:rPr>
          <w:rFonts w:ascii="Arial" w:hAnsi="Arial" w:cs="Arial"/>
          <w:b/>
        </w:rPr>
        <w:t>(a)</w:t>
      </w:r>
      <w:r w:rsidRPr="00D41953">
        <w:rPr>
          <w:rFonts w:ascii="Arial" w:hAnsi="Arial" w:cs="Arial"/>
        </w:rPr>
        <w:t xml:space="preserve"> IHC staining compares the expression level of indicated markers in malignant tissue of </w:t>
      </w:r>
      <w:r w:rsidRPr="00D41953">
        <w:rPr>
          <w:rFonts w:ascii="Arial" w:hAnsi="Arial" w:cs="Arial"/>
          <w:i/>
        </w:rPr>
        <w:t>Cryab</w:t>
      </w:r>
      <w:r w:rsidRPr="00D41953">
        <w:rPr>
          <w:rFonts w:ascii="Arial" w:hAnsi="Arial" w:cs="Arial"/>
          <w:vertAlign w:val="superscript"/>
        </w:rPr>
        <w:t>Tg/</w:t>
      </w:r>
      <w:proofErr w:type="gramStart"/>
      <w:r w:rsidRPr="00D41953">
        <w:rPr>
          <w:rFonts w:ascii="Arial" w:hAnsi="Arial" w:cs="Arial"/>
          <w:vertAlign w:val="superscript"/>
        </w:rPr>
        <w:t>Tg</w:t>
      </w:r>
      <w:r w:rsidRPr="00D41953">
        <w:rPr>
          <w:rFonts w:ascii="Arial" w:hAnsi="Arial" w:cs="Arial"/>
        </w:rPr>
        <w:t xml:space="preserve">  with</w:t>
      </w:r>
      <w:proofErr w:type="gramEnd"/>
      <w:r w:rsidRPr="00D41953">
        <w:rPr>
          <w:rFonts w:ascii="Arial" w:hAnsi="Arial" w:cs="Arial"/>
        </w:rPr>
        <w:t xml:space="preserve"> age and tissue matched control from </w:t>
      </w:r>
      <w:r w:rsidRPr="00D41953">
        <w:rPr>
          <w:rFonts w:ascii="Arial" w:hAnsi="Arial" w:cs="Arial"/>
          <w:i/>
        </w:rPr>
        <w:t>Cryab</w:t>
      </w:r>
      <w:r w:rsidRPr="00D41953">
        <w:rPr>
          <w:rFonts w:ascii="Arial" w:hAnsi="Arial" w:cs="Arial"/>
          <w:vertAlign w:val="superscript"/>
        </w:rPr>
        <w:t>Wt/Wt</w:t>
      </w:r>
      <w:r w:rsidRPr="00D41953">
        <w:rPr>
          <w:rFonts w:ascii="Arial" w:hAnsi="Arial" w:cs="Arial"/>
        </w:rPr>
        <w:t xml:space="preserve"> , </w:t>
      </w:r>
      <w:r w:rsidRPr="00724935">
        <w:rPr>
          <w:rFonts w:ascii="Arial" w:hAnsi="Arial" w:cs="Arial"/>
          <w:b/>
        </w:rPr>
        <w:t>(b)</w:t>
      </w:r>
      <w:r w:rsidRPr="00D41953">
        <w:rPr>
          <w:rFonts w:ascii="Arial" w:hAnsi="Arial" w:cs="Arial"/>
        </w:rPr>
        <w:t xml:space="preserve"> IHC staining compares the high and low expression level of indicated markers in malignant tissue of </w:t>
      </w:r>
      <w:r w:rsidRPr="00D41953">
        <w:rPr>
          <w:rFonts w:ascii="Arial" w:hAnsi="Arial" w:cs="Arial"/>
          <w:i/>
        </w:rPr>
        <w:t>Cryab</w:t>
      </w:r>
      <w:r w:rsidRPr="00D41953">
        <w:rPr>
          <w:rFonts w:ascii="Arial" w:hAnsi="Arial" w:cs="Arial"/>
          <w:vertAlign w:val="superscript"/>
        </w:rPr>
        <w:t xml:space="preserve">Tg </w:t>
      </w:r>
      <w:r w:rsidRPr="00D41953">
        <w:rPr>
          <w:rFonts w:ascii="Arial" w:hAnsi="Arial" w:cs="Arial"/>
        </w:rPr>
        <w:t xml:space="preserve"> as shown in the figure.</w:t>
      </w:r>
    </w:p>
    <w:p w:rsidR="00690351" w:rsidRPr="00D41953" w:rsidRDefault="00690351" w:rsidP="00690351">
      <w:pPr>
        <w:pStyle w:val="Body"/>
        <w:spacing w:line="360" w:lineRule="auto"/>
        <w:jc w:val="both"/>
        <w:rPr>
          <w:rFonts w:ascii="Arial" w:hAnsi="Arial" w:cs="Arial"/>
        </w:rPr>
      </w:pPr>
    </w:p>
    <w:p w:rsidR="00690351" w:rsidRPr="00D41953" w:rsidRDefault="00690351" w:rsidP="00690351">
      <w:pPr>
        <w:pStyle w:val="Body"/>
        <w:spacing w:line="360" w:lineRule="auto"/>
        <w:jc w:val="both"/>
        <w:rPr>
          <w:rFonts w:ascii="Arial" w:hAnsi="Arial" w:cs="Arial"/>
        </w:rPr>
      </w:pPr>
      <w:r w:rsidRPr="00D41953">
        <w:rPr>
          <w:rFonts w:ascii="Arial" w:hAnsi="Arial" w:cs="Arial"/>
          <w:b/>
        </w:rPr>
        <w:t xml:space="preserve">Fig S6. Genotyping and WB on MEFs. </w:t>
      </w:r>
      <w:r w:rsidRPr="00724935">
        <w:rPr>
          <w:rFonts w:ascii="Arial" w:hAnsi="Arial" w:cs="Arial"/>
          <w:b/>
        </w:rPr>
        <w:t>(a)</w:t>
      </w:r>
      <w:r w:rsidRPr="00D41953">
        <w:rPr>
          <w:rFonts w:ascii="Arial" w:hAnsi="Arial" w:cs="Arial"/>
        </w:rPr>
        <w:t xml:space="preserve"> PCR genotyping showing </w:t>
      </w:r>
      <w:r w:rsidRPr="00D41953">
        <w:rPr>
          <w:rFonts w:ascii="Arial" w:hAnsi="Arial" w:cs="Arial"/>
          <w:i/>
        </w:rPr>
        <w:t>Cryab</w:t>
      </w:r>
      <w:r w:rsidRPr="00D41953">
        <w:rPr>
          <w:rFonts w:ascii="Arial" w:hAnsi="Arial" w:cs="Arial"/>
          <w:vertAlign w:val="superscript"/>
        </w:rPr>
        <w:t>Wt/</w:t>
      </w:r>
      <w:proofErr w:type="gramStart"/>
      <w:r w:rsidRPr="00D41953">
        <w:rPr>
          <w:rFonts w:ascii="Arial" w:hAnsi="Arial" w:cs="Arial"/>
          <w:vertAlign w:val="superscript"/>
        </w:rPr>
        <w:t>Wt</w:t>
      </w:r>
      <w:r w:rsidRPr="00D41953">
        <w:rPr>
          <w:rFonts w:ascii="Arial" w:hAnsi="Arial" w:cs="Arial"/>
        </w:rPr>
        <w:t xml:space="preserve">  (</w:t>
      </w:r>
      <w:proofErr w:type="gramEnd"/>
      <w:r w:rsidRPr="00D41953">
        <w:rPr>
          <w:rFonts w:ascii="Arial" w:hAnsi="Arial" w:cs="Arial"/>
        </w:rPr>
        <w:t xml:space="preserve">Wt) and </w:t>
      </w:r>
      <w:r w:rsidRPr="00D41953">
        <w:rPr>
          <w:rFonts w:ascii="Arial" w:hAnsi="Arial" w:cs="Arial"/>
          <w:i/>
        </w:rPr>
        <w:t>Cryab</w:t>
      </w:r>
      <w:r w:rsidRPr="00D41953">
        <w:rPr>
          <w:rFonts w:ascii="Arial" w:hAnsi="Arial" w:cs="Arial"/>
          <w:vertAlign w:val="superscript"/>
        </w:rPr>
        <w:t xml:space="preserve">Tg/Tg </w:t>
      </w:r>
      <w:r w:rsidRPr="00D41953">
        <w:rPr>
          <w:rFonts w:ascii="Arial" w:hAnsi="Arial" w:cs="Arial"/>
        </w:rPr>
        <w:t xml:space="preserve">(Tg) E1A/Ras transformed MEFs genotypes </w:t>
      </w:r>
      <w:r w:rsidRPr="00724935">
        <w:rPr>
          <w:rFonts w:ascii="Arial" w:hAnsi="Arial" w:cs="Arial"/>
          <w:b/>
        </w:rPr>
        <w:t>(b)</w:t>
      </w:r>
      <w:r w:rsidRPr="00D41953">
        <w:rPr>
          <w:rFonts w:ascii="Arial" w:hAnsi="Arial" w:cs="Arial"/>
        </w:rPr>
        <w:t xml:space="preserve"> Immunoblot analysis of Crystallin protein expression of  </w:t>
      </w:r>
      <w:r w:rsidRPr="00D41953">
        <w:rPr>
          <w:rFonts w:ascii="Arial" w:hAnsi="Arial" w:cs="Arial"/>
          <w:i/>
        </w:rPr>
        <w:t>Cryab</w:t>
      </w:r>
      <w:r w:rsidRPr="00D41953">
        <w:rPr>
          <w:rFonts w:ascii="Arial" w:hAnsi="Arial" w:cs="Arial"/>
          <w:vertAlign w:val="superscript"/>
        </w:rPr>
        <w:t>Wt/Wt</w:t>
      </w:r>
      <w:r w:rsidRPr="00D41953">
        <w:rPr>
          <w:rFonts w:ascii="Arial" w:hAnsi="Arial" w:cs="Arial"/>
        </w:rPr>
        <w:t xml:space="preserve"> , and </w:t>
      </w:r>
      <w:r w:rsidRPr="00D41953">
        <w:rPr>
          <w:rFonts w:ascii="Arial" w:hAnsi="Arial" w:cs="Arial"/>
          <w:i/>
        </w:rPr>
        <w:t>Cryab</w:t>
      </w:r>
      <w:r w:rsidRPr="00D41953">
        <w:rPr>
          <w:rFonts w:ascii="Arial" w:hAnsi="Arial" w:cs="Arial"/>
          <w:vertAlign w:val="superscript"/>
        </w:rPr>
        <w:t>Tg/Tg</w:t>
      </w:r>
      <w:r w:rsidRPr="00D41953">
        <w:rPr>
          <w:rFonts w:ascii="Arial" w:hAnsi="Arial" w:cs="Arial"/>
        </w:rPr>
        <w:t xml:space="preserve">  E1A/Ras transformed MEFs after heat-shock (43̊ C for 1 hour) following by time course incubation as indicated in the figure. GAPDH was used as a loading control. </w:t>
      </w:r>
    </w:p>
    <w:p w:rsidR="00690351" w:rsidRPr="00D41953" w:rsidRDefault="00690351" w:rsidP="00690351">
      <w:pPr>
        <w:pStyle w:val="Body"/>
        <w:spacing w:line="360" w:lineRule="auto"/>
        <w:jc w:val="both"/>
        <w:rPr>
          <w:rFonts w:ascii="Arial" w:hAnsi="Arial" w:cs="Arial"/>
        </w:rPr>
      </w:pPr>
    </w:p>
    <w:p w:rsidR="00690351" w:rsidRPr="00D41953" w:rsidRDefault="00690351" w:rsidP="00690351">
      <w:pPr>
        <w:pStyle w:val="Body"/>
        <w:spacing w:line="360" w:lineRule="auto"/>
        <w:jc w:val="both"/>
        <w:rPr>
          <w:rFonts w:ascii="Arial" w:hAnsi="Arial" w:cs="Arial"/>
        </w:rPr>
      </w:pPr>
      <w:r w:rsidRPr="00D41953">
        <w:rPr>
          <w:rFonts w:ascii="Arial" w:hAnsi="Arial" w:cs="Arial"/>
          <w:b/>
        </w:rPr>
        <w:t xml:space="preserve">Fig S7. Biological process annotation.  </w:t>
      </w:r>
      <w:r w:rsidRPr="00724935">
        <w:rPr>
          <w:rFonts w:ascii="Arial" w:hAnsi="Arial" w:cs="Arial"/>
          <w:b/>
        </w:rPr>
        <w:t>(a)</w:t>
      </w:r>
      <w:r w:rsidRPr="00D41953">
        <w:rPr>
          <w:rFonts w:ascii="Arial" w:hAnsi="Arial" w:cs="Arial"/>
        </w:rPr>
        <w:t xml:space="preserve"> Functional annotation and pathway enrichment analysis of differentially regulated proteins of the proteomic data comparing Cryab Tg E1ARas-transformed MEFs to Cryab WT MEFs for either upregulated </w:t>
      </w:r>
      <w:proofErr w:type="gramStart"/>
      <w:r w:rsidRPr="00D41953">
        <w:rPr>
          <w:rFonts w:ascii="Arial" w:hAnsi="Arial" w:cs="Arial"/>
        </w:rPr>
        <w:t>( green</w:t>
      </w:r>
      <w:proofErr w:type="gramEnd"/>
      <w:r w:rsidRPr="00D41953">
        <w:rPr>
          <w:rFonts w:ascii="Arial" w:hAnsi="Arial" w:cs="Arial"/>
        </w:rPr>
        <w:t xml:space="preserve">) or downregulated (yellow), Data were normalized to the enrichment ratio. Data was plotted using default parameters of DAVID (the database for annotation, visualization and integrated </w:t>
      </w:r>
      <w:proofErr w:type="gramStart"/>
      <w:r w:rsidRPr="00D41953">
        <w:rPr>
          <w:rFonts w:ascii="Arial" w:hAnsi="Arial" w:cs="Arial"/>
        </w:rPr>
        <w:t xml:space="preserve">discovery)  </w:t>
      </w:r>
      <w:r w:rsidRPr="00724935">
        <w:rPr>
          <w:rFonts w:ascii="Arial" w:hAnsi="Arial" w:cs="Arial"/>
          <w:b/>
        </w:rPr>
        <w:t>(</w:t>
      </w:r>
      <w:proofErr w:type="gramEnd"/>
      <w:r w:rsidRPr="00724935">
        <w:rPr>
          <w:rFonts w:ascii="Arial" w:hAnsi="Arial" w:cs="Arial"/>
          <w:b/>
        </w:rPr>
        <w:t>b)</w:t>
      </w:r>
      <w:r w:rsidRPr="00D41953">
        <w:rPr>
          <w:rFonts w:ascii="Arial" w:hAnsi="Arial" w:cs="Arial"/>
        </w:rPr>
        <w:t xml:space="preserve">  The table shows the top five highest upregulated genes. </w:t>
      </w:r>
      <w:r w:rsidRPr="00724935">
        <w:rPr>
          <w:rFonts w:ascii="Arial" w:hAnsi="Arial" w:cs="Arial"/>
          <w:b/>
        </w:rPr>
        <w:t>(c)</w:t>
      </w:r>
      <w:r w:rsidRPr="00D41953">
        <w:rPr>
          <w:rFonts w:ascii="Arial" w:hAnsi="Arial" w:cs="Arial"/>
        </w:rPr>
        <w:t xml:space="preserve"> co-occurance analysis of CRYAB gene and the top five highest upregulated genes from TCGA pan-cancer </w:t>
      </w:r>
    </w:p>
    <w:p w:rsidR="00690351" w:rsidRPr="00D41953" w:rsidRDefault="00690351" w:rsidP="00690351">
      <w:pPr>
        <w:pStyle w:val="Body"/>
        <w:spacing w:line="360" w:lineRule="auto"/>
        <w:jc w:val="both"/>
        <w:rPr>
          <w:rFonts w:ascii="Arial" w:hAnsi="Arial" w:cs="Arial"/>
        </w:rPr>
      </w:pPr>
    </w:p>
    <w:p w:rsidR="00690351" w:rsidRPr="00297CE4" w:rsidRDefault="00690351" w:rsidP="00690351">
      <w:pPr>
        <w:pStyle w:val="Body"/>
        <w:spacing w:line="360" w:lineRule="auto"/>
        <w:jc w:val="both"/>
        <w:rPr>
          <w:rFonts w:ascii="Arial" w:hAnsi="Arial" w:cs="Arial"/>
        </w:rPr>
      </w:pPr>
      <w:r w:rsidRPr="00D41953">
        <w:rPr>
          <w:rFonts w:ascii="Arial" w:hAnsi="Arial" w:cs="Arial"/>
          <w:b/>
        </w:rPr>
        <w:t>Fig S8. CRYAB expression is associated with metastasis in human tumors.</w:t>
      </w:r>
      <w:r>
        <w:rPr>
          <w:rFonts w:ascii="Arial" w:hAnsi="Arial" w:cs="Arial"/>
          <w:b/>
        </w:rPr>
        <w:t xml:space="preserve"> </w:t>
      </w:r>
      <w:r w:rsidRPr="00724935">
        <w:rPr>
          <w:rFonts w:ascii="Arial" w:hAnsi="Arial" w:cs="Arial"/>
          <w:b/>
          <w:bCs/>
        </w:rPr>
        <w:t>(a)</w:t>
      </w:r>
      <w:r w:rsidRPr="00297CE4">
        <w:rPr>
          <w:rFonts w:ascii="Arial" w:hAnsi="Arial" w:cs="Arial"/>
        </w:rPr>
        <w:t xml:space="preserve"> CRYAB expression levels in normal cervix and early-stage cervical tumors. </w:t>
      </w:r>
      <w:r w:rsidRPr="00724935">
        <w:rPr>
          <w:rFonts w:ascii="Arial" w:hAnsi="Arial" w:cs="Arial"/>
          <w:b/>
          <w:bCs/>
        </w:rPr>
        <w:t>(b)</w:t>
      </w:r>
      <w:r w:rsidRPr="00297CE4">
        <w:rPr>
          <w:rFonts w:ascii="Arial" w:hAnsi="Arial" w:cs="Arial"/>
        </w:rPr>
        <w:t xml:space="preserve"> CRYAB expression levels in primary and metastatic renal cell carcinoma. </w:t>
      </w:r>
      <w:r w:rsidRPr="00724935">
        <w:rPr>
          <w:rFonts w:ascii="Arial" w:hAnsi="Arial" w:cs="Arial"/>
          <w:b/>
          <w:bCs/>
        </w:rPr>
        <w:t>(c-f)</w:t>
      </w:r>
      <w:r w:rsidRPr="00297CE4">
        <w:rPr>
          <w:rFonts w:ascii="Arial" w:hAnsi="Arial" w:cs="Arial"/>
        </w:rPr>
        <w:t xml:space="preserve"> CRYAB expression levels in primary tumors without and with metastasis in, respectively: </w:t>
      </w:r>
      <w:r w:rsidRPr="00724935">
        <w:rPr>
          <w:rFonts w:ascii="Arial" w:hAnsi="Arial" w:cs="Arial"/>
          <w:b/>
        </w:rPr>
        <w:t>(c)</w:t>
      </w:r>
      <w:r w:rsidRPr="00297CE4">
        <w:rPr>
          <w:rFonts w:ascii="Arial" w:hAnsi="Arial" w:cs="Arial"/>
        </w:rPr>
        <w:t xml:space="preserve"> hepatocellular carcinoma, </w:t>
      </w:r>
      <w:r w:rsidRPr="00724935">
        <w:rPr>
          <w:rFonts w:ascii="Arial" w:hAnsi="Arial" w:cs="Arial"/>
          <w:b/>
        </w:rPr>
        <w:t>(d)</w:t>
      </w:r>
      <w:r w:rsidRPr="00297CE4">
        <w:rPr>
          <w:rFonts w:ascii="Arial" w:hAnsi="Arial" w:cs="Arial"/>
        </w:rPr>
        <w:t xml:space="preserve"> pancreatic cancer, </w:t>
      </w:r>
      <w:r w:rsidRPr="00724935">
        <w:rPr>
          <w:rFonts w:ascii="Arial" w:hAnsi="Arial" w:cs="Arial"/>
          <w:b/>
        </w:rPr>
        <w:t>(e)</w:t>
      </w:r>
      <w:r w:rsidRPr="00297CE4">
        <w:rPr>
          <w:rFonts w:ascii="Arial" w:hAnsi="Arial" w:cs="Arial"/>
        </w:rPr>
        <w:t xml:space="preserve"> breast cancer and </w:t>
      </w:r>
      <w:r w:rsidRPr="00724935">
        <w:rPr>
          <w:rFonts w:ascii="Arial" w:hAnsi="Arial" w:cs="Arial"/>
          <w:b/>
        </w:rPr>
        <w:t>(f)</w:t>
      </w:r>
      <w:r w:rsidRPr="00297CE4">
        <w:rPr>
          <w:rFonts w:ascii="Arial" w:hAnsi="Arial" w:cs="Arial"/>
        </w:rPr>
        <w:t xml:space="preserve"> colorectal cancer. </w:t>
      </w:r>
      <w:r w:rsidRPr="00724935">
        <w:rPr>
          <w:rFonts w:ascii="Arial" w:hAnsi="Arial" w:cs="Arial"/>
          <w:b/>
          <w:bCs/>
        </w:rPr>
        <w:t>(g)</w:t>
      </w:r>
      <w:r w:rsidRPr="00297CE4">
        <w:rPr>
          <w:rFonts w:ascii="Arial" w:hAnsi="Arial" w:cs="Arial"/>
        </w:rPr>
        <w:t xml:space="preserve"> CRYAB expression levels in pancreatic cancer locally metastasized to pancreas or distantly metastasized to muscle. </w:t>
      </w:r>
      <w:r w:rsidRPr="00724935">
        <w:rPr>
          <w:rFonts w:ascii="Arial" w:hAnsi="Arial" w:cs="Arial"/>
          <w:b/>
          <w:bCs/>
        </w:rPr>
        <w:t>(h)</w:t>
      </w:r>
      <w:r w:rsidRPr="00297CE4">
        <w:rPr>
          <w:rFonts w:ascii="Arial" w:hAnsi="Arial" w:cs="Arial"/>
        </w:rPr>
        <w:t xml:space="preserve"> CRYAB expression levels in prostate cancer locally metastasized to lymph node or distantly metastasized to liver. </w:t>
      </w:r>
      <w:r w:rsidRPr="00724935">
        <w:rPr>
          <w:rFonts w:ascii="Arial" w:hAnsi="Arial" w:cs="Arial"/>
          <w:b/>
          <w:bCs/>
        </w:rPr>
        <w:t>(i)</w:t>
      </w:r>
      <w:r w:rsidRPr="00297CE4">
        <w:rPr>
          <w:rFonts w:ascii="Arial" w:hAnsi="Arial" w:cs="Arial"/>
        </w:rPr>
        <w:t xml:space="preserve"> CRYAB expression levels in lung cancer locally metastasized to lymph node or distantly metastasized to brain. Error bars indicate means and standard errors. </w:t>
      </w:r>
      <w:r w:rsidRPr="00297CE4">
        <w:rPr>
          <w:rFonts w:ascii="Arial" w:hAnsi="Arial" w:cs="Arial"/>
          <w:i/>
          <w:iCs/>
        </w:rPr>
        <w:t>P</w:t>
      </w:r>
      <w:r w:rsidRPr="00297CE4">
        <w:rPr>
          <w:rFonts w:ascii="Arial" w:hAnsi="Arial" w:cs="Arial"/>
        </w:rPr>
        <w:t xml:space="preserve"> values: two-sided </w:t>
      </w:r>
      <w:r w:rsidRPr="00297CE4">
        <w:rPr>
          <w:rFonts w:ascii="Arial" w:hAnsi="Arial" w:cs="Arial"/>
          <w:i/>
          <w:iCs/>
        </w:rPr>
        <w:t>t</w:t>
      </w:r>
      <w:r w:rsidRPr="00297CE4">
        <w:rPr>
          <w:rFonts w:ascii="Arial" w:hAnsi="Arial" w:cs="Arial"/>
        </w:rPr>
        <w:t xml:space="preserve"> tests.</w:t>
      </w:r>
    </w:p>
    <w:p w:rsidR="00690351" w:rsidRPr="00D41953" w:rsidRDefault="00690351" w:rsidP="00690351">
      <w:pPr>
        <w:pStyle w:val="Body"/>
        <w:spacing w:line="360" w:lineRule="auto"/>
        <w:rPr>
          <w:rFonts w:ascii="Arial" w:hAnsi="Arial" w:cs="Arial"/>
        </w:rPr>
      </w:pPr>
    </w:p>
    <w:p w:rsidR="00690351" w:rsidRPr="00D41953" w:rsidRDefault="00690351" w:rsidP="00690351">
      <w:pPr>
        <w:pStyle w:val="Body"/>
        <w:spacing w:line="360" w:lineRule="auto"/>
        <w:rPr>
          <w:rFonts w:ascii="Arial" w:hAnsi="Arial" w:cs="Arial"/>
        </w:rPr>
      </w:pPr>
    </w:p>
    <w:p w:rsidR="00690351" w:rsidRPr="000729E7" w:rsidRDefault="00690351" w:rsidP="00690351">
      <w:pPr>
        <w:pStyle w:val="Body"/>
        <w:rPr>
          <w:rFonts w:ascii="Arial" w:hAnsi="Arial" w:cs="Arial"/>
        </w:rPr>
      </w:pPr>
      <w:r w:rsidRPr="000729E7">
        <w:rPr>
          <w:rFonts w:ascii="Arial" w:hAnsi="Arial" w:cs="Arial"/>
          <w:sz w:val="16"/>
        </w:rPr>
        <w:t xml:space="preserve"> </w:t>
      </w:r>
      <w:r w:rsidRPr="000729E7">
        <w:rPr>
          <w:rFonts w:ascii="Arial" w:hAnsi="Arial" w:cs="Arial"/>
        </w:rPr>
        <w:t>Supplementary methodology:</w:t>
      </w:r>
    </w:p>
    <w:p w:rsidR="00690351" w:rsidRPr="000729E7" w:rsidRDefault="00690351" w:rsidP="00690351">
      <w:pPr>
        <w:jc w:val="both"/>
        <w:rPr>
          <w:rFonts w:ascii="Arial" w:hAnsi="Arial" w:cs="Arial"/>
          <w:sz w:val="20"/>
          <w:lang w:val="en-GB"/>
        </w:rPr>
      </w:pPr>
    </w:p>
    <w:p w:rsidR="00690351" w:rsidRPr="000729E7" w:rsidRDefault="00690351" w:rsidP="00690351">
      <w:pPr>
        <w:jc w:val="both"/>
        <w:rPr>
          <w:rFonts w:ascii="Arial" w:hAnsi="Arial" w:cs="Arial"/>
          <w:sz w:val="20"/>
          <w:lang w:val="en-GB"/>
        </w:rPr>
      </w:pPr>
      <w:r w:rsidRPr="000729E7">
        <w:rPr>
          <w:rFonts w:ascii="Arial" w:hAnsi="Arial" w:cs="Arial"/>
          <w:sz w:val="20"/>
          <w:lang w:val="en-GB"/>
        </w:rPr>
        <w:t>TCGA data analysis</w:t>
      </w:r>
    </w:p>
    <w:p w:rsidR="00690351" w:rsidRPr="000729E7" w:rsidRDefault="00690351" w:rsidP="00690351">
      <w:pPr>
        <w:jc w:val="both"/>
        <w:rPr>
          <w:rFonts w:ascii="Arial" w:hAnsi="Arial" w:cs="Arial"/>
          <w:sz w:val="20"/>
          <w:lang w:val="en-GB"/>
        </w:rPr>
      </w:pPr>
    </w:p>
    <w:p w:rsidR="00690351" w:rsidRPr="000729E7" w:rsidRDefault="00690351" w:rsidP="00690351">
      <w:pPr>
        <w:jc w:val="both"/>
        <w:rPr>
          <w:rFonts w:ascii="Arial" w:hAnsi="Arial" w:cs="Arial"/>
          <w:sz w:val="20"/>
          <w:lang w:val="en-GB"/>
        </w:rPr>
      </w:pPr>
      <w:r w:rsidRPr="000729E7">
        <w:rPr>
          <w:rFonts w:ascii="Arial" w:hAnsi="Arial" w:cs="Arial"/>
          <w:sz w:val="20"/>
          <w:lang w:val="en-GB"/>
        </w:rPr>
        <w:t>Signal Transduction Pathways: Pathway scores for each of these eight pathways were determined by integration of multi-platform data from several types of 'omics' analyses, as described by Hoadley et al., 2010 (PMID 25109877).</w:t>
      </w:r>
    </w:p>
    <w:p w:rsidR="00690351" w:rsidRPr="000729E7" w:rsidRDefault="00690351" w:rsidP="00690351">
      <w:pPr>
        <w:jc w:val="both"/>
        <w:rPr>
          <w:rFonts w:ascii="Arial" w:hAnsi="Arial" w:cs="Arial"/>
          <w:sz w:val="20"/>
          <w:lang w:val="en-GB"/>
        </w:rPr>
      </w:pPr>
    </w:p>
    <w:p w:rsidR="00690351" w:rsidRPr="000729E7" w:rsidRDefault="00690351" w:rsidP="00690351">
      <w:pPr>
        <w:jc w:val="both"/>
        <w:rPr>
          <w:rFonts w:ascii="Arial" w:hAnsi="Arial" w:cs="Arial"/>
          <w:sz w:val="20"/>
          <w:lang w:val="en-GB"/>
        </w:rPr>
      </w:pPr>
      <w:r w:rsidRPr="000729E7">
        <w:rPr>
          <w:rFonts w:ascii="Arial" w:hAnsi="Arial" w:cs="Arial"/>
          <w:sz w:val="20"/>
          <w:lang w:val="en-GB"/>
        </w:rPr>
        <w:lastRenderedPageBreak/>
        <w:t>Hypoxia and angiogenesis: Angiogenesis score: A 43-gene expression signature for the level of angiogenesis, as determined by Masiero et al., 2013 (PMID 23871637). Hypoxia score (Winter): A 99-gene expression signature for the level of hypoxia, as determined by Winter et al., 2007 (PMID 17409455). Hypoxia score (West</w:t>
      </w:r>
      <w:proofErr w:type="gramStart"/>
      <w:r w:rsidRPr="000729E7">
        <w:rPr>
          <w:rFonts w:ascii="Arial" w:hAnsi="Arial" w:cs="Arial"/>
          <w:sz w:val="20"/>
          <w:lang w:val="en-GB"/>
        </w:rPr>
        <w:t>) :</w:t>
      </w:r>
      <w:proofErr w:type="gramEnd"/>
      <w:r w:rsidRPr="000729E7">
        <w:rPr>
          <w:rFonts w:ascii="Arial" w:hAnsi="Arial" w:cs="Arial"/>
          <w:sz w:val="20"/>
          <w:lang w:val="en-GB"/>
        </w:rPr>
        <w:t xml:space="preserve"> A 26-gene expression signature for the level of hypoxia, as determined by Eustace et al., 2013 (PMID 23820108). Hypoxia score (Sorensen): A 27-gene expression signature for the level of hypoxia, as determined by Sorensen et al., 2010 (PMID 20429727). Hypoxia score (Seigneuric): A gene expression signature for the level of hypoxia, as determined by Seigneuric et al., 2007 (PMID </w:t>
      </w:r>
      <w:proofErr w:type="gramStart"/>
      <w:r w:rsidRPr="000729E7">
        <w:rPr>
          <w:rFonts w:ascii="Arial" w:hAnsi="Arial" w:cs="Arial"/>
          <w:sz w:val="20"/>
          <w:lang w:val="en-GB"/>
        </w:rPr>
        <w:t>17532074 )</w:t>
      </w:r>
      <w:proofErr w:type="gramEnd"/>
      <w:r w:rsidRPr="000729E7">
        <w:rPr>
          <w:rFonts w:ascii="Arial" w:hAnsi="Arial" w:cs="Arial"/>
          <w:sz w:val="20"/>
          <w:lang w:val="en-GB"/>
        </w:rPr>
        <w:t>. Hypoxia score (Ragnum): A 32-gene expression signature for the level of hypoxia, as determined by Ragnum et al., 2015 (PMID 25461803). Hypoxia score (Hu): A 13-gene expression signature for the level of hypoxia, as determined by Hu et al., 2009 (PMID 19291283).</w:t>
      </w:r>
    </w:p>
    <w:p w:rsidR="00690351" w:rsidRPr="000729E7" w:rsidRDefault="00690351" w:rsidP="00690351">
      <w:pPr>
        <w:jc w:val="both"/>
        <w:rPr>
          <w:rFonts w:ascii="Arial" w:hAnsi="Arial" w:cs="Arial"/>
          <w:sz w:val="20"/>
          <w:lang w:val="en-GB"/>
        </w:rPr>
      </w:pPr>
    </w:p>
    <w:p w:rsidR="00690351" w:rsidRPr="000729E7" w:rsidRDefault="00690351" w:rsidP="00690351">
      <w:pPr>
        <w:jc w:val="both"/>
        <w:rPr>
          <w:rFonts w:ascii="Arial" w:hAnsi="Arial" w:cs="Arial"/>
          <w:sz w:val="20"/>
          <w:lang w:val="en-GB"/>
        </w:rPr>
      </w:pPr>
      <w:r w:rsidRPr="000729E7">
        <w:rPr>
          <w:rFonts w:ascii="Arial" w:hAnsi="Arial" w:cs="Arial"/>
          <w:sz w:val="20"/>
          <w:lang w:val="en-GB"/>
        </w:rPr>
        <w:t xml:space="preserve">Autophagy and stemness: Autophagy-related prognostic signature: A prognostic gene expression signature based in the weighted expression of 8 autophagy-related genes, as described by An et al., 2018 (PMID 30410611). Stemness (mRNA): Level of stemness, based on mRNA data, determined as described by Malta et al., 2018 (PMID 29625051). </w:t>
      </w:r>
    </w:p>
    <w:p w:rsidR="00690351" w:rsidRPr="000729E7" w:rsidRDefault="00690351" w:rsidP="00690351">
      <w:pPr>
        <w:jc w:val="both"/>
        <w:rPr>
          <w:rFonts w:ascii="Arial" w:hAnsi="Arial" w:cs="Arial"/>
          <w:sz w:val="20"/>
          <w:lang w:val="en-GB"/>
        </w:rPr>
      </w:pPr>
    </w:p>
    <w:p w:rsidR="00690351" w:rsidRPr="000729E7" w:rsidRDefault="00690351" w:rsidP="00690351">
      <w:pPr>
        <w:jc w:val="both"/>
        <w:rPr>
          <w:rFonts w:ascii="Arial" w:hAnsi="Arial" w:cs="Arial"/>
          <w:sz w:val="20"/>
          <w:lang w:val="en-GB"/>
        </w:rPr>
      </w:pPr>
      <w:r w:rsidRPr="000729E7">
        <w:rPr>
          <w:rFonts w:ascii="Arial" w:hAnsi="Arial" w:cs="Arial"/>
          <w:sz w:val="20"/>
          <w:lang w:val="en-GB"/>
        </w:rPr>
        <w:t>Immune cell infiltration: The levels of indicated tumour-infiltrated immune cell types were estimated using the tumor immune estimation resource, developed by Li et al., 2016 (PMID 27549193).</w:t>
      </w:r>
    </w:p>
    <w:p w:rsidR="002F0F5E" w:rsidRDefault="00690351">
      <w:bookmarkStart w:id="0" w:name="_GoBack"/>
      <w:bookmarkEnd w:id="0"/>
    </w:p>
    <w:sectPr w:rsidR="002F0F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0351"/>
    <w:rsid w:val="0021090F"/>
    <w:rsid w:val="00690351"/>
    <w:rsid w:val="00C52827"/>
    <w:rsid w:val="00F66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622344-F6EB-456E-96A7-3D8218D7E2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690351"/>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690351"/>
    <w:pPr>
      <w:pBdr>
        <w:top w:val="nil"/>
        <w:left w:val="nil"/>
        <w:bottom w:val="nil"/>
        <w:right w:val="nil"/>
        <w:between w:val="nil"/>
        <w:bar w:val="nil"/>
      </w:pBdr>
      <w:spacing w:after="0" w:line="240" w:lineRule="auto"/>
    </w:pPr>
    <w:rPr>
      <w:rFonts w:ascii="Times New Roman" w:eastAsia="Times New Roman" w:hAnsi="Times New Roman" w:cs="Times New Roman"/>
      <w:color w:val="000000"/>
      <w:sz w:val="20"/>
      <w:szCs w:val="20"/>
      <w:u w:color="000000"/>
      <w:bdr w:val="nil"/>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glossaryDocument" Target="glossary/document.xml"/><Relationship Id="rId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E27CE12AF0EF4F3F929B823ECE28F34E"/>
        <w:category>
          <w:name w:val="General"/>
          <w:gallery w:val="placeholder"/>
        </w:category>
        <w:types>
          <w:type w:val="bbPlcHdr"/>
        </w:types>
        <w:behaviors>
          <w:behavior w:val="content"/>
        </w:behaviors>
        <w:guid w:val="{45BF0687-098D-4F5B-A37C-0A4E77F864A8}"/>
      </w:docPartPr>
      <w:docPartBody>
        <w:p w:rsidR="00000000" w:rsidRDefault="00DF03E8" w:rsidP="00DF03E8">
          <w:pPr>
            <w:pStyle w:val="E27CE12AF0EF4F3F929B823ECE28F34E"/>
          </w:pPr>
          <w:r w:rsidRPr="001E4A0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03E8"/>
    <w:rsid w:val="0039178B"/>
    <w:rsid w:val="00DF03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F03E8"/>
    <w:rPr>
      <w:color w:val="808080"/>
    </w:rPr>
  </w:style>
  <w:style w:type="paragraph" w:customStyle="1" w:styleId="E27CE12AF0EF4F3F929B823ECE28F34E">
    <w:name w:val="E27CE12AF0EF4F3F929B823ECE28F34E"/>
    <w:rsid w:val="00DF03E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1103</Words>
  <Characters>6288</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7377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Poonam Mutha</dc:creator>
  <cp:keywords/>
  <dc:description/>
  <cp:lastModifiedBy>Poonam Mutha</cp:lastModifiedBy>
  <cp:revision>1</cp:revision>
  <dcterms:created xsi:type="dcterms:W3CDTF">2022-08-01T07:07:00Z</dcterms:created>
  <dcterms:modified xsi:type="dcterms:W3CDTF">2022-08-01T07:07:00Z</dcterms:modified>
</cp:coreProperties>
</file>