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A24" w:rsidRPr="00AA0A24" w:rsidRDefault="00AA0A24" w:rsidP="00AA0A2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themeColor="text1"/>
          <w:sz w:val="20"/>
          <w:szCs w:val="20"/>
        </w:rPr>
      </w:pPr>
      <w:r w:rsidRPr="00AA0A24">
        <w:rPr>
          <w:rFonts w:ascii="Arial" w:hAnsi="Arial" w:cs="Arial"/>
          <w:b/>
          <w:bCs/>
          <w:sz w:val="20"/>
          <w:szCs w:val="20"/>
        </w:rPr>
        <w:t>Supplementary Material</w:t>
      </w:r>
      <w:r w:rsidRPr="00AA0A24">
        <w:rPr>
          <w:rFonts w:ascii="Arial" w:hAnsi="Arial" w:cs="Arial"/>
          <w:b/>
          <w:color w:val="000000" w:themeColor="text1"/>
          <w:sz w:val="20"/>
          <w:szCs w:val="20"/>
        </w:rPr>
        <w:t xml:space="preserve"> 2:</w:t>
      </w:r>
      <w:r w:rsidRPr="00AA0A24">
        <w:rPr>
          <w:rFonts w:ascii="Arial" w:hAnsi="Arial" w:cs="Arial"/>
          <w:color w:val="000000" w:themeColor="text1"/>
          <w:sz w:val="20"/>
          <w:szCs w:val="20"/>
        </w:rPr>
        <w:t xml:space="preserve"> </w:t>
      </w:r>
      <w:r w:rsidRPr="00AA0A24">
        <w:rPr>
          <w:rFonts w:ascii="Arial" w:hAnsi="Arial" w:cs="Arial"/>
          <w:color w:val="000000" w:themeColor="text1"/>
          <w:sz w:val="20"/>
          <w:szCs w:val="20"/>
        </w:rPr>
        <w:t>System of Protected Area Management Categories proposed by the International Union for Conservation of Nature and Natural Resources</w:t>
      </w:r>
    </w:p>
    <w:p w:rsidR="00AA0A24" w:rsidRPr="00AA0A24" w:rsidRDefault="00AA0A24" w:rsidP="00AA0A2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themeColor="text1"/>
          <w:sz w:val="20"/>
          <w:szCs w:val="20"/>
        </w:rPr>
      </w:pPr>
      <w:r w:rsidRPr="00AA0A24">
        <w:rPr>
          <w:rFonts w:ascii="Arial" w:hAnsi="Arial" w:cs="Arial"/>
          <w:color w:val="000000" w:themeColor="text1"/>
          <w:sz w:val="20"/>
          <w:szCs w:val="20"/>
        </w:rPr>
        <w:t>(IUCN) and their respective conservation objectives</w:t>
      </w:r>
    </w:p>
    <w:p w:rsidR="00AA0A24" w:rsidRPr="00AA0A24" w:rsidRDefault="00AA0A24" w:rsidP="00AA0A2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color w:val="000000" w:themeColor="text1"/>
          <w:sz w:val="20"/>
          <w:szCs w:val="20"/>
        </w:rPr>
      </w:pPr>
    </w:p>
    <w:tbl>
      <w:tblPr>
        <w:tblStyle w:val="7"/>
        <w:tblpPr w:leftFromText="141" w:rightFromText="141" w:vertAnchor="text" w:tblpY="1"/>
        <w:tblOverlap w:val="never"/>
        <w:tblW w:w="7944" w:type="dxa"/>
        <w:tblInd w:w="0" w:type="dxa"/>
        <w:tblLayout w:type="fixed"/>
        <w:tblLook w:val="04A0" w:firstRow="1" w:lastRow="0" w:firstColumn="1" w:lastColumn="0" w:noHBand="0" w:noVBand="1"/>
      </w:tblPr>
      <w:tblGrid>
        <w:gridCol w:w="2547"/>
        <w:gridCol w:w="5397"/>
      </w:tblGrid>
      <w:tr w:rsidR="00AA0A24" w:rsidRPr="00AA0A24" w:rsidTr="00AA0A24">
        <w:trPr>
          <w:trHeight w:val="256"/>
        </w:trPr>
        <w:tc>
          <w:tcPr>
            <w:tcW w:w="2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AA0A24" w:rsidRPr="00AA0A24" w:rsidRDefault="00AA0A24" w:rsidP="00AA0A24">
            <w:pPr>
              <w:tabs>
                <w:tab w:val="left" w:pos="709"/>
              </w:tabs>
              <w:spacing w:line="240" w:lineRule="auto"/>
              <w:jc w:val="center"/>
              <w:rPr>
                <w:rFonts w:ascii="Arial" w:hAnsi="Arial" w:cs="Arial"/>
                <w:color w:val="000000" w:themeColor="text1"/>
                <w:sz w:val="20"/>
                <w:szCs w:val="20"/>
                <w:lang w:eastAsia="pt-BR"/>
              </w:rPr>
            </w:pPr>
            <w:r w:rsidRPr="00AA0A24">
              <w:rPr>
                <w:rFonts w:ascii="Arial" w:hAnsi="Arial" w:cs="Arial"/>
                <w:color w:val="000000" w:themeColor="text1"/>
                <w:sz w:val="20"/>
                <w:szCs w:val="20"/>
                <w:lang w:eastAsia="pt-BR"/>
              </w:rPr>
              <w:t>Category</w:t>
            </w:r>
          </w:p>
        </w:tc>
        <w:tc>
          <w:tcPr>
            <w:tcW w:w="53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AA0A24" w:rsidRPr="00AA0A24" w:rsidRDefault="00AA0A24" w:rsidP="00AA0A24">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color w:val="000000" w:themeColor="text1"/>
                <w:sz w:val="20"/>
                <w:szCs w:val="20"/>
              </w:rPr>
            </w:pPr>
            <w:r w:rsidRPr="00AA0A24">
              <w:rPr>
                <w:rFonts w:ascii="Arial" w:hAnsi="Arial" w:cs="Arial"/>
                <w:color w:val="000000" w:themeColor="text1"/>
                <w:sz w:val="20"/>
                <w:szCs w:val="20"/>
              </w:rPr>
              <w:t>C</w:t>
            </w:r>
            <w:r w:rsidRPr="00AA0A24">
              <w:rPr>
                <w:rFonts w:ascii="Arial" w:hAnsi="Arial" w:cs="Arial"/>
                <w:color w:val="000000" w:themeColor="text1"/>
                <w:sz w:val="20"/>
                <w:szCs w:val="20"/>
              </w:rPr>
              <w:t>onservation objectives</w:t>
            </w:r>
          </w:p>
        </w:tc>
      </w:tr>
      <w:tr w:rsidR="00AA0A24" w:rsidRPr="00AA0A24" w:rsidTr="00AA0A24">
        <w:trPr>
          <w:trHeight w:val="256"/>
        </w:trPr>
        <w:tc>
          <w:tcPr>
            <w:tcW w:w="2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AA0A24" w:rsidRPr="00AA0A24" w:rsidRDefault="00AA0A24" w:rsidP="00AA0A24">
            <w:pPr>
              <w:tabs>
                <w:tab w:val="left" w:pos="709"/>
              </w:tabs>
              <w:spacing w:line="240" w:lineRule="auto"/>
              <w:jc w:val="center"/>
              <w:rPr>
                <w:rFonts w:ascii="Arial" w:hAnsi="Arial" w:cs="Arial"/>
                <w:color w:val="000000" w:themeColor="text1"/>
                <w:sz w:val="20"/>
                <w:szCs w:val="20"/>
                <w:lang w:eastAsia="pt-BR"/>
              </w:rPr>
            </w:pPr>
            <w:proofErr w:type="spellStart"/>
            <w:r w:rsidRPr="00AA0A24">
              <w:rPr>
                <w:rFonts w:ascii="Arial" w:hAnsi="Arial" w:cs="Arial"/>
                <w:color w:val="000000" w:themeColor="text1"/>
                <w:sz w:val="20"/>
                <w:szCs w:val="20"/>
                <w:lang w:eastAsia="pt-BR"/>
              </w:rPr>
              <w:t>Ia</w:t>
            </w:r>
            <w:proofErr w:type="spellEnd"/>
            <w:r w:rsidRPr="00AA0A24">
              <w:rPr>
                <w:rFonts w:ascii="Arial" w:hAnsi="Arial" w:cs="Arial"/>
                <w:color w:val="000000" w:themeColor="text1"/>
                <w:sz w:val="20"/>
                <w:szCs w:val="20"/>
                <w:lang w:eastAsia="pt-BR"/>
              </w:rPr>
              <w:t>: Strict nature reserve</w:t>
            </w:r>
          </w:p>
        </w:tc>
        <w:tc>
          <w:tcPr>
            <w:tcW w:w="53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AA0A24" w:rsidRPr="00AA0A24" w:rsidRDefault="00AA0A24" w:rsidP="00AA0A24">
            <w:pPr>
              <w:tabs>
                <w:tab w:val="left" w:pos="885"/>
              </w:tabs>
              <w:spacing w:line="240" w:lineRule="auto"/>
              <w:jc w:val="center"/>
              <w:rPr>
                <w:rFonts w:ascii="Arial" w:hAnsi="Arial" w:cs="Arial"/>
                <w:color w:val="000000" w:themeColor="text1"/>
                <w:sz w:val="20"/>
                <w:szCs w:val="20"/>
                <w:lang w:eastAsia="pt-BR"/>
              </w:rPr>
            </w:pPr>
            <w:r w:rsidRPr="00AA0A24">
              <w:rPr>
                <w:rFonts w:ascii="Arial" w:hAnsi="Arial" w:cs="Arial"/>
                <w:color w:val="000000" w:themeColor="text1"/>
                <w:sz w:val="20"/>
                <w:szCs w:val="20"/>
                <w:lang w:eastAsia="pt-BR"/>
              </w:rPr>
              <w:t xml:space="preserve">Category </w:t>
            </w:r>
            <w:proofErr w:type="spellStart"/>
            <w:r w:rsidRPr="00AA0A24">
              <w:rPr>
                <w:rFonts w:ascii="Arial" w:hAnsi="Arial" w:cs="Arial"/>
                <w:color w:val="000000" w:themeColor="text1"/>
                <w:sz w:val="20"/>
                <w:szCs w:val="20"/>
                <w:lang w:eastAsia="pt-BR"/>
              </w:rPr>
              <w:t>Ia</w:t>
            </w:r>
            <w:proofErr w:type="spellEnd"/>
            <w:r w:rsidRPr="00AA0A24">
              <w:rPr>
                <w:rFonts w:ascii="Arial" w:hAnsi="Arial" w:cs="Arial"/>
                <w:color w:val="000000" w:themeColor="text1"/>
                <w:sz w:val="20"/>
                <w:szCs w:val="20"/>
                <w:lang w:eastAsia="pt-BR"/>
              </w:rPr>
              <w:t xml:space="preserve"> are strictly protected areas set aside to protect biodiversity and also possibly geological/geomorphological features, where human visitation, use and impacts are strictly controlled and limited to ensure protection of the conservation values. Such protected areas can serve as indispensable reference areas for scientific research and monitoring.</w:t>
            </w:r>
          </w:p>
        </w:tc>
      </w:tr>
      <w:tr w:rsidR="00AA0A24" w:rsidRPr="00AA0A24" w:rsidTr="00AA0A24">
        <w:trPr>
          <w:trHeight w:val="256"/>
        </w:trPr>
        <w:tc>
          <w:tcPr>
            <w:tcW w:w="2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AA0A24" w:rsidRPr="00AA0A24" w:rsidRDefault="00AA0A24" w:rsidP="00AA0A24">
            <w:pPr>
              <w:tabs>
                <w:tab w:val="left" w:pos="709"/>
              </w:tabs>
              <w:spacing w:line="240" w:lineRule="auto"/>
              <w:jc w:val="center"/>
              <w:rPr>
                <w:rFonts w:ascii="Arial" w:hAnsi="Arial" w:cs="Arial"/>
                <w:color w:val="000000" w:themeColor="text1"/>
                <w:sz w:val="20"/>
                <w:szCs w:val="20"/>
                <w:lang w:eastAsia="pt-BR"/>
              </w:rPr>
            </w:pPr>
            <w:proofErr w:type="spellStart"/>
            <w:r w:rsidRPr="00AA0A24">
              <w:rPr>
                <w:rFonts w:ascii="Arial" w:hAnsi="Arial" w:cs="Arial"/>
                <w:color w:val="000000" w:themeColor="text1"/>
                <w:sz w:val="20"/>
                <w:szCs w:val="20"/>
                <w:lang w:eastAsia="pt-BR"/>
              </w:rPr>
              <w:t>Ib</w:t>
            </w:r>
            <w:proofErr w:type="spellEnd"/>
            <w:r w:rsidRPr="00AA0A24">
              <w:rPr>
                <w:rFonts w:ascii="Arial" w:hAnsi="Arial" w:cs="Arial"/>
                <w:color w:val="000000" w:themeColor="text1"/>
                <w:sz w:val="20"/>
                <w:szCs w:val="20"/>
                <w:lang w:eastAsia="pt-BR"/>
              </w:rPr>
              <w:t>: Wilderness area</w:t>
            </w:r>
          </w:p>
        </w:tc>
        <w:tc>
          <w:tcPr>
            <w:tcW w:w="53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AA0A24" w:rsidRPr="00AA0A24" w:rsidRDefault="00AA0A24" w:rsidP="00AA0A24">
            <w:pPr>
              <w:tabs>
                <w:tab w:val="left" w:pos="885"/>
              </w:tabs>
              <w:spacing w:line="240" w:lineRule="auto"/>
              <w:jc w:val="center"/>
              <w:rPr>
                <w:rFonts w:ascii="Arial" w:hAnsi="Arial" w:cs="Arial"/>
                <w:color w:val="000000" w:themeColor="text1"/>
                <w:sz w:val="20"/>
                <w:szCs w:val="20"/>
                <w:lang w:eastAsia="pt-BR"/>
              </w:rPr>
            </w:pPr>
            <w:r w:rsidRPr="00AA0A24">
              <w:rPr>
                <w:rFonts w:ascii="Arial" w:hAnsi="Arial" w:cs="Arial"/>
                <w:color w:val="000000" w:themeColor="text1"/>
                <w:sz w:val="20"/>
                <w:szCs w:val="20"/>
                <w:lang w:eastAsia="pt-BR"/>
              </w:rPr>
              <w:t xml:space="preserve">Category </w:t>
            </w:r>
            <w:proofErr w:type="spellStart"/>
            <w:r w:rsidRPr="00AA0A24">
              <w:rPr>
                <w:rFonts w:ascii="Arial" w:hAnsi="Arial" w:cs="Arial"/>
                <w:color w:val="000000" w:themeColor="text1"/>
                <w:sz w:val="20"/>
                <w:szCs w:val="20"/>
                <w:lang w:eastAsia="pt-BR"/>
              </w:rPr>
              <w:t>Ib</w:t>
            </w:r>
            <w:proofErr w:type="spellEnd"/>
            <w:r w:rsidRPr="00AA0A24">
              <w:rPr>
                <w:rFonts w:ascii="Arial" w:hAnsi="Arial" w:cs="Arial"/>
                <w:color w:val="000000" w:themeColor="text1"/>
                <w:sz w:val="20"/>
                <w:szCs w:val="20"/>
                <w:lang w:eastAsia="pt-BR"/>
              </w:rPr>
              <w:t xml:space="preserve"> protected areas are usually large unmodified or slightly modified areas, retaining their natural character and influence, without permanent or significant human habitation, which are protected and managed so as to preserve their natural condition.</w:t>
            </w:r>
          </w:p>
        </w:tc>
      </w:tr>
      <w:tr w:rsidR="00AA0A24" w:rsidRPr="00AA0A24" w:rsidTr="00AA0A24">
        <w:trPr>
          <w:trHeight w:val="1105"/>
        </w:trPr>
        <w:tc>
          <w:tcPr>
            <w:tcW w:w="2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AA0A24" w:rsidRPr="00AA0A24" w:rsidRDefault="00AA0A24" w:rsidP="00AA0A24">
            <w:pPr>
              <w:tabs>
                <w:tab w:val="left" w:pos="709"/>
              </w:tabs>
              <w:spacing w:line="240" w:lineRule="auto"/>
              <w:jc w:val="center"/>
              <w:rPr>
                <w:rFonts w:ascii="Arial" w:hAnsi="Arial" w:cs="Arial"/>
                <w:color w:val="000000" w:themeColor="text1"/>
                <w:sz w:val="20"/>
                <w:szCs w:val="20"/>
                <w:lang w:eastAsia="pt-BR"/>
              </w:rPr>
            </w:pPr>
            <w:r w:rsidRPr="00AA0A24">
              <w:rPr>
                <w:rFonts w:ascii="Arial" w:hAnsi="Arial" w:cs="Arial"/>
                <w:color w:val="000000" w:themeColor="text1"/>
                <w:sz w:val="20"/>
                <w:szCs w:val="20"/>
                <w:lang w:eastAsia="pt-BR"/>
              </w:rPr>
              <w:t>II: National park</w:t>
            </w:r>
          </w:p>
        </w:tc>
        <w:tc>
          <w:tcPr>
            <w:tcW w:w="53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AA0A24" w:rsidRPr="00AA0A24" w:rsidRDefault="00AA0A24" w:rsidP="00AA0A24">
            <w:pPr>
              <w:tabs>
                <w:tab w:val="left" w:pos="885"/>
              </w:tabs>
              <w:spacing w:line="240" w:lineRule="auto"/>
              <w:jc w:val="center"/>
              <w:rPr>
                <w:rFonts w:ascii="Arial" w:hAnsi="Arial" w:cs="Arial"/>
                <w:color w:val="000000" w:themeColor="text1"/>
                <w:sz w:val="20"/>
                <w:szCs w:val="20"/>
                <w:lang w:eastAsia="pt-BR"/>
              </w:rPr>
            </w:pPr>
            <w:r w:rsidRPr="00AA0A24">
              <w:rPr>
                <w:rFonts w:ascii="Arial" w:hAnsi="Arial" w:cs="Arial"/>
                <w:color w:val="000000" w:themeColor="text1"/>
                <w:sz w:val="20"/>
                <w:szCs w:val="20"/>
                <w:lang w:eastAsia="pt-BR"/>
              </w:rPr>
              <w:t xml:space="preserve">Category II protected areas are large natural or near natural areas set aside to protect large-scale ecological processes, along with the complement of species and ecosystems characteristic of the area, which also provide a foundation for environmentally and culturally compatible spiritual, scientific, educational, recreational and visitor opportunities. </w:t>
            </w:r>
          </w:p>
        </w:tc>
      </w:tr>
      <w:tr w:rsidR="00AA0A24" w:rsidRPr="00AA0A24" w:rsidTr="00AA0A24">
        <w:trPr>
          <w:trHeight w:val="256"/>
        </w:trPr>
        <w:tc>
          <w:tcPr>
            <w:tcW w:w="2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AA0A24" w:rsidRPr="00AA0A24" w:rsidRDefault="00AA0A24" w:rsidP="00AA0A24">
            <w:pPr>
              <w:tabs>
                <w:tab w:val="left" w:pos="709"/>
              </w:tabs>
              <w:spacing w:line="240" w:lineRule="auto"/>
              <w:jc w:val="center"/>
              <w:rPr>
                <w:rFonts w:ascii="Arial" w:hAnsi="Arial" w:cs="Arial"/>
                <w:color w:val="000000" w:themeColor="text1"/>
                <w:sz w:val="20"/>
                <w:szCs w:val="20"/>
                <w:lang w:eastAsia="pt-BR"/>
              </w:rPr>
            </w:pPr>
            <w:r w:rsidRPr="00AA0A24">
              <w:rPr>
                <w:rFonts w:ascii="Arial" w:hAnsi="Arial" w:cs="Arial"/>
                <w:color w:val="000000" w:themeColor="text1"/>
                <w:sz w:val="20"/>
                <w:szCs w:val="20"/>
                <w:lang w:eastAsia="pt-BR"/>
              </w:rPr>
              <w:t>III: Natural monument  or feature</w:t>
            </w:r>
          </w:p>
        </w:tc>
        <w:tc>
          <w:tcPr>
            <w:tcW w:w="53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AA0A24" w:rsidRPr="00AA0A24" w:rsidRDefault="00AA0A24" w:rsidP="00AA0A24">
            <w:pPr>
              <w:tabs>
                <w:tab w:val="left" w:pos="885"/>
              </w:tabs>
              <w:spacing w:line="240" w:lineRule="auto"/>
              <w:jc w:val="center"/>
              <w:rPr>
                <w:rFonts w:ascii="Arial" w:hAnsi="Arial" w:cs="Arial"/>
                <w:color w:val="000000" w:themeColor="text1"/>
                <w:sz w:val="20"/>
                <w:szCs w:val="20"/>
                <w:lang w:eastAsia="pt-BR"/>
              </w:rPr>
            </w:pPr>
            <w:r w:rsidRPr="00AA0A24">
              <w:rPr>
                <w:rFonts w:ascii="Arial" w:hAnsi="Arial" w:cs="Arial"/>
                <w:color w:val="000000" w:themeColor="text1"/>
                <w:sz w:val="20"/>
                <w:szCs w:val="20"/>
                <w:lang w:eastAsia="pt-BR"/>
              </w:rPr>
              <w:t>Category III protected areas are set aside to protect a specific natural monument, which can be a landfo</w:t>
            </w:r>
            <w:bookmarkStart w:id="0" w:name="_GoBack"/>
            <w:bookmarkEnd w:id="0"/>
            <w:r w:rsidRPr="00AA0A24">
              <w:rPr>
                <w:rFonts w:ascii="Arial" w:hAnsi="Arial" w:cs="Arial"/>
                <w:color w:val="000000" w:themeColor="text1"/>
                <w:sz w:val="20"/>
                <w:szCs w:val="20"/>
                <w:lang w:eastAsia="pt-BR"/>
              </w:rPr>
              <w:t>rm, sea mount, submarine cavern, geological feature such as a cave or even a living feature such as an ancient grove. They are generally quite small protected areas and often have high visitor value.</w:t>
            </w:r>
          </w:p>
        </w:tc>
      </w:tr>
      <w:tr w:rsidR="00AA0A24" w:rsidRPr="00AA0A24" w:rsidTr="00AA0A24">
        <w:trPr>
          <w:trHeight w:val="256"/>
        </w:trPr>
        <w:tc>
          <w:tcPr>
            <w:tcW w:w="2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AA0A24" w:rsidRPr="00AA0A24" w:rsidRDefault="00AA0A24" w:rsidP="00AA0A24">
            <w:pPr>
              <w:tabs>
                <w:tab w:val="left" w:pos="709"/>
              </w:tabs>
              <w:spacing w:line="240" w:lineRule="auto"/>
              <w:jc w:val="center"/>
              <w:rPr>
                <w:rFonts w:ascii="Arial" w:hAnsi="Arial" w:cs="Arial"/>
                <w:color w:val="000000" w:themeColor="text1"/>
                <w:sz w:val="20"/>
                <w:szCs w:val="20"/>
                <w:lang w:eastAsia="pt-BR"/>
              </w:rPr>
            </w:pPr>
            <w:r w:rsidRPr="00AA0A24">
              <w:rPr>
                <w:rFonts w:ascii="Arial" w:hAnsi="Arial" w:cs="Arial"/>
                <w:color w:val="000000" w:themeColor="text1"/>
                <w:sz w:val="20"/>
                <w:szCs w:val="20"/>
                <w:lang w:eastAsia="pt-BR"/>
              </w:rPr>
              <w:t>IV: Habitat/species management area</w:t>
            </w:r>
          </w:p>
        </w:tc>
        <w:tc>
          <w:tcPr>
            <w:tcW w:w="53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AA0A24" w:rsidRPr="00AA0A24" w:rsidRDefault="00AA0A24" w:rsidP="00AA0A24">
            <w:pPr>
              <w:tabs>
                <w:tab w:val="left" w:pos="885"/>
              </w:tabs>
              <w:spacing w:line="240" w:lineRule="auto"/>
              <w:jc w:val="center"/>
              <w:rPr>
                <w:rFonts w:ascii="Arial" w:hAnsi="Arial" w:cs="Arial"/>
                <w:color w:val="000000" w:themeColor="text1"/>
                <w:sz w:val="20"/>
                <w:szCs w:val="20"/>
                <w:lang w:eastAsia="pt-BR"/>
              </w:rPr>
            </w:pPr>
            <w:r w:rsidRPr="00AA0A24">
              <w:rPr>
                <w:rFonts w:ascii="Arial" w:hAnsi="Arial" w:cs="Arial"/>
                <w:color w:val="000000" w:themeColor="text1"/>
                <w:sz w:val="20"/>
                <w:szCs w:val="20"/>
                <w:lang w:eastAsia="pt-BR"/>
              </w:rPr>
              <w:t>Category IV protected areas aim to protect particular species or habitats and management reflects this priority. Many category IV protected areas will need regular, active interventions to address the requirements of particular species or to maintain habitats, but this is not a requirement of the category</w:t>
            </w:r>
          </w:p>
        </w:tc>
      </w:tr>
      <w:tr w:rsidR="00AA0A24" w:rsidRPr="00AA0A24" w:rsidTr="00AA0A24">
        <w:trPr>
          <w:trHeight w:val="256"/>
        </w:trPr>
        <w:tc>
          <w:tcPr>
            <w:tcW w:w="2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AA0A24" w:rsidRPr="00AA0A24" w:rsidRDefault="00AA0A24" w:rsidP="00AA0A24">
            <w:pPr>
              <w:tabs>
                <w:tab w:val="left" w:pos="709"/>
              </w:tabs>
              <w:spacing w:line="240" w:lineRule="auto"/>
              <w:jc w:val="center"/>
              <w:rPr>
                <w:rFonts w:ascii="Arial" w:hAnsi="Arial" w:cs="Arial"/>
                <w:color w:val="000000" w:themeColor="text1"/>
                <w:sz w:val="20"/>
                <w:szCs w:val="20"/>
                <w:lang w:eastAsia="pt-BR"/>
              </w:rPr>
            </w:pPr>
            <w:r w:rsidRPr="00AA0A24">
              <w:rPr>
                <w:rFonts w:ascii="Arial" w:hAnsi="Arial" w:cs="Arial"/>
                <w:color w:val="000000" w:themeColor="text1"/>
                <w:sz w:val="20"/>
                <w:szCs w:val="20"/>
                <w:lang w:eastAsia="pt-BR"/>
              </w:rPr>
              <w:t>V: Protected landscape/ seascape</w:t>
            </w:r>
          </w:p>
        </w:tc>
        <w:tc>
          <w:tcPr>
            <w:tcW w:w="53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AA0A24" w:rsidRPr="00AA0A24" w:rsidRDefault="00AA0A24" w:rsidP="00AA0A24">
            <w:pPr>
              <w:tabs>
                <w:tab w:val="left" w:pos="885"/>
              </w:tabs>
              <w:spacing w:line="240" w:lineRule="auto"/>
              <w:jc w:val="center"/>
              <w:rPr>
                <w:rFonts w:ascii="Arial" w:hAnsi="Arial" w:cs="Arial"/>
                <w:color w:val="000000" w:themeColor="text1"/>
                <w:sz w:val="20"/>
                <w:szCs w:val="20"/>
                <w:lang w:eastAsia="pt-BR"/>
              </w:rPr>
            </w:pPr>
            <w:r w:rsidRPr="00AA0A24">
              <w:rPr>
                <w:rFonts w:ascii="Arial" w:hAnsi="Arial" w:cs="Arial"/>
                <w:color w:val="000000" w:themeColor="text1"/>
                <w:sz w:val="20"/>
                <w:szCs w:val="20"/>
                <w:lang w:eastAsia="pt-BR"/>
              </w:rPr>
              <w:t>A protected area where the interaction of people and nature over time has produced an area of distinct character with significant ecological, biological, cultural and scenic value: and where safeguarding the integrity of this interaction is vital to protecting and sustaining the area and its associated nature conservation and other values</w:t>
            </w:r>
          </w:p>
        </w:tc>
      </w:tr>
      <w:tr w:rsidR="00AA0A24" w:rsidRPr="00AA0A24" w:rsidTr="00AA0A24">
        <w:trPr>
          <w:trHeight w:val="256"/>
        </w:trPr>
        <w:tc>
          <w:tcPr>
            <w:tcW w:w="254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AA0A24" w:rsidRPr="00AA0A24" w:rsidRDefault="00AA0A24" w:rsidP="00AA0A24">
            <w:pPr>
              <w:tabs>
                <w:tab w:val="left" w:pos="709"/>
              </w:tabs>
              <w:spacing w:line="240" w:lineRule="auto"/>
              <w:jc w:val="center"/>
              <w:rPr>
                <w:rFonts w:ascii="Arial" w:hAnsi="Arial" w:cs="Arial"/>
                <w:color w:val="000000" w:themeColor="text1"/>
                <w:sz w:val="20"/>
                <w:szCs w:val="20"/>
                <w:lang w:eastAsia="pt-BR"/>
              </w:rPr>
            </w:pPr>
            <w:r w:rsidRPr="00AA0A24">
              <w:rPr>
                <w:rFonts w:ascii="Arial" w:hAnsi="Arial" w:cs="Arial"/>
                <w:color w:val="000000" w:themeColor="text1"/>
                <w:sz w:val="20"/>
                <w:szCs w:val="20"/>
                <w:lang w:eastAsia="pt-BR"/>
              </w:rPr>
              <w:t>VI: Protected area with sustainable use of natural resources</w:t>
            </w:r>
          </w:p>
        </w:tc>
        <w:tc>
          <w:tcPr>
            <w:tcW w:w="539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AA0A24" w:rsidRPr="00AA0A24" w:rsidRDefault="00AA0A24" w:rsidP="00AA0A24">
            <w:pPr>
              <w:tabs>
                <w:tab w:val="left" w:pos="885"/>
              </w:tabs>
              <w:spacing w:line="240" w:lineRule="auto"/>
              <w:jc w:val="center"/>
              <w:rPr>
                <w:rFonts w:ascii="Arial" w:hAnsi="Arial" w:cs="Arial"/>
                <w:color w:val="000000" w:themeColor="text1"/>
                <w:sz w:val="20"/>
                <w:szCs w:val="20"/>
                <w:lang w:eastAsia="pt-BR"/>
              </w:rPr>
            </w:pPr>
            <w:r w:rsidRPr="00AA0A24">
              <w:rPr>
                <w:rFonts w:ascii="Arial" w:hAnsi="Arial" w:cs="Arial"/>
                <w:color w:val="000000" w:themeColor="text1"/>
                <w:sz w:val="20"/>
                <w:szCs w:val="20"/>
                <w:lang w:eastAsia="pt-BR"/>
              </w:rPr>
              <w:t>Category VI protected areas conserve ecosystems and habitats, together with associated cultural values and traditional natural resource management systems. They are generally large, with most of the area in a natural condition, where a proportion is under sustainable natural resource management and where low-level non-industrial use of natural resources compatible with nature conservation is seen as one of the main aims of the area</w:t>
            </w:r>
          </w:p>
        </w:tc>
      </w:tr>
    </w:tbl>
    <w:p w:rsidR="00AA0A24" w:rsidRPr="00AA0A24" w:rsidRDefault="00AA0A24" w:rsidP="00AA0A24">
      <w:pPr>
        <w:tabs>
          <w:tab w:val="left" w:pos="709"/>
        </w:tabs>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br w:type="textWrapping" w:clear="all"/>
      </w:r>
      <w:r w:rsidRPr="00AA0A24">
        <w:rPr>
          <w:rFonts w:ascii="Arial" w:hAnsi="Arial" w:cs="Arial"/>
          <w:color w:val="000000" w:themeColor="text1"/>
          <w:sz w:val="20"/>
          <w:szCs w:val="20"/>
        </w:rPr>
        <w:t>Source:</w:t>
      </w:r>
      <w:r w:rsidRPr="00AA0A24">
        <w:rPr>
          <w:rFonts w:ascii="Arial" w:hAnsi="Arial" w:cs="Arial"/>
          <w:color w:val="000000" w:themeColor="text1"/>
          <w:sz w:val="20"/>
          <w:szCs w:val="20"/>
        </w:rPr>
        <w:t xml:space="preserve"> Dudley, 2008.</w:t>
      </w:r>
    </w:p>
    <w:p w:rsidR="00AA0A24" w:rsidRPr="00AA0A24" w:rsidRDefault="00AA0A24" w:rsidP="00AA0A24">
      <w:pPr>
        <w:tabs>
          <w:tab w:val="left" w:pos="709"/>
        </w:tabs>
        <w:spacing w:after="0" w:line="240" w:lineRule="auto"/>
        <w:jc w:val="center"/>
        <w:rPr>
          <w:rFonts w:ascii="Arial" w:hAnsi="Arial" w:cs="Arial"/>
          <w:color w:val="000000" w:themeColor="text1"/>
          <w:sz w:val="20"/>
          <w:szCs w:val="20"/>
        </w:rPr>
      </w:pPr>
    </w:p>
    <w:p w:rsidR="003E5182" w:rsidRDefault="003E5182"/>
    <w:sectPr w:rsidR="003E518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A24"/>
    <w:rsid w:val="003E5182"/>
    <w:rsid w:val="00AA0A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7FEA5"/>
  <w15:chartTrackingRefBased/>
  <w15:docId w15:val="{3BBF2684-F9AB-4CB1-9F72-87F1C524F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A24"/>
    <w:pPr>
      <w:spacing w:line="480" w:lineRule="auto"/>
    </w:pPr>
    <w:rPr>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7">
    <w:name w:val="7"/>
    <w:basedOn w:val="Tabelanormal"/>
    <w:rsid w:val="00AA0A24"/>
    <w:pPr>
      <w:spacing w:after="0" w:line="240" w:lineRule="auto"/>
    </w:pPr>
    <w:rPr>
      <w:rFonts w:ascii="Times New Roman" w:eastAsia="Times New Roman" w:hAnsi="Times New Roman" w:cs="Times New Roman"/>
    </w:rPr>
    <w:tblPr>
      <w:tblStyleRowBandSize w:val="1"/>
      <w:tblStyleColBandSize w:val="1"/>
      <w:tblInd w:w="0" w:type="nil"/>
      <w:tblCellMar>
        <w:top w:w="100" w:type="dxa"/>
        <w:bottom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448</Words>
  <Characters>2423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Gomes</dc:creator>
  <cp:keywords/>
  <dc:description/>
  <cp:lastModifiedBy>Carolina Gomes</cp:lastModifiedBy>
  <cp:revision>1</cp:revision>
  <dcterms:created xsi:type="dcterms:W3CDTF">2022-07-18T18:02:00Z</dcterms:created>
  <dcterms:modified xsi:type="dcterms:W3CDTF">2022-07-18T18:15:00Z</dcterms:modified>
</cp:coreProperties>
</file>