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9873C" w14:textId="06956EF0" w:rsidR="00CF5C59" w:rsidRPr="00062586" w:rsidRDefault="008B4ED5">
      <w:pPr>
        <w:rPr>
          <w:rFonts w:ascii="Arial" w:hAnsi="Arial" w:cs="Arial"/>
        </w:rPr>
      </w:pPr>
      <w:r w:rsidRPr="00062586">
        <w:rPr>
          <w:rFonts w:ascii="Arial" w:hAnsi="Arial" w:cs="Arial"/>
          <w:b/>
          <w:bCs/>
        </w:rPr>
        <w:t>Supplementary Table 1</w:t>
      </w:r>
      <w:r w:rsidRPr="00062586">
        <w:rPr>
          <w:rFonts w:ascii="Arial" w:hAnsi="Arial" w:cs="Arial"/>
        </w:rPr>
        <w:t>. Factors included in the Diffusion Matrix, their Definitions, and Impact of Grading</w:t>
      </w:r>
    </w:p>
    <w:p w14:paraId="4C6E1928" w14:textId="36C7E162" w:rsidR="008B4ED5" w:rsidRPr="00062586" w:rsidRDefault="008B4ED5">
      <w:pPr>
        <w:rPr>
          <w:rFonts w:ascii="Arial" w:hAnsi="Arial" w:cs="Arial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3028"/>
        <w:gridCol w:w="3185"/>
        <w:gridCol w:w="3137"/>
      </w:tblGrid>
      <w:tr w:rsidR="00062586" w:rsidRPr="00062586" w14:paraId="658FD56D" w14:textId="77777777" w:rsidTr="000625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  <w:shd w:val="clear" w:color="auto" w:fill="D9D9D9" w:themeFill="background1" w:themeFillShade="D9"/>
          </w:tcPr>
          <w:p w14:paraId="43E37446" w14:textId="6DA1BA2C" w:rsidR="00C81AC9" w:rsidRPr="00062586" w:rsidRDefault="00C81AC9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Factor</w:t>
            </w:r>
          </w:p>
        </w:tc>
        <w:tc>
          <w:tcPr>
            <w:tcW w:w="3309" w:type="dxa"/>
            <w:shd w:val="clear" w:color="auto" w:fill="D9D9D9" w:themeFill="background1" w:themeFillShade="D9"/>
          </w:tcPr>
          <w:p w14:paraId="07F08371" w14:textId="48C283B3" w:rsidR="00C81AC9" w:rsidRPr="00062586" w:rsidRDefault="00C81A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Definition</w:t>
            </w:r>
          </w:p>
        </w:tc>
        <w:tc>
          <w:tcPr>
            <w:tcW w:w="3325" w:type="dxa"/>
            <w:shd w:val="clear" w:color="auto" w:fill="D9D9D9" w:themeFill="background1" w:themeFillShade="D9"/>
          </w:tcPr>
          <w:p w14:paraId="30EF40A5" w14:textId="416A4A41" w:rsidR="00C81AC9" w:rsidRPr="00062586" w:rsidRDefault="00C81A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Grading</w:t>
            </w:r>
            <w:r w:rsidR="001F57CC" w:rsidRPr="00062586">
              <w:rPr>
                <w:rFonts w:ascii="Arial" w:hAnsi="Arial" w:cs="Arial"/>
              </w:rPr>
              <w:t>/Impacts</w:t>
            </w:r>
          </w:p>
        </w:tc>
      </w:tr>
      <w:tr w:rsidR="00062586" w:rsidRPr="00062586" w14:paraId="0B6469DC" w14:textId="22786F96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764318DA" w14:textId="1DF5C4FF" w:rsidR="008B4ED5" w:rsidRPr="00062586" w:rsidRDefault="008B4ED5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Biological and clinical plausibility</w:t>
            </w:r>
          </w:p>
        </w:tc>
        <w:tc>
          <w:tcPr>
            <w:tcW w:w="3309" w:type="dxa"/>
          </w:tcPr>
          <w:p w14:paraId="071D5577" w14:textId="570D17ED" w:rsidR="008B4ED5" w:rsidRPr="00062586" w:rsidRDefault="008B4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 xml:space="preserve">Theoretical, laboratory, and clinical basis for use of treatment/intervention. </w:t>
            </w:r>
          </w:p>
        </w:tc>
        <w:tc>
          <w:tcPr>
            <w:tcW w:w="3325" w:type="dxa"/>
          </w:tcPr>
          <w:p w14:paraId="015D8EAF" w14:textId="265D7B43" w:rsidR="008B4ED5" w:rsidRPr="00062586" w:rsidRDefault="00C81A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High plausibility supports administration; low plausibility supports lack of use and rapid de-adoption</w:t>
            </w:r>
          </w:p>
        </w:tc>
      </w:tr>
      <w:tr w:rsidR="00062586" w:rsidRPr="00062586" w14:paraId="3C4F762B" w14:textId="7D378418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3F1C3E0B" w14:textId="2C41DC45" w:rsidR="008B4ED5" w:rsidRPr="00062586" w:rsidRDefault="008B4ED5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Conflicting evidence</w:t>
            </w:r>
          </w:p>
        </w:tc>
        <w:tc>
          <w:tcPr>
            <w:tcW w:w="3309" w:type="dxa"/>
          </w:tcPr>
          <w:p w14:paraId="3984F248" w14:textId="21DF23AC" w:rsidR="008B4ED5" w:rsidRPr="00062586" w:rsidRDefault="00C81A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Clinical evidence basis with similar or differing results. Higher quality clinical evidence given higher weight (e.g., clinical trials with more substantial impact than observational data).</w:t>
            </w:r>
          </w:p>
        </w:tc>
        <w:tc>
          <w:tcPr>
            <w:tcW w:w="3325" w:type="dxa"/>
          </w:tcPr>
          <w:p w14:paraId="55D39996" w14:textId="33351F61" w:rsidR="008B4ED5" w:rsidRPr="00062586" w:rsidRDefault="00C81A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Low conflicting evidence supports application of the treatment as found in the available evidence</w:t>
            </w:r>
            <w:r w:rsidR="001F57CC" w:rsidRPr="00062586">
              <w:rPr>
                <w:rFonts w:ascii="Arial" w:hAnsi="Arial" w:cs="Arial"/>
              </w:rPr>
              <w:t>. High levels of conflicting evidence support lack of use and slower rates of uptake.</w:t>
            </w:r>
          </w:p>
        </w:tc>
      </w:tr>
      <w:tr w:rsidR="001F57CC" w:rsidRPr="00062586" w14:paraId="2D550C55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63EF9E1E" w14:textId="7CE4A96B" w:rsidR="001F57CC" w:rsidRPr="00062586" w:rsidRDefault="001F57CC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Strength of Recommendation in Clinical Guidelines</w:t>
            </w:r>
          </w:p>
        </w:tc>
        <w:tc>
          <w:tcPr>
            <w:tcW w:w="3309" w:type="dxa"/>
          </w:tcPr>
          <w:p w14:paraId="7A91DC38" w14:textId="2020DAFC" w:rsidR="001F57CC" w:rsidRPr="00062586" w:rsidRDefault="00416A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Per standard definitions (E.g., A is highest)</w:t>
            </w:r>
            <w:r w:rsidR="002C716C" w:rsidRPr="00062586">
              <w:rPr>
                <w:rFonts w:ascii="Arial" w:hAnsi="Arial" w:cs="Arial"/>
              </w:rPr>
              <w:t>.</w:t>
            </w:r>
          </w:p>
        </w:tc>
        <w:tc>
          <w:tcPr>
            <w:tcW w:w="3325" w:type="dxa"/>
          </w:tcPr>
          <w:p w14:paraId="48BA477B" w14:textId="7250E1AF" w:rsidR="001F57CC" w:rsidRPr="00062586" w:rsidRDefault="00416A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Higher levels of evidence (</w:t>
            </w:r>
            <w:proofErr w:type="gramStart"/>
            <w:r w:rsidRPr="00062586">
              <w:rPr>
                <w:rFonts w:ascii="Arial" w:hAnsi="Arial" w:cs="Arial"/>
              </w:rPr>
              <w:t>e.g.</w:t>
            </w:r>
            <w:proofErr w:type="gramEnd"/>
            <w:r w:rsidRPr="00062586">
              <w:rPr>
                <w:rFonts w:ascii="Arial" w:hAnsi="Arial" w:cs="Arial"/>
              </w:rPr>
              <w:t xml:space="preserve"> A), are associated with higher probability that the recommendation will be followed. Lower levels of evidence are associated with lower probability the recommendation will be incorporated into practice.</w:t>
            </w:r>
          </w:p>
        </w:tc>
      </w:tr>
      <w:tr w:rsidR="002C716C" w:rsidRPr="00062586" w14:paraId="4D9FBA1B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6DF45399" w14:textId="13162863" w:rsidR="002C716C" w:rsidRPr="00062586" w:rsidRDefault="002C716C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Level of evidence</w:t>
            </w:r>
          </w:p>
        </w:tc>
        <w:tc>
          <w:tcPr>
            <w:tcW w:w="3309" w:type="dxa"/>
          </w:tcPr>
          <w:p w14:paraId="513819CE" w14:textId="098E4FF7" w:rsidR="002C716C" w:rsidRPr="00062586" w:rsidRDefault="002C71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Per standard definitions, the type of evidence supporting the recommendation.</w:t>
            </w:r>
          </w:p>
        </w:tc>
        <w:tc>
          <w:tcPr>
            <w:tcW w:w="3325" w:type="dxa"/>
          </w:tcPr>
          <w:p w14:paraId="7042CC2C" w14:textId="03BF6B80" w:rsidR="002C716C" w:rsidRPr="00062586" w:rsidRDefault="002C71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 xml:space="preserve">I </w:t>
            </w:r>
            <w:proofErr w:type="gramStart"/>
            <w:r w:rsidRPr="00062586">
              <w:rPr>
                <w:rFonts w:ascii="Arial" w:hAnsi="Arial" w:cs="Arial"/>
              </w:rPr>
              <w:t>is</w:t>
            </w:r>
            <w:proofErr w:type="gramEnd"/>
            <w:r w:rsidRPr="00062586">
              <w:rPr>
                <w:rFonts w:ascii="Arial" w:hAnsi="Arial" w:cs="Arial"/>
              </w:rPr>
              <w:t xml:space="preserve"> the highest and most likely to lead to an intervention being adopted as recommended in the clinical guidelines.</w:t>
            </w:r>
          </w:p>
        </w:tc>
      </w:tr>
      <w:tr w:rsidR="00416A01" w:rsidRPr="00062586" w14:paraId="2BEBDE38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5A00A801" w14:textId="3B0ED21C" w:rsidR="00416A01" w:rsidRPr="00062586" w:rsidRDefault="00416A01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Relative advantage</w:t>
            </w:r>
            <w:r w:rsidR="00781162" w:rsidRPr="00062586">
              <w:rPr>
                <w:rFonts w:ascii="Arial" w:hAnsi="Arial" w:cs="Arial"/>
              </w:rPr>
              <w:t>*</w:t>
            </w:r>
          </w:p>
        </w:tc>
        <w:tc>
          <w:tcPr>
            <w:tcW w:w="3309" w:type="dxa"/>
          </w:tcPr>
          <w:p w14:paraId="663A067A" w14:textId="3886A2D0" w:rsidR="00416A01" w:rsidRPr="00062586" w:rsidRDefault="00416A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 xml:space="preserve">The degree to which a new treatment </w:t>
            </w:r>
            <w:r w:rsidR="002C716C" w:rsidRPr="00062586">
              <w:rPr>
                <w:rFonts w:ascii="Arial" w:hAnsi="Arial" w:cs="Arial"/>
              </w:rPr>
              <w:t>has a clear and unambiguous advantage in either effectiveness or cost-effectiveness.</w:t>
            </w:r>
          </w:p>
        </w:tc>
        <w:tc>
          <w:tcPr>
            <w:tcW w:w="3325" w:type="dxa"/>
          </w:tcPr>
          <w:p w14:paraId="5B176789" w14:textId="4CC6131A" w:rsidR="00416A01" w:rsidRPr="00062586" w:rsidRDefault="002C71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higher the perceived benefit of the intervention, the more likely it is to be adopted. Interventions that are “first in-class” may have a particularly strong propensity to be adopted.</w:t>
            </w:r>
          </w:p>
        </w:tc>
      </w:tr>
      <w:tr w:rsidR="002C716C" w:rsidRPr="00062586" w14:paraId="02000463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5CAD0CB8" w14:textId="429F5D5B" w:rsidR="002C716C" w:rsidRPr="00062586" w:rsidRDefault="00D64D90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Compatibility with Clinical Needs</w:t>
            </w:r>
            <w:r w:rsidR="00781162" w:rsidRPr="00062586">
              <w:rPr>
                <w:rFonts w:ascii="Arial" w:hAnsi="Arial" w:cs="Arial"/>
              </w:rPr>
              <w:t>*</w:t>
            </w:r>
          </w:p>
        </w:tc>
        <w:tc>
          <w:tcPr>
            <w:tcW w:w="3309" w:type="dxa"/>
          </w:tcPr>
          <w:p w14:paraId="75CDE4B4" w14:textId="6FE6E313" w:rsidR="002C716C" w:rsidRPr="00062586" w:rsidRDefault="00D64D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perception that an intervention is compatible with clinical needs, values, and norms.</w:t>
            </w:r>
          </w:p>
        </w:tc>
        <w:tc>
          <w:tcPr>
            <w:tcW w:w="3325" w:type="dxa"/>
          </w:tcPr>
          <w:p w14:paraId="76CBC2E0" w14:textId="492B7D2B" w:rsidR="002C716C" w:rsidRPr="00062586" w:rsidRDefault="00D64D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higher the perceived compatibility, the more likely it is to be adopted.</w:t>
            </w:r>
          </w:p>
        </w:tc>
      </w:tr>
      <w:tr w:rsidR="00781162" w:rsidRPr="00062586" w14:paraId="76650DAB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59171BEB" w14:textId="39A0D584" w:rsidR="00781162" w:rsidRPr="00062586" w:rsidRDefault="00781162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Observability*</w:t>
            </w:r>
          </w:p>
        </w:tc>
        <w:tc>
          <w:tcPr>
            <w:tcW w:w="3309" w:type="dxa"/>
          </w:tcPr>
          <w:p w14:paraId="6696EC46" w14:textId="71F4BA40" w:rsidR="00781162" w:rsidRPr="00062586" w:rsidRDefault="00377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ability of the intervention to produce a change in clinical status that is measurable and observable for providers.</w:t>
            </w:r>
          </w:p>
        </w:tc>
        <w:tc>
          <w:tcPr>
            <w:tcW w:w="3325" w:type="dxa"/>
          </w:tcPr>
          <w:p w14:paraId="46F31478" w14:textId="18DEA1D9" w:rsidR="00781162" w:rsidRPr="00062586" w:rsidRDefault="00377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more apparent a change in clinical status is, the stronger the impact of the effect.</w:t>
            </w:r>
          </w:p>
        </w:tc>
      </w:tr>
      <w:tr w:rsidR="00781162" w:rsidRPr="00062586" w14:paraId="383DC177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21F07BFE" w14:textId="3FF7DC99" w:rsidR="00781162" w:rsidRPr="00062586" w:rsidRDefault="00781162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Perceived risk of the intervention</w:t>
            </w:r>
          </w:p>
        </w:tc>
        <w:tc>
          <w:tcPr>
            <w:tcW w:w="3309" w:type="dxa"/>
          </w:tcPr>
          <w:p w14:paraId="21D18CE7" w14:textId="08D87F30" w:rsidR="00781162" w:rsidRPr="00062586" w:rsidRDefault="00377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 xml:space="preserve">The </w:t>
            </w:r>
            <w:r w:rsidRPr="00062586">
              <w:rPr>
                <w:rFonts w:ascii="Arial" w:hAnsi="Arial" w:cs="Arial"/>
                <w:i/>
                <w:iCs/>
              </w:rPr>
              <w:t>perceived</w:t>
            </w:r>
            <w:r w:rsidRPr="00062586">
              <w:rPr>
                <w:rFonts w:ascii="Arial" w:hAnsi="Arial" w:cs="Arial"/>
              </w:rPr>
              <w:t xml:space="preserve"> risk of an intervention/potential to cause harm.</w:t>
            </w:r>
          </w:p>
        </w:tc>
        <w:tc>
          <w:tcPr>
            <w:tcW w:w="3325" w:type="dxa"/>
          </w:tcPr>
          <w:p w14:paraId="7F173449" w14:textId="63ED0F55" w:rsidR="00781162" w:rsidRPr="00062586" w:rsidRDefault="00377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 xml:space="preserve">The higher the </w:t>
            </w:r>
            <w:r w:rsidRPr="00062586">
              <w:rPr>
                <w:rFonts w:ascii="Arial" w:hAnsi="Arial" w:cs="Arial"/>
                <w:i/>
                <w:iCs/>
              </w:rPr>
              <w:t>perceived</w:t>
            </w:r>
            <w:r w:rsidRPr="00062586">
              <w:rPr>
                <w:rFonts w:ascii="Arial" w:hAnsi="Arial" w:cs="Arial"/>
              </w:rPr>
              <w:t xml:space="preserve"> risk </w:t>
            </w:r>
            <w:r w:rsidR="00ED5D88" w:rsidRPr="00062586">
              <w:rPr>
                <w:rFonts w:ascii="Arial" w:hAnsi="Arial" w:cs="Arial"/>
              </w:rPr>
              <w:t>of an intervention, the less likely it is to be adopted, and the more likely it is to be de-adopted.</w:t>
            </w:r>
          </w:p>
        </w:tc>
      </w:tr>
      <w:tr w:rsidR="00781162" w:rsidRPr="00062586" w14:paraId="0DB75C8E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7BD402E6" w14:textId="72222A97" w:rsidR="00781162" w:rsidRPr="00062586" w:rsidRDefault="00781162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lastRenderedPageBreak/>
              <w:t>Knowledge Required to Use the Intervention*</w:t>
            </w:r>
          </w:p>
        </w:tc>
        <w:tc>
          <w:tcPr>
            <w:tcW w:w="3309" w:type="dxa"/>
          </w:tcPr>
          <w:p w14:paraId="0F803DAD" w14:textId="0DBCC6DE" w:rsidR="00781162" w:rsidRPr="00062586" w:rsidRDefault="00ED5D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amount of baseline knowledge a provider needs to use a clinical intervention.</w:t>
            </w:r>
          </w:p>
        </w:tc>
        <w:tc>
          <w:tcPr>
            <w:tcW w:w="3325" w:type="dxa"/>
          </w:tcPr>
          <w:p w14:paraId="45CABCBC" w14:textId="5BE1B4DB" w:rsidR="00781162" w:rsidRPr="00062586" w:rsidRDefault="00ED5D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simpler the intervention, and the less knowledge that is required to administer it, the more likely it is to be adopted.</w:t>
            </w:r>
          </w:p>
        </w:tc>
      </w:tr>
      <w:tr w:rsidR="00781162" w:rsidRPr="00062586" w14:paraId="659722E2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5811BDE0" w14:textId="32086E1B" w:rsidR="00781162" w:rsidRPr="00062586" w:rsidRDefault="00781162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Familiarity with treatment</w:t>
            </w:r>
          </w:p>
        </w:tc>
        <w:tc>
          <w:tcPr>
            <w:tcW w:w="3309" w:type="dxa"/>
          </w:tcPr>
          <w:p w14:paraId="3BAE327C" w14:textId="75075C73" w:rsidR="00781162" w:rsidRPr="00062586" w:rsidRDefault="002B7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degree to which clinicians are familiar with specific interventions in other contexts.</w:t>
            </w:r>
          </w:p>
        </w:tc>
        <w:tc>
          <w:tcPr>
            <w:tcW w:w="3325" w:type="dxa"/>
          </w:tcPr>
          <w:p w14:paraId="24D39F68" w14:textId="63B493C5" w:rsidR="00781162" w:rsidRPr="00062586" w:rsidRDefault="002B7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more familiar and comfortable providers are with a treatment or a treatment class, the more likely that intervention is to be adopted.</w:t>
            </w:r>
          </w:p>
        </w:tc>
      </w:tr>
      <w:tr w:rsidR="00ED5D88" w:rsidRPr="00062586" w14:paraId="0A78B00B" w14:textId="77777777" w:rsidTr="00062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14:paraId="4AF86188" w14:textId="51084073" w:rsidR="00ED5D88" w:rsidRPr="00062586" w:rsidRDefault="00ED5D88" w:rsidP="00ED5D88">
            <w:pPr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Complexity of drug administration/monitoring</w:t>
            </w:r>
            <w:r w:rsidR="002B7B8D" w:rsidRPr="00062586">
              <w:rPr>
                <w:rFonts w:ascii="Arial" w:hAnsi="Arial" w:cs="Arial"/>
              </w:rPr>
              <w:t>*</w:t>
            </w:r>
          </w:p>
        </w:tc>
        <w:tc>
          <w:tcPr>
            <w:tcW w:w="3309" w:type="dxa"/>
          </w:tcPr>
          <w:p w14:paraId="35C27506" w14:textId="1FC483FD" w:rsidR="00ED5D88" w:rsidRPr="00062586" w:rsidRDefault="00ED5D88" w:rsidP="00ED5D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The complexity of the intervention for the provider and the patient.</w:t>
            </w:r>
            <w:r w:rsidR="002B7B8D" w:rsidRPr="00062586">
              <w:rPr>
                <w:rFonts w:ascii="Arial" w:hAnsi="Arial" w:cs="Arial"/>
              </w:rPr>
              <w:t xml:space="preserve"> This can include the complexity of drug administration or safety monitoring necessary.</w:t>
            </w:r>
          </w:p>
        </w:tc>
        <w:tc>
          <w:tcPr>
            <w:tcW w:w="3325" w:type="dxa"/>
          </w:tcPr>
          <w:p w14:paraId="00104020" w14:textId="7A1BD0DF" w:rsidR="00ED5D88" w:rsidRPr="00062586" w:rsidRDefault="00ED5D88" w:rsidP="00ED5D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62586">
              <w:rPr>
                <w:rFonts w:ascii="Arial" w:hAnsi="Arial" w:cs="Arial"/>
              </w:rPr>
              <w:t>Less complex and shorter-term interventions are more likely to be adopted than simpler and long-term interventions.</w:t>
            </w:r>
          </w:p>
        </w:tc>
      </w:tr>
    </w:tbl>
    <w:p w14:paraId="2D1E3BE1" w14:textId="183A2F1C" w:rsidR="008B4ED5" w:rsidRPr="00062586" w:rsidRDefault="00DC5238" w:rsidP="00DC5238">
      <w:pPr>
        <w:rPr>
          <w:rFonts w:ascii="Arial" w:hAnsi="Arial" w:cs="Arial"/>
        </w:rPr>
      </w:pPr>
      <w:r w:rsidRPr="00062586">
        <w:rPr>
          <w:rFonts w:ascii="Arial" w:hAnsi="Arial" w:cs="Arial"/>
        </w:rPr>
        <w:t>*Adapted from Greenhalgh et al. The following variables were not included in the Diffusion Matrix as they were not considered to be relevant to short-term administration of medications. These include: trialability, re-invention, fuzzy boundaries, task issues, and augmentation/support.</w:t>
      </w:r>
    </w:p>
    <w:sectPr w:rsidR="008B4ED5" w:rsidRPr="000625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5F1AD8"/>
    <w:multiLevelType w:val="hybridMultilevel"/>
    <w:tmpl w:val="3E80319C"/>
    <w:lvl w:ilvl="0" w:tplc="650AAC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ED5"/>
    <w:rsid w:val="00062586"/>
    <w:rsid w:val="001F57CC"/>
    <w:rsid w:val="002B7B8D"/>
    <w:rsid w:val="002C716C"/>
    <w:rsid w:val="003533C3"/>
    <w:rsid w:val="003777D4"/>
    <w:rsid w:val="00416A01"/>
    <w:rsid w:val="005F5C8F"/>
    <w:rsid w:val="00781162"/>
    <w:rsid w:val="008B4ED5"/>
    <w:rsid w:val="00C4298E"/>
    <w:rsid w:val="00C81AC9"/>
    <w:rsid w:val="00D64D90"/>
    <w:rsid w:val="00DC5238"/>
    <w:rsid w:val="00ED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E8457"/>
  <w15:chartTrackingRefBased/>
  <w15:docId w15:val="{BE9B643C-F31D-4886-81FA-BA1A95D3E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4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5238"/>
    <w:pPr>
      <w:ind w:left="720"/>
      <w:contextualSpacing/>
    </w:pPr>
  </w:style>
  <w:style w:type="table" w:styleId="GridTable1Light">
    <w:name w:val="Grid Table 1 Light"/>
    <w:basedOn w:val="TableNormal"/>
    <w:uiPriority w:val="46"/>
    <w:rsid w:val="0006258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625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25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25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25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258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Branch-Elliman, Westyn</dc:creator>
  <cp:keywords/>
  <dc:description/>
  <cp:lastModifiedBy>Branch-Elliman, Westyn</cp:lastModifiedBy>
  <cp:revision>3</cp:revision>
  <dcterms:created xsi:type="dcterms:W3CDTF">2022-06-14T14:11:00Z</dcterms:created>
  <dcterms:modified xsi:type="dcterms:W3CDTF">2022-06-30T22:20:00Z</dcterms:modified>
</cp:coreProperties>
</file>