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84E5" w14:textId="77777777" w:rsidR="00301B65" w:rsidRDefault="00301B65" w:rsidP="00301B65">
      <w:pPr>
        <w:pStyle w:val="NormalWeb"/>
        <w:spacing w:before="0" w:beforeAutospacing="0" w:after="160" w:afterAutospacing="0"/>
      </w:pPr>
      <w:r>
        <w:rPr>
          <w:b/>
          <w:bCs/>
          <w:color w:val="000000"/>
        </w:rPr>
        <w:t>Table 4. Nocturnal Actigraphy in MCI-DX, MCI-CON and NC Groups</w:t>
      </w:r>
    </w:p>
    <w:p w14:paraId="14843211" w14:textId="79B227CB" w:rsidR="00301B65" w:rsidRDefault="00301B65" w:rsidP="00301B65">
      <w:pPr>
        <w:pStyle w:val="NormalWeb"/>
        <w:spacing w:before="0" w:beforeAutospacing="0" w:after="160" w:afterAutospacing="0"/>
        <w:ind w:left="1440" w:firstLine="720"/>
      </w:pPr>
      <w:r>
        <w:rPr>
          <w:b/>
          <w:bCs/>
          <w:color w:val="000000"/>
          <w:sz w:val="18"/>
          <w:szCs w:val="18"/>
        </w:rPr>
        <w:t>          </w:t>
      </w:r>
    </w:p>
    <w:p w14:paraId="2E8166BB" w14:textId="199FB122" w:rsidR="00301B65" w:rsidRDefault="00301B65" w:rsidP="00301B65">
      <w:pPr>
        <w:pStyle w:val="NormalWeb"/>
        <w:spacing w:before="0" w:beforeAutospacing="0" w:after="160" w:afterAutospacing="0"/>
      </w:pPr>
      <w:r w:rsidRPr="00FB24AF">
        <w:rPr>
          <w:b/>
          <w:bCs/>
          <w:color w:val="000000"/>
        </w:rPr>
        <w:t>Actigraphy Variable          MCI-DX           MCI-CON              NC        </w:t>
      </w:r>
      <w:r w:rsidRPr="00FB24AF">
        <w:rPr>
          <w:rStyle w:val="apple-tab-span"/>
          <w:b/>
          <w:bCs/>
          <w:color w:val="000000"/>
        </w:rPr>
        <w:tab/>
      </w:r>
      <w:r w:rsidRPr="00FB24AF">
        <w:rPr>
          <w:b/>
          <w:bCs/>
          <w:color w:val="000000"/>
        </w:rPr>
        <w:t>            p</w:t>
      </w:r>
      <w:r>
        <w:rPr>
          <w:noProof/>
          <w:bdr w:val="none" w:sz="0" w:space="0" w:color="auto" w:frame="1"/>
        </w:rPr>
        <w:drawing>
          <wp:inline distT="0" distB="0" distL="0" distR="0" wp14:anchorId="6A569617" wp14:editId="16C8EA1E">
            <wp:extent cx="5943600" cy="762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EE262" w14:textId="7BB17729" w:rsidR="00301B65" w:rsidRPr="00FB24AF" w:rsidRDefault="00301B65" w:rsidP="00301B65">
      <w:pPr>
        <w:pStyle w:val="NormalWeb"/>
        <w:spacing w:before="0" w:beforeAutospacing="0" w:after="160" w:afterAutospacing="0"/>
      </w:pPr>
      <w:r w:rsidRPr="00FB24AF">
        <w:rPr>
          <w:color w:val="000000"/>
          <w:sz w:val="20"/>
          <w:szCs w:val="20"/>
        </w:rPr>
        <w:t>Wake Bout Time (WBT, min)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2.67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                     2.79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color w:val="000000"/>
          <w:sz w:val="18"/>
          <w:szCs w:val="18"/>
        </w:rPr>
        <w:t xml:space="preserve">                           2.32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color w:val="000000"/>
          <w:sz w:val="18"/>
          <w:szCs w:val="18"/>
        </w:rPr>
        <w:t xml:space="preserve">                        0.04</w:t>
      </w:r>
      <w:r w:rsidRPr="00FB24AF">
        <w:rPr>
          <w:color w:val="000000"/>
          <w:sz w:val="11"/>
          <w:szCs w:val="11"/>
          <w:vertAlign w:val="superscript"/>
        </w:rPr>
        <w:t>a</w:t>
      </w:r>
    </w:p>
    <w:p w14:paraId="2E4FAA43" w14:textId="48F845F8" w:rsidR="00301B65" w:rsidRPr="00FB24AF" w:rsidRDefault="00301B65" w:rsidP="00301B65">
      <w:pPr>
        <w:pStyle w:val="NormalWeb"/>
        <w:spacing w:before="0" w:beforeAutospacing="0" w:after="160" w:afterAutospacing="0"/>
      </w:pPr>
      <w:r w:rsidRPr="00FB24AF">
        <w:rPr>
          <w:color w:val="000000"/>
          <w:sz w:val="20"/>
          <w:szCs w:val="20"/>
        </w:rPr>
        <w:t xml:space="preserve">Sleep Fragmentation (SF, </w:t>
      </w:r>
      <w:proofErr w:type="spellStart"/>
      <w:r w:rsidRPr="00FB24AF">
        <w:rPr>
          <w:color w:val="000000"/>
          <w:sz w:val="20"/>
          <w:szCs w:val="20"/>
        </w:rPr>
        <w:t>freq</w:t>
      </w:r>
      <w:proofErr w:type="spellEnd"/>
      <w:r w:rsidRPr="00FB24AF">
        <w:rPr>
          <w:color w:val="000000"/>
          <w:sz w:val="20"/>
          <w:szCs w:val="20"/>
        </w:rPr>
        <w:t>)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>45.75</w:t>
      </w:r>
      <w:r w:rsidRPr="00FB24AF">
        <w:rPr>
          <w:color w:val="000000"/>
          <w:sz w:val="11"/>
          <w:szCs w:val="11"/>
          <w:vertAlign w:val="superscript"/>
        </w:rPr>
        <w:t>a,b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                      35.62</w:t>
      </w:r>
      <w:r w:rsidRPr="00FB24AF">
        <w:rPr>
          <w:color w:val="000000"/>
          <w:sz w:val="11"/>
          <w:szCs w:val="11"/>
          <w:vertAlign w:val="superscript"/>
        </w:rPr>
        <w:t>b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      32.79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color w:val="000000"/>
          <w:sz w:val="18"/>
          <w:szCs w:val="18"/>
        </w:rPr>
        <w:t>                 0.008</w:t>
      </w:r>
      <w:r w:rsidR="00FB24AF" w:rsidRPr="00FB24AF">
        <w:rPr>
          <w:color w:val="000000"/>
          <w:sz w:val="18"/>
          <w:szCs w:val="18"/>
        </w:rPr>
        <w:t>;</w:t>
      </w:r>
      <w:r w:rsidRPr="00FB24AF">
        <w:rPr>
          <w:color w:val="000000"/>
          <w:sz w:val="18"/>
          <w:szCs w:val="18"/>
        </w:rPr>
        <w:t xml:space="preserve"> 0.041</w:t>
      </w:r>
      <w:r w:rsidRPr="00FB24AF">
        <w:rPr>
          <w:color w:val="000000"/>
          <w:sz w:val="11"/>
          <w:szCs w:val="11"/>
          <w:vertAlign w:val="superscript"/>
        </w:rPr>
        <w:t>b</w:t>
      </w:r>
    </w:p>
    <w:p w14:paraId="41438BF4" w14:textId="2F5A9EB8" w:rsidR="00301B65" w:rsidRPr="00FB24AF" w:rsidRDefault="00301B65" w:rsidP="00301B65">
      <w:pPr>
        <w:pStyle w:val="NormalWeb"/>
        <w:spacing w:before="0" w:beforeAutospacing="0" w:after="160" w:afterAutospacing="0"/>
      </w:pPr>
      <w:r w:rsidRPr="00FB24AF">
        <w:rPr>
          <w:color w:val="000000"/>
          <w:sz w:val="20"/>
          <w:szCs w:val="20"/>
        </w:rPr>
        <w:t>Total Sleep Time (TST, min)</w:t>
      </w:r>
      <w:r w:rsidRPr="00FB24AF">
        <w:rPr>
          <w:color w:val="000000"/>
          <w:sz w:val="18"/>
          <w:szCs w:val="18"/>
        </w:rPr>
        <w:t xml:space="preserve">           379.94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                 431.89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>        454.30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        0.01</w:t>
      </w:r>
      <w:r w:rsidRPr="00FB24AF">
        <w:rPr>
          <w:color w:val="000000"/>
          <w:sz w:val="11"/>
          <w:szCs w:val="11"/>
          <w:vertAlign w:val="superscript"/>
        </w:rPr>
        <w:t>a</w:t>
      </w:r>
    </w:p>
    <w:p w14:paraId="575CF1A5" w14:textId="77777777" w:rsidR="00301B65" w:rsidRPr="00FB24AF" w:rsidRDefault="00301B65" w:rsidP="00301B65">
      <w:pPr>
        <w:pStyle w:val="NormalWeb"/>
        <w:spacing w:before="0" w:beforeAutospacing="0" w:after="160" w:afterAutospacing="0"/>
      </w:pPr>
      <w:r w:rsidRPr="00FB24AF">
        <w:rPr>
          <w:color w:val="000000"/>
          <w:sz w:val="20"/>
          <w:szCs w:val="20"/>
        </w:rPr>
        <w:t>Sleep Efficiency (SE, %)</w:t>
      </w:r>
      <w:r w:rsidRPr="00FB24AF">
        <w:rPr>
          <w:rStyle w:val="apple-tab-span"/>
          <w:color w:val="000000"/>
          <w:sz w:val="20"/>
          <w:szCs w:val="20"/>
        </w:rPr>
        <w:tab/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>76.74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                   83.65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>          82.01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        0.02</w:t>
      </w:r>
      <w:r w:rsidRPr="00FB24AF">
        <w:rPr>
          <w:color w:val="000000"/>
          <w:sz w:val="11"/>
          <w:szCs w:val="11"/>
          <w:vertAlign w:val="superscript"/>
        </w:rPr>
        <w:t>a</w:t>
      </w:r>
    </w:p>
    <w:p w14:paraId="23AF3743" w14:textId="77777777" w:rsidR="00301B65" w:rsidRPr="00FB24AF" w:rsidRDefault="00301B65" w:rsidP="00301B65">
      <w:pPr>
        <w:pStyle w:val="NormalWeb"/>
        <w:spacing w:before="0" w:beforeAutospacing="0" w:after="160" w:afterAutospacing="0"/>
      </w:pPr>
      <w:r w:rsidRPr="00FB24AF">
        <w:rPr>
          <w:color w:val="000000"/>
          <w:sz w:val="20"/>
          <w:szCs w:val="20"/>
        </w:rPr>
        <w:t>Sleep Latency (SL, min)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>44.08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                   13.84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>          27.85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        0.008</w:t>
      </w:r>
      <w:r w:rsidRPr="00FB24AF">
        <w:rPr>
          <w:color w:val="000000"/>
          <w:sz w:val="11"/>
          <w:szCs w:val="11"/>
          <w:vertAlign w:val="superscript"/>
        </w:rPr>
        <w:t>a</w:t>
      </w:r>
    </w:p>
    <w:p w14:paraId="13E7C389" w14:textId="77777777" w:rsidR="00301B65" w:rsidRDefault="00301B65" w:rsidP="00301B65">
      <w:pPr>
        <w:pStyle w:val="NormalWeb"/>
        <w:spacing w:before="0" w:beforeAutospacing="0" w:after="160" w:afterAutospacing="0"/>
      </w:pPr>
      <w:r w:rsidRPr="00FB24AF">
        <w:rPr>
          <w:color w:val="000000"/>
          <w:sz w:val="20"/>
          <w:szCs w:val="20"/>
        </w:rPr>
        <w:t xml:space="preserve">Mean Activity Score (MA, </w:t>
      </w:r>
      <w:proofErr w:type="spellStart"/>
      <w:r w:rsidRPr="00FB24AF">
        <w:rPr>
          <w:color w:val="000000"/>
          <w:sz w:val="20"/>
          <w:szCs w:val="20"/>
        </w:rPr>
        <w:t>freq</w:t>
      </w:r>
      <w:proofErr w:type="spellEnd"/>
      <w:r w:rsidRPr="00FB24AF">
        <w:rPr>
          <w:color w:val="000000"/>
          <w:sz w:val="20"/>
          <w:szCs w:val="20"/>
        </w:rPr>
        <w:t>)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>13.63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                   18.67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rStyle w:val="apple-tab-span"/>
          <w:color w:val="000000"/>
          <w:sz w:val="18"/>
          <w:szCs w:val="18"/>
        </w:rPr>
        <w:tab/>
      </w:r>
      <w:r w:rsidRPr="00FB24AF">
        <w:rPr>
          <w:color w:val="000000"/>
          <w:sz w:val="18"/>
          <w:szCs w:val="18"/>
        </w:rPr>
        <w:t xml:space="preserve">          12.76</w:t>
      </w:r>
      <w:r w:rsidRPr="00FB24AF">
        <w:rPr>
          <w:color w:val="000000"/>
          <w:sz w:val="11"/>
          <w:szCs w:val="11"/>
          <w:vertAlign w:val="superscript"/>
        </w:rPr>
        <w:t>a</w:t>
      </w:r>
      <w:r w:rsidRPr="00FB24AF">
        <w:rPr>
          <w:color w:val="000000"/>
          <w:sz w:val="18"/>
          <w:szCs w:val="18"/>
        </w:rPr>
        <w:t>                        0.006</w:t>
      </w:r>
      <w:r w:rsidRPr="00FB24AF">
        <w:rPr>
          <w:color w:val="000000"/>
          <w:sz w:val="11"/>
          <w:szCs w:val="11"/>
          <w:vertAlign w:val="superscript"/>
        </w:rPr>
        <w:t>a</w:t>
      </w:r>
      <w:r>
        <w:rPr>
          <w:noProof/>
          <w:bdr w:val="none" w:sz="0" w:space="0" w:color="auto" w:frame="1"/>
        </w:rPr>
        <w:drawing>
          <wp:inline distT="0" distB="0" distL="0" distR="0" wp14:anchorId="34CA3ABE" wp14:editId="53475999">
            <wp:extent cx="5943600" cy="76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5091B" w14:textId="5144F550" w:rsidR="00301B65" w:rsidRPr="00FB24AF" w:rsidRDefault="00301B65" w:rsidP="00301B65">
      <w:pPr>
        <w:pStyle w:val="NormalWeb"/>
        <w:spacing w:before="0" w:beforeAutospacing="0" w:after="160" w:afterAutospacing="0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br/>
      </w:r>
      <w:r>
        <w:rPr>
          <w:color w:val="000000"/>
          <w:sz w:val="20"/>
          <w:szCs w:val="20"/>
        </w:rPr>
        <w:t xml:space="preserve">Note. Multivariable Regression of MCI status and Actigraphy (mean = 6.7 nights) measures adjusted with covariates age, </w:t>
      </w:r>
      <w:r w:rsidR="00FB24AF">
        <w:rPr>
          <w:color w:val="000000"/>
          <w:sz w:val="20"/>
          <w:szCs w:val="20"/>
        </w:rPr>
        <w:t xml:space="preserve">                                                                   </w:t>
      </w:r>
      <w:r>
        <w:rPr>
          <w:color w:val="000000"/>
          <w:sz w:val="20"/>
          <w:szCs w:val="20"/>
        </w:rPr>
        <w:t xml:space="preserve">current depression,  years of education, and BMI were significant for these parameters WBT, SF, TST, SE, SL, M.A. (p&lt;.000); </w:t>
      </w:r>
      <w:r w:rsidR="00FB24AF">
        <w:rPr>
          <w:color w:val="000000"/>
          <w:sz w:val="20"/>
          <w:szCs w:val="20"/>
        </w:rPr>
        <w:t xml:space="preserve">                                                           </w:t>
      </w:r>
      <w:r>
        <w:rPr>
          <w:color w:val="000000"/>
          <w:sz w:val="20"/>
          <w:szCs w:val="20"/>
        </w:rPr>
        <w:t>post-hoc group differences are shown (p&lt;.001-.05) with superscript letters (</w:t>
      </w:r>
      <w:proofErr w:type="spellStart"/>
      <w:r>
        <w:rPr>
          <w:color w:val="000000"/>
          <w:sz w:val="20"/>
          <w:szCs w:val="20"/>
        </w:rPr>
        <w:t>a,b</w:t>
      </w:r>
      <w:proofErr w:type="spellEnd"/>
      <w:r>
        <w:rPr>
          <w:color w:val="000000"/>
          <w:sz w:val="20"/>
          <w:szCs w:val="20"/>
        </w:rPr>
        <w:t>) reflect pairwise differences. No group findings</w:t>
      </w:r>
      <w:r w:rsidR="00FB24AF">
        <w:rPr>
          <w:color w:val="000000"/>
          <w:sz w:val="20"/>
          <w:szCs w:val="20"/>
        </w:rPr>
        <w:t xml:space="preserve">                                                          </w:t>
      </w:r>
      <w:r>
        <w:rPr>
          <w:color w:val="000000"/>
          <w:sz w:val="20"/>
          <w:szCs w:val="20"/>
        </w:rPr>
        <w:t xml:space="preserve"> for time in bed, actual sleep percent, actual wake percent, sleep bouts, wake bouts, sleep bout time, immobile percent time, number</w:t>
      </w:r>
      <w:r w:rsidR="00FB24AF">
        <w:rPr>
          <w:color w:val="000000"/>
          <w:sz w:val="20"/>
          <w:szCs w:val="20"/>
        </w:rPr>
        <w:t xml:space="preserve">                                                                                          </w:t>
      </w:r>
      <w:r>
        <w:rPr>
          <w:color w:val="000000"/>
          <w:sz w:val="20"/>
          <w:szCs w:val="20"/>
        </w:rPr>
        <w:t xml:space="preserve"> of minutes moving, moving percent time, number of immobile phases, mean length immobility, mean one minute immobility, </w:t>
      </w:r>
      <w:r w:rsidR="00FB24AF">
        <w:rPr>
          <w:color w:val="000000"/>
          <w:sz w:val="20"/>
          <w:szCs w:val="20"/>
        </w:rPr>
        <w:t xml:space="preserve">                                                          </w:t>
      </w:r>
      <w:r>
        <w:rPr>
          <w:color w:val="000000"/>
          <w:sz w:val="20"/>
          <w:szCs w:val="20"/>
        </w:rPr>
        <w:t>total activity score, wake after sleep onset (WASO), S.D. of activity counts, or largest activity count.</w:t>
      </w:r>
    </w:p>
    <w:p w14:paraId="13B07BB5" w14:textId="77777777" w:rsidR="00301B65" w:rsidRDefault="00301B65"/>
    <w:sectPr w:rsidR="00301B65" w:rsidSect="00301B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65"/>
    <w:rsid w:val="00301B65"/>
    <w:rsid w:val="00FB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A813"/>
  <w15:chartTrackingRefBased/>
  <w15:docId w15:val="{C96440FF-8255-43A2-B2B6-166A163D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01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 Hayes</dc:creator>
  <cp:keywords/>
  <dc:description/>
  <cp:lastModifiedBy>Marie J Hayes</cp:lastModifiedBy>
  <cp:revision>1</cp:revision>
  <dcterms:created xsi:type="dcterms:W3CDTF">2022-07-26T16:12:00Z</dcterms:created>
  <dcterms:modified xsi:type="dcterms:W3CDTF">2022-07-26T16:22:00Z</dcterms:modified>
</cp:coreProperties>
</file>