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54E" w:rsidRPr="00A16195" w:rsidRDefault="00782337" w:rsidP="00A3754E">
      <w:pPr>
        <w:tabs>
          <w:tab w:val="left" w:pos="1425"/>
        </w:tabs>
        <w:spacing w:line="480" w:lineRule="auto"/>
        <w:rPr>
          <w:rFonts w:cstheme="minorHAnsi"/>
          <w:b/>
          <w:sz w:val="24"/>
          <w:szCs w:val="24"/>
          <w:lang w:val="en-US"/>
        </w:rPr>
      </w:pPr>
      <w:r>
        <w:rPr>
          <w:rFonts w:cstheme="minorHAnsi"/>
          <w:b/>
          <w:sz w:val="24"/>
          <w:szCs w:val="24"/>
          <w:lang w:val="en-US"/>
        </w:rPr>
        <w:t>Additional file 1</w:t>
      </w:r>
      <w:bookmarkStart w:id="0" w:name="_GoBack"/>
      <w:bookmarkEnd w:id="0"/>
    </w:p>
    <w:p w:rsidR="00A3754E" w:rsidRDefault="00A3754E" w:rsidP="00A3754E">
      <w:pPr>
        <w:tabs>
          <w:tab w:val="left" w:pos="1425"/>
        </w:tabs>
        <w:spacing w:line="480" w:lineRule="auto"/>
        <w:rPr>
          <w:rFonts w:cstheme="minorHAnsi"/>
          <w:sz w:val="24"/>
          <w:szCs w:val="24"/>
          <w:lang w:val="en-US"/>
        </w:rPr>
      </w:pPr>
      <w:r w:rsidRPr="00A16195">
        <w:rPr>
          <w:rFonts w:cstheme="minorHAnsi"/>
          <w:sz w:val="24"/>
          <w:szCs w:val="24"/>
          <w:lang w:val="en-US"/>
        </w:rPr>
        <w:t>The list of quantitative real-time PCR primer sequences.</w:t>
      </w:r>
    </w:p>
    <w:p w:rsidR="00A3754E" w:rsidRPr="00A16195" w:rsidRDefault="00A3754E" w:rsidP="00A3754E">
      <w:pPr>
        <w:tabs>
          <w:tab w:val="left" w:pos="1425"/>
        </w:tabs>
        <w:spacing w:line="480" w:lineRule="auto"/>
        <w:rPr>
          <w:rFonts w:cstheme="minorHAnsi"/>
          <w:sz w:val="24"/>
          <w:szCs w:val="24"/>
          <w:lang w:val="en-US"/>
        </w:rPr>
      </w:pPr>
    </w:p>
    <w:tbl>
      <w:tblPr>
        <w:tblStyle w:val="TableGrid"/>
        <w:tblpPr w:leftFromText="180" w:rightFromText="180" w:vertAnchor="page" w:horzAnchor="margin" w:tblpY="3286"/>
        <w:tblW w:w="0" w:type="auto"/>
        <w:tblLook w:val="04A0" w:firstRow="1" w:lastRow="0" w:firstColumn="1" w:lastColumn="0" w:noHBand="0" w:noVBand="1"/>
      </w:tblPr>
      <w:tblGrid>
        <w:gridCol w:w="566"/>
        <w:gridCol w:w="1630"/>
        <w:gridCol w:w="456"/>
        <w:gridCol w:w="3095"/>
        <w:gridCol w:w="905"/>
        <w:gridCol w:w="642"/>
        <w:gridCol w:w="1722"/>
      </w:tblGrid>
      <w:tr w:rsidR="00A3754E" w:rsidRPr="00A16195" w:rsidTr="0070264B">
        <w:tc>
          <w:tcPr>
            <w:tcW w:w="566" w:type="dxa"/>
          </w:tcPr>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NO.</w:t>
            </w:r>
          </w:p>
        </w:tc>
        <w:tc>
          <w:tcPr>
            <w:tcW w:w="1630" w:type="dxa"/>
          </w:tcPr>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GENE</w:t>
            </w:r>
          </w:p>
        </w:tc>
        <w:tc>
          <w:tcPr>
            <w:tcW w:w="3551" w:type="dxa"/>
            <w:gridSpan w:val="2"/>
          </w:tcPr>
          <w:p w:rsidR="00A3754E" w:rsidRPr="00A16195" w:rsidRDefault="00A3754E" w:rsidP="0070264B">
            <w:pPr>
              <w:spacing w:line="480" w:lineRule="auto"/>
              <w:rPr>
                <w:rFonts w:eastAsia="Calibri" w:cstheme="minorHAnsi"/>
                <w:b/>
                <w:sz w:val="20"/>
                <w:szCs w:val="20"/>
                <w:lang w:val="en-US"/>
              </w:rPr>
            </w:pPr>
            <w:r w:rsidRPr="00A16195">
              <w:rPr>
                <w:rFonts w:eastAsia="Calibri" w:cstheme="minorHAnsi"/>
                <w:b/>
                <w:sz w:val="20"/>
                <w:szCs w:val="20"/>
                <w:lang w:val="en-US"/>
              </w:rPr>
              <w:t>SEQUENCE FORWARD/REVERSE</w:t>
            </w:r>
          </w:p>
        </w:tc>
        <w:tc>
          <w:tcPr>
            <w:tcW w:w="905" w:type="dxa"/>
          </w:tcPr>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Product size (</w:t>
            </w:r>
            <w:proofErr w:type="spellStart"/>
            <w:r w:rsidRPr="00A16195">
              <w:rPr>
                <w:rFonts w:eastAsia="Calibri" w:cstheme="minorHAnsi"/>
                <w:b/>
                <w:sz w:val="20"/>
                <w:szCs w:val="20"/>
                <w:lang w:val="en-US"/>
              </w:rPr>
              <w:t>bp</w:t>
            </w:r>
            <w:proofErr w:type="spellEnd"/>
            <w:r w:rsidRPr="00A16195">
              <w:rPr>
                <w:rFonts w:eastAsia="Calibri" w:cstheme="minorHAnsi"/>
                <w:b/>
                <w:sz w:val="20"/>
                <w:szCs w:val="20"/>
                <w:lang w:val="en-US"/>
              </w:rPr>
              <w:t>)</w:t>
            </w:r>
          </w:p>
        </w:tc>
        <w:tc>
          <w:tcPr>
            <w:tcW w:w="642" w:type="dxa"/>
          </w:tcPr>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Tm</w:t>
            </w:r>
          </w:p>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w:t>
            </w:r>
            <m:oMath>
              <m:r>
                <m:rPr>
                  <m:sty m:val="bi"/>
                </m:rPr>
                <w:rPr>
                  <w:rFonts w:ascii="Cambria Math" w:eastAsia="Calibri" w:hAnsi="Cambria Math" w:cstheme="minorHAnsi"/>
                  <w:sz w:val="20"/>
                  <w:szCs w:val="20"/>
                  <w:lang w:val="en-US"/>
                </w:rPr>
                <m:t>°c</m:t>
              </m:r>
            </m:oMath>
            <w:r w:rsidRPr="00A16195">
              <w:rPr>
                <w:rFonts w:eastAsia="Calibri" w:cstheme="minorHAnsi"/>
                <w:b/>
                <w:sz w:val="20"/>
                <w:szCs w:val="20"/>
                <w:lang w:val="en-US"/>
              </w:rPr>
              <w:t>)</w:t>
            </w:r>
          </w:p>
        </w:tc>
        <w:tc>
          <w:tcPr>
            <w:tcW w:w="1722" w:type="dxa"/>
          </w:tcPr>
          <w:p w:rsidR="00A3754E" w:rsidRPr="00A16195" w:rsidRDefault="00A3754E" w:rsidP="0070264B">
            <w:pPr>
              <w:spacing w:line="480" w:lineRule="auto"/>
              <w:jc w:val="center"/>
              <w:rPr>
                <w:rFonts w:eastAsia="Calibri" w:cstheme="minorHAnsi"/>
                <w:b/>
                <w:sz w:val="20"/>
                <w:szCs w:val="20"/>
                <w:lang w:val="en-US"/>
              </w:rPr>
            </w:pPr>
            <w:r w:rsidRPr="00A16195">
              <w:rPr>
                <w:rFonts w:eastAsia="Calibri" w:cstheme="minorHAnsi"/>
                <w:b/>
                <w:sz w:val="20"/>
                <w:szCs w:val="20"/>
                <w:lang w:val="en-US"/>
              </w:rPr>
              <w:t>Sources</w:t>
            </w: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GAPDH</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color w:val="666666"/>
                <w:sz w:val="18"/>
                <w:szCs w:val="18"/>
              </w:rPr>
              <w:t>CGACCACTTTGTCAAGCTCA</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150</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60.0</w:t>
            </w:r>
          </w:p>
        </w:tc>
        <w:tc>
          <w:tcPr>
            <w:tcW w:w="1722" w:type="dxa"/>
            <w:vMerge w:val="restart"/>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fldChar w:fldCharType="begin" w:fldLock="1"/>
            </w:r>
            <w:r>
              <w:rPr>
                <w:rFonts w:cstheme="minorHAnsi"/>
                <w:sz w:val="24"/>
                <w:szCs w:val="24"/>
                <w:lang w:val="en-US"/>
              </w:rPr>
              <w:instrText>ADDIN CSL_CITATION {"citationItems":[{"id":"ITEM-1","itemData":{"DOI":"10.1186/gb-2002-3-7-research0034","ISSN":"14656914","PMID":"12184808","abstract":"BACKGROUND: Gene-expression analysis is increasingly important in biological research, with real-time reverse transcription PCR (RT-PCR) becoming the method of choice for high-throughput and accurate expression profiling of selected genes. Given the increased sensitivity, reproducibility and large dynamic range of this methodology, the requirements for a proper internal control gene for normalization have become increasingly stringent. Although housekeeping gene expression has been reported to vary considerably, no systematic survey has properly determined the errors related to the common practice of using only one control gene, nor presented an adequate way of working around this problem. RESULTS: We outline a robust and innovative strategy to identify the most stably expressed control genes in a given set of tissues, and to determine the minimum number of genes required to calculate a reliable normalization factor. We have evaluated ten housekeeping genes from different abundance and functional classes in various human tissues, and demonstrated that the conventional use of a single gene for normalization leads to relatively large errors in a significant proportion of samples tested. The geometric mean of multiple carefully selected housekeeping genes was validated as an accurate normalization factor by analyzing publicly available microarray data. CONCLUSIONS: The normalization strategy presented here is a prerequisite for accurate RT-PCR expression profiling, which, among other things, opens up the possibility of studying the biological relevance of small expression differences.","author":[{"dropping-particle":"","family":"Vandesompele","given":"J.","non-dropping-particle":"","parse-names":false,"suffix":""},{"dropping-particle":"","family":"Preter","given":"Katleen","non-dropping-particle":"De","parse-names":false,"suffix":""},{"dropping-particle":"","family":"Pattyn","given":"Filip","non-dropping-particle":"","parse-names":false,"suffix":""},{"dropping-particle":"","family":"Poppe","given":"Bruce","non-dropping-particle":"","parse-names":false,"suffix":""},{"dropping-particle":"","family":"Roy","given":"Nadine","non-dropping-particle":"Van","parse-names":false,"suffix":""},{"dropping-particle":"","family":"Paepe","given":"Anne","non-dropping-particle":"De","parse-names":false,"suffix":""},{"dropping-particle":"","family":"Speleman","given":"Frank","non-dropping-particle":"","parse-names":false,"suffix":""}],"container-title":"Genome biology","id":"ITEM-1","issue":"7","issued":{"date-parts":[["2002"]]},"title":"Accurate normalization of real-time quantitative RT-PCR data by geometric averaging of multiple internal control genes.","type":"article-journal","volume":"3"},"uris":["http://www.mendeley.com/documents/?uuid=458a5e23-9ff5-45f7-a851-04a858587d57"]}],"mendeley":{"formattedCitation":"(56)","plainTextFormattedCitation":"(56)","previouslyFormattedCitation":"(55)"},"properties":{"noteIndex":0},"schema":"https://github.com/citation-style-language/schema/raw/master/csl-citation.json"}</w:instrText>
            </w:r>
            <w:r w:rsidRPr="00A16195">
              <w:rPr>
                <w:rFonts w:cstheme="minorHAnsi"/>
                <w:sz w:val="24"/>
                <w:szCs w:val="24"/>
                <w:lang w:val="en-US"/>
              </w:rPr>
              <w:fldChar w:fldCharType="separate"/>
            </w:r>
            <w:r w:rsidRPr="00605D75">
              <w:rPr>
                <w:rFonts w:cstheme="minorHAnsi"/>
                <w:noProof/>
                <w:sz w:val="24"/>
                <w:szCs w:val="24"/>
                <w:lang w:val="en-US"/>
              </w:rPr>
              <w:t>(56)</w:t>
            </w:r>
            <w:r w:rsidRPr="00A16195">
              <w:rPr>
                <w:rFonts w:cstheme="minorHAnsi"/>
                <w:sz w:val="24"/>
                <w:szCs w:val="24"/>
                <w:lang w:val="en-US"/>
              </w:rPr>
              <w:fldChar w:fldCharType="end"/>
            </w: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color w:val="666666"/>
                <w:sz w:val="18"/>
                <w:szCs w:val="18"/>
                <w:shd w:val="clear" w:color="auto" w:fill="FFFFFF"/>
              </w:rPr>
              <w:t>GAGGGTCTCTCTCTTCCTCT</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60.0</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2</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CASP9</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eastAsia="Times New Roman" w:cstheme="minorHAnsi"/>
                <w:sz w:val="18"/>
                <w:szCs w:val="18"/>
                <w:lang w:eastAsia="en-MY"/>
              </w:rPr>
              <w:t>CTCAGACCAGAGATTCGCAAAC</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116</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60.9</w:t>
            </w:r>
          </w:p>
        </w:tc>
        <w:tc>
          <w:tcPr>
            <w:tcW w:w="1722" w:type="dxa"/>
            <w:vMerge w:val="restart"/>
          </w:tcPr>
          <w:p w:rsidR="00A3754E" w:rsidRPr="00A16195" w:rsidRDefault="00A3754E" w:rsidP="0070264B">
            <w:pPr>
              <w:tabs>
                <w:tab w:val="left" w:pos="1425"/>
              </w:tabs>
              <w:spacing w:line="480" w:lineRule="auto"/>
              <w:rPr>
                <w:rFonts w:cstheme="minorHAnsi"/>
                <w:sz w:val="24"/>
                <w:szCs w:val="24"/>
                <w:lang w:val="en-US"/>
              </w:rPr>
            </w:pPr>
            <w:r>
              <w:rPr>
                <w:rFonts w:cstheme="minorHAnsi"/>
                <w:sz w:val="24"/>
                <w:szCs w:val="24"/>
                <w:lang w:val="en-US"/>
              </w:rPr>
              <w:fldChar w:fldCharType="begin" w:fldLock="1"/>
            </w:r>
            <w:r>
              <w:rPr>
                <w:rFonts w:cstheme="minorHAnsi"/>
                <w:sz w:val="24"/>
                <w:szCs w:val="24"/>
                <w:lang w:val="en-US"/>
              </w:rPr>
              <w:instrText>ADDIN CSL_CITATION {"citationItems":[{"id":"ITEM-1","itemData":{"DOI":"10.1093/nar/gkr1013","ISSN":"03051048","PMID":"22086960","abstract":"Optimization of primer sequences for polymerase chain reaction (PCR) and quantitative PCR (qPCR) and reaction conditions remains an experimental challenge. We have developed a resource, PrimerBank, which contains primers that can be used for PCR and qPCR under stringent and allele-invariant amplification conditions. A distinguishing feature of PrimerBank is the experimental validation of primer pairs covering most known mouse genes. Here, we describe a major update of PrimerBank that includes the design of new primers covering 17 076 and 18 086 genes for the human and mouse species, respectively. As a result of this update, PrimerBank contains 497 156 primers (an increase of 62% from the previous version) that cover 36 928 human and mouse genes, corresponding to around 94% of all known protein-coding gene sequences. An updated algorithm based on our previous approach was used to design new primers using current genomic information available from the National Center for Biotechnology Information (NCBI). PrimerBank primers work under uniform PCR conditions, and can be used for high-throughput or genome-wide qPCR. Because of their broader linear dynamic range and greater sensitivity, qPCR approaches are used to reanalyze changes in expression suggested by exploratory technologies such as microarrays and RNA-Seq. The primers and all experimental validation data can be freely accessed from the PrimerBank website, http://pga.mgh.harvard.edu/ primerbank/. © The Author(s) 2011.","author":[{"dropping-particle":"","family":"Wang","given":"Xiaowei","non-dropping-particle":"","parse-names":false,"suffix":""},{"dropping-particle":"","family":"Spandidos","given":"Athanasia","non-dropping-particle":"","parse-names":false,"suffix":""},{"dropping-particle":"","family":"Wang","given":"Huajun","non-dropping-particle":"","parse-names":false,"suffix":""},{"dropping-particle":"","family":"Seed","given":"Brian","non-dropping-particle":"","parse-names":false,"suffix":""}],"container-title":"Nucleic Acids Research","id":"ITEM-1","issue":"D1","issued":{"date-parts":[["2012"]]},"page":"1144-1149","title":"PrimerBank: A PCR primer database for quantitative gene expression analysis, 2012 update","type":"article-journal","volume":"40"},"uris":["http://www.mendeley.com/documents/?uuid=d72fcf0d-671f-4286-bdd6-5a6a6d4f6ac2"]},{"id":"ITEM-2","itemData":{"DOI":"10.1093/nar/gkp1005","ISSN":"03051048","PMID":"19906719","abstract":"PrimerBank (http://pga.mgh.harvard.edu/primerbank/) is a public resource for the retrieval of human and mouse primer pairs for gene expression analysis by PCR and Quantitative PCR (QPCR). A total of 306 800 primers covering most known human and mouse genes can be accessed from the PrimerBank database, together with information on these primers such as Tm, location on the transcript and amplicon size. For each gene, at least one primer pair has been designed and in many cases alternative primer pairs exist. Primers have been designed to work under the same PCR conditions, thus facilitating high-throughput QPCR. There are several ways to search for primers for the gene(s) of interest, such as by: GenBank accession number, NCBI protein accession number, NCBI gene ID, PrimerBank ID, NCBI gene symbol or gene description (keyword). In all, 26 855 primer pairs covering most known mouse genes have been experimentally validated by QPCR, agarose gel analysis, sequencing and BLAST, and all validation data can be freely accessed from the PrimerBank web site. © The Author(s) 2009. Published by Oxford University Press.","author":[{"dropping-particle":"","family":"Spandidos","given":"Athanasia","non-dropping-particle":"","parse-names":false,"suffix":""},{"dropping-particle":"","family":"Wang","given":"Xiaowei","non-dropping-particle":"","parse-names":false,"suffix":""},{"dropping-particle":"","family":"Wang","given":"Huajun","non-dropping-particle":"","parse-names":false,"suffix":""},{"dropping-particle":"","family":"Seed","given":"Brian","non-dropping-particle":"","parse-names":false,"suffix":""}],"container-title":"Nucleic Acids Research","id":"ITEM-2","issue":"SUPPL.1","issued":{"date-parts":[["2009"]]},"page":"792-799","title":"PrimerBank: A resource of human and mouse PCR primer pairs for gene expression detection and quantification","type":"article-journal","volume":"38"},"uris":["http://www.mendeley.com/documents/?uuid=280ba4a5-02d8-4864-b2f0-70a306a9d8b6"]}],"mendeley":{"formattedCitation":"(57,58)","plainTextFormattedCitation":"(57,58)","previouslyFormattedCitation":"(56,57)"},"properties":{"noteIndex":0},"schema":"https://github.com/citation-style-language/schema/raw/master/csl-citation.json"}</w:instrText>
            </w:r>
            <w:r>
              <w:rPr>
                <w:rFonts w:cstheme="minorHAnsi"/>
                <w:sz w:val="24"/>
                <w:szCs w:val="24"/>
                <w:lang w:val="en-US"/>
              </w:rPr>
              <w:fldChar w:fldCharType="separate"/>
            </w:r>
            <w:r w:rsidRPr="00605D75">
              <w:rPr>
                <w:rFonts w:cstheme="minorHAnsi"/>
                <w:noProof/>
                <w:sz w:val="24"/>
                <w:szCs w:val="24"/>
                <w:lang w:val="en-US"/>
              </w:rPr>
              <w:t>(57,58)</w:t>
            </w:r>
            <w:r>
              <w:rPr>
                <w:rFonts w:cstheme="minorHAnsi"/>
                <w:sz w:val="24"/>
                <w:szCs w:val="24"/>
                <w:lang w:val="en-US"/>
              </w:rPr>
              <w:fldChar w:fldCharType="end"/>
            </w: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GCATTTCCCCTCAAACTCTCAA</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60.5</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3</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CD82</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GCTCATTCGAGACTACAACAGC</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144</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61.0</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Borders>
              <w:top w:val="nil"/>
              <w:left w:val="nil"/>
              <w:bottom w:val="nil"/>
              <w:right w:val="nil"/>
            </w:tcBorders>
            <w:shd w:val="clear" w:color="auto" w:fill="FFFFFF"/>
            <w:vAlign w:val="center"/>
          </w:tcPr>
          <w:p w:rsidR="00A3754E" w:rsidRPr="00A16195" w:rsidRDefault="00A3754E" w:rsidP="0070264B">
            <w:pPr>
              <w:spacing w:line="480" w:lineRule="auto"/>
              <w:rPr>
                <w:rFonts w:eastAsia="Times New Roman" w:cstheme="minorHAnsi"/>
                <w:sz w:val="18"/>
                <w:szCs w:val="18"/>
                <w:lang w:eastAsia="en-MY"/>
              </w:rPr>
            </w:pPr>
            <w:r w:rsidRPr="00A16195">
              <w:rPr>
                <w:rFonts w:eastAsia="Times New Roman" w:cstheme="minorHAnsi"/>
                <w:sz w:val="18"/>
                <w:szCs w:val="18"/>
                <w:lang w:eastAsia="en-MY"/>
              </w:rPr>
              <w:t>GTGACCTCAGGGCGATTCA</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61.4</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4</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FOXO4</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026"/>
              </w:tabs>
              <w:spacing w:line="480" w:lineRule="auto"/>
              <w:rPr>
                <w:rFonts w:eastAsia="Times New Roman" w:cstheme="minorHAnsi"/>
                <w:sz w:val="18"/>
                <w:szCs w:val="18"/>
                <w:lang w:eastAsia="en-MY"/>
              </w:rPr>
            </w:pPr>
            <w:r w:rsidRPr="00A16195">
              <w:rPr>
                <w:rFonts w:eastAsia="Times New Roman" w:cstheme="minorHAnsi"/>
                <w:sz w:val="18"/>
                <w:szCs w:val="18"/>
                <w:lang w:eastAsia="en-MY"/>
              </w:rPr>
              <w:t>GGCTGCCGCGATCATAGAC</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99</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62.9</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026"/>
              </w:tabs>
              <w:spacing w:line="480" w:lineRule="auto"/>
              <w:rPr>
                <w:rFonts w:cstheme="minorHAnsi"/>
                <w:sz w:val="18"/>
                <w:szCs w:val="18"/>
                <w:lang w:val="en-US"/>
              </w:rPr>
            </w:pPr>
            <w:r w:rsidRPr="00A16195">
              <w:rPr>
                <w:rFonts w:eastAsia="Times New Roman" w:cstheme="minorHAnsi"/>
                <w:sz w:val="18"/>
                <w:szCs w:val="18"/>
                <w:lang w:eastAsia="en-MY"/>
              </w:rPr>
              <w:t>GGCTGGTTAGCGATCTCTGG</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62.1</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5</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GABARAPL1</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ATGAAGTTCCAGTACAAGGAGGA</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116</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60.4</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GCTTTTGGAGCCTTCTCTACAAT</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60.5</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PPP2GR26</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CCACACGGGAGAATTACTAGCG</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104</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62.4</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eastAsia="Times New Roman" w:cstheme="minorHAnsi"/>
                <w:sz w:val="18"/>
                <w:szCs w:val="18"/>
                <w:lang w:eastAsia="en-MY"/>
              </w:rPr>
              <w:t>TGTATTCACCCCTACGATGAACC</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61.4</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7</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REL</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CAACCGAACATACCCTTCTATCC</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147</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60.2</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eastAsia="Times New Roman" w:cstheme="minorHAnsi"/>
                <w:sz w:val="18"/>
                <w:szCs w:val="18"/>
                <w:lang w:eastAsia="en-MY"/>
              </w:rPr>
              <w:t>TCTGCTTCATAGTAGCCGTCT</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60.1</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8</w:t>
            </w:r>
          </w:p>
        </w:tc>
        <w:tc>
          <w:tcPr>
            <w:tcW w:w="1630"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TGFB2</w:t>
            </w: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F</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cstheme="minorHAnsi"/>
                <w:sz w:val="18"/>
                <w:szCs w:val="18"/>
              </w:rPr>
              <w:t>CAGCACACTCGATATGGACCA</w:t>
            </w:r>
          </w:p>
        </w:tc>
        <w:tc>
          <w:tcPr>
            <w:tcW w:w="905"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113</w:t>
            </w: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61.6</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r w:rsidR="00A3754E" w:rsidRPr="00A16195" w:rsidTr="0070264B">
        <w:tc>
          <w:tcPr>
            <w:tcW w:w="566" w:type="dxa"/>
          </w:tcPr>
          <w:p w:rsidR="00A3754E" w:rsidRPr="00A16195" w:rsidRDefault="00A3754E" w:rsidP="0070264B">
            <w:pPr>
              <w:tabs>
                <w:tab w:val="left" w:pos="1425"/>
              </w:tabs>
              <w:spacing w:line="480" w:lineRule="auto"/>
              <w:rPr>
                <w:rFonts w:cstheme="minorHAnsi"/>
                <w:sz w:val="24"/>
                <w:szCs w:val="24"/>
                <w:lang w:val="en-US"/>
              </w:rPr>
            </w:pPr>
          </w:p>
        </w:tc>
        <w:tc>
          <w:tcPr>
            <w:tcW w:w="1630" w:type="dxa"/>
          </w:tcPr>
          <w:p w:rsidR="00A3754E" w:rsidRPr="00A16195" w:rsidRDefault="00A3754E" w:rsidP="0070264B">
            <w:pPr>
              <w:tabs>
                <w:tab w:val="left" w:pos="1425"/>
              </w:tabs>
              <w:spacing w:line="480" w:lineRule="auto"/>
              <w:rPr>
                <w:rFonts w:cstheme="minorHAnsi"/>
                <w:sz w:val="24"/>
                <w:szCs w:val="24"/>
                <w:lang w:val="en-US"/>
              </w:rPr>
            </w:pPr>
          </w:p>
        </w:tc>
        <w:tc>
          <w:tcPr>
            <w:tcW w:w="456" w:type="dxa"/>
          </w:tcPr>
          <w:p w:rsidR="00A3754E" w:rsidRPr="00A16195" w:rsidRDefault="00A3754E" w:rsidP="0070264B">
            <w:pPr>
              <w:tabs>
                <w:tab w:val="left" w:pos="1425"/>
              </w:tabs>
              <w:spacing w:line="480" w:lineRule="auto"/>
              <w:jc w:val="center"/>
              <w:rPr>
                <w:rFonts w:cstheme="minorHAnsi"/>
                <w:sz w:val="24"/>
                <w:szCs w:val="24"/>
                <w:lang w:val="en-US"/>
              </w:rPr>
            </w:pPr>
            <w:r w:rsidRPr="00A16195">
              <w:rPr>
                <w:rFonts w:cstheme="minorHAnsi"/>
                <w:sz w:val="24"/>
                <w:szCs w:val="24"/>
                <w:lang w:val="en-US"/>
              </w:rPr>
              <w:t>R</w:t>
            </w:r>
          </w:p>
        </w:tc>
        <w:tc>
          <w:tcPr>
            <w:tcW w:w="3095" w:type="dxa"/>
          </w:tcPr>
          <w:p w:rsidR="00A3754E" w:rsidRPr="00A16195" w:rsidRDefault="00A3754E" w:rsidP="0070264B">
            <w:pPr>
              <w:tabs>
                <w:tab w:val="left" w:pos="1425"/>
              </w:tabs>
              <w:spacing w:line="480" w:lineRule="auto"/>
              <w:rPr>
                <w:rFonts w:cstheme="minorHAnsi"/>
                <w:sz w:val="18"/>
                <w:szCs w:val="18"/>
                <w:lang w:val="en-US"/>
              </w:rPr>
            </w:pPr>
            <w:r w:rsidRPr="00A16195">
              <w:rPr>
                <w:rFonts w:eastAsia="Times New Roman" w:cstheme="minorHAnsi"/>
                <w:sz w:val="18"/>
                <w:szCs w:val="18"/>
                <w:lang w:eastAsia="en-MY"/>
              </w:rPr>
              <w:t>CCTCGGGCTCAGGATAGTCT</w:t>
            </w:r>
          </w:p>
        </w:tc>
        <w:tc>
          <w:tcPr>
            <w:tcW w:w="905" w:type="dxa"/>
          </w:tcPr>
          <w:p w:rsidR="00A3754E" w:rsidRPr="00A16195" w:rsidRDefault="00A3754E" w:rsidP="0070264B">
            <w:pPr>
              <w:tabs>
                <w:tab w:val="left" w:pos="1425"/>
              </w:tabs>
              <w:spacing w:line="480" w:lineRule="auto"/>
              <w:rPr>
                <w:rFonts w:cstheme="minorHAnsi"/>
                <w:sz w:val="24"/>
                <w:szCs w:val="24"/>
                <w:lang w:val="en-US"/>
              </w:rPr>
            </w:pPr>
          </w:p>
        </w:tc>
        <w:tc>
          <w:tcPr>
            <w:tcW w:w="642" w:type="dxa"/>
          </w:tcPr>
          <w:p w:rsidR="00A3754E" w:rsidRPr="00A16195" w:rsidRDefault="00A3754E" w:rsidP="0070264B">
            <w:pPr>
              <w:tabs>
                <w:tab w:val="left" w:pos="1425"/>
              </w:tabs>
              <w:spacing w:line="480" w:lineRule="auto"/>
              <w:rPr>
                <w:rFonts w:cstheme="minorHAnsi"/>
                <w:sz w:val="24"/>
                <w:szCs w:val="24"/>
                <w:lang w:val="en-US"/>
              </w:rPr>
            </w:pPr>
            <w:r w:rsidRPr="00A16195">
              <w:rPr>
                <w:rFonts w:cstheme="minorHAnsi"/>
                <w:sz w:val="24"/>
                <w:szCs w:val="24"/>
                <w:lang w:val="en-US"/>
              </w:rPr>
              <w:t>62.1</w:t>
            </w:r>
          </w:p>
        </w:tc>
        <w:tc>
          <w:tcPr>
            <w:tcW w:w="1722" w:type="dxa"/>
            <w:vMerge/>
          </w:tcPr>
          <w:p w:rsidR="00A3754E" w:rsidRPr="00A16195" w:rsidRDefault="00A3754E" w:rsidP="0070264B">
            <w:pPr>
              <w:tabs>
                <w:tab w:val="left" w:pos="1425"/>
              </w:tabs>
              <w:spacing w:line="480" w:lineRule="auto"/>
              <w:rPr>
                <w:rFonts w:cstheme="minorHAnsi"/>
                <w:sz w:val="24"/>
                <w:szCs w:val="24"/>
                <w:lang w:val="en-US"/>
              </w:rPr>
            </w:pPr>
          </w:p>
        </w:tc>
      </w:tr>
    </w:tbl>
    <w:p w:rsidR="00A3754E" w:rsidRPr="00A16195" w:rsidRDefault="00A3754E" w:rsidP="00A3754E">
      <w:pPr>
        <w:rPr>
          <w:rFonts w:cstheme="minorHAnsi"/>
        </w:rPr>
      </w:pPr>
    </w:p>
    <w:p w:rsidR="00B04DF1" w:rsidRDefault="00B04DF1"/>
    <w:sectPr w:rsidR="00B04D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54E"/>
    <w:rsid w:val="000E785E"/>
    <w:rsid w:val="000F7F31"/>
    <w:rsid w:val="001577B9"/>
    <w:rsid w:val="00565CEE"/>
    <w:rsid w:val="0075367C"/>
    <w:rsid w:val="00782337"/>
    <w:rsid w:val="007870F8"/>
    <w:rsid w:val="009B472E"/>
    <w:rsid w:val="00A26746"/>
    <w:rsid w:val="00A3754E"/>
    <w:rsid w:val="00B04DF1"/>
    <w:rsid w:val="00D9429E"/>
    <w:rsid w:val="00F649C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ACDEAB-96A7-4BBE-8519-D4A70ABB4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75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7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1311</Words>
  <Characters>7478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 Sandra Pey Adum</dc:creator>
  <cp:keywords/>
  <dc:description/>
  <cp:lastModifiedBy>Kristine Sandra Pey Adum</cp:lastModifiedBy>
  <cp:revision>2</cp:revision>
  <dcterms:created xsi:type="dcterms:W3CDTF">2022-07-26T17:28:00Z</dcterms:created>
  <dcterms:modified xsi:type="dcterms:W3CDTF">2022-07-26T17:28:00Z</dcterms:modified>
</cp:coreProperties>
</file>