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7C219" w14:textId="77777777" w:rsidR="00F7493A" w:rsidRDefault="00F7493A" w:rsidP="00F7493A">
      <w:r>
        <w:rPr>
          <w:b/>
        </w:rPr>
        <w:t>Supplementary Information</w:t>
      </w:r>
    </w:p>
    <w:p w14:paraId="79AE1DB5" w14:textId="77777777" w:rsidR="00F7493A" w:rsidRDefault="00F7493A" w:rsidP="00F7493A"/>
    <w:p w14:paraId="27B6A6C9" w14:textId="77777777" w:rsidR="00F7493A" w:rsidRDefault="00F7493A" w:rsidP="00F7493A"/>
    <w:p w14:paraId="25293494" w14:textId="77777777" w:rsidR="00F7493A" w:rsidRDefault="00F7493A" w:rsidP="00F7493A">
      <w:r>
        <w:rPr>
          <w:noProof/>
        </w:rPr>
        <w:drawing>
          <wp:inline distT="0" distB="0" distL="0" distR="0" wp14:anchorId="2EBAEE1D" wp14:editId="544DAA19">
            <wp:extent cx="5943600" cy="7284085"/>
            <wp:effectExtent l="0" t="0" r="0" b="5715"/>
            <wp:docPr id="5" name="Picture 5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Map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8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2D726" w14:textId="77777777" w:rsidR="00F7493A" w:rsidRDefault="00F7493A" w:rsidP="00F7493A">
      <w:pPr>
        <w:rPr>
          <w:sz w:val="18"/>
          <w:szCs w:val="18"/>
        </w:rPr>
      </w:pPr>
      <w:r>
        <w:rPr>
          <w:b/>
          <w:sz w:val="18"/>
          <w:szCs w:val="18"/>
        </w:rPr>
        <w:t>Fig. S1 | Northward Migration of the ITCZ</w:t>
      </w:r>
      <w:r>
        <w:rPr>
          <w:sz w:val="18"/>
          <w:szCs w:val="18"/>
        </w:rPr>
        <w:t>. Responses to wildfire emission in total precipitation for February (</w:t>
      </w:r>
      <w:r w:rsidRPr="00235117">
        <w:rPr>
          <w:b/>
          <w:bCs/>
          <w:sz w:val="18"/>
          <w:szCs w:val="18"/>
        </w:rPr>
        <w:t>a</w:t>
      </w:r>
      <w:r>
        <w:rPr>
          <w:sz w:val="18"/>
          <w:szCs w:val="18"/>
        </w:rPr>
        <w:t>), March (</w:t>
      </w:r>
      <w:r w:rsidRPr="00235117">
        <w:rPr>
          <w:b/>
          <w:bCs/>
          <w:sz w:val="18"/>
          <w:szCs w:val="18"/>
        </w:rPr>
        <w:t>b</w:t>
      </w:r>
      <w:r>
        <w:rPr>
          <w:sz w:val="18"/>
          <w:szCs w:val="18"/>
        </w:rPr>
        <w:t>), and Apr (</w:t>
      </w:r>
      <w:r w:rsidRPr="00235117">
        <w:rPr>
          <w:b/>
          <w:bCs/>
          <w:sz w:val="18"/>
          <w:szCs w:val="18"/>
        </w:rPr>
        <w:t>c</w:t>
      </w:r>
      <w:r>
        <w:rPr>
          <w:sz w:val="18"/>
          <w:szCs w:val="18"/>
        </w:rPr>
        <w:t xml:space="preserve">) 2020. Also shown are the low-level wind field responses (vectors). </w:t>
      </w:r>
    </w:p>
    <w:p w14:paraId="0B94AE4A" w14:textId="77777777" w:rsidR="00F7493A" w:rsidRDefault="00F7493A" w:rsidP="00F7493A">
      <w:r>
        <w:rPr>
          <w:noProof/>
        </w:rPr>
        <w:lastRenderedPageBreak/>
        <w:drawing>
          <wp:inline distT="0" distB="0" distL="0" distR="0" wp14:anchorId="42835993" wp14:editId="441023BC">
            <wp:extent cx="5943600" cy="7284085"/>
            <wp:effectExtent l="0" t="0" r="0" b="5715"/>
            <wp:docPr id="6" name="Picture 6" descr="Map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Map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8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F0C6C" w14:textId="77777777" w:rsidR="00F7493A" w:rsidRDefault="00F7493A" w:rsidP="00F7493A">
      <w:pPr>
        <w:rPr>
          <w:sz w:val="18"/>
          <w:szCs w:val="18"/>
        </w:rPr>
      </w:pPr>
      <w:r>
        <w:rPr>
          <w:b/>
          <w:sz w:val="18"/>
          <w:szCs w:val="18"/>
        </w:rPr>
        <w:t>Fig. S2 | Tropical Intrusion of Low Specific Humidity</w:t>
      </w:r>
      <w:r>
        <w:rPr>
          <w:sz w:val="18"/>
          <w:szCs w:val="18"/>
        </w:rPr>
        <w:t>. Responses to wildfire emission in 2-m specific humidity for February (</w:t>
      </w:r>
      <w:r w:rsidRPr="00235117">
        <w:rPr>
          <w:b/>
          <w:bCs/>
          <w:sz w:val="18"/>
          <w:szCs w:val="18"/>
        </w:rPr>
        <w:t>a</w:t>
      </w:r>
      <w:r>
        <w:rPr>
          <w:sz w:val="18"/>
          <w:szCs w:val="18"/>
        </w:rPr>
        <w:t>), March (</w:t>
      </w:r>
      <w:r w:rsidRPr="00235117">
        <w:rPr>
          <w:b/>
          <w:bCs/>
          <w:sz w:val="18"/>
          <w:szCs w:val="18"/>
        </w:rPr>
        <w:t>b</w:t>
      </w:r>
      <w:r>
        <w:rPr>
          <w:sz w:val="18"/>
          <w:szCs w:val="18"/>
        </w:rPr>
        <w:t>), and Apr (</w:t>
      </w:r>
      <w:r w:rsidRPr="00235117">
        <w:rPr>
          <w:b/>
          <w:bCs/>
          <w:sz w:val="18"/>
          <w:szCs w:val="18"/>
        </w:rPr>
        <w:t>c</w:t>
      </w:r>
      <w:r>
        <w:rPr>
          <w:sz w:val="18"/>
          <w:szCs w:val="18"/>
        </w:rPr>
        <w:t>) 2020. Also shown are the low-level wind field anomalies (vectors).</w:t>
      </w:r>
    </w:p>
    <w:p w14:paraId="2ABC6646" w14:textId="77777777" w:rsidR="00F7493A" w:rsidRDefault="00F7493A" w:rsidP="00F7493A">
      <w:r>
        <w:rPr>
          <w:noProof/>
        </w:rPr>
        <w:lastRenderedPageBreak/>
        <w:drawing>
          <wp:inline distT="0" distB="0" distL="0" distR="0" wp14:anchorId="3A37BA24" wp14:editId="06ECBE90">
            <wp:extent cx="5943600" cy="7284085"/>
            <wp:effectExtent l="0" t="0" r="0" b="5715"/>
            <wp:docPr id="7" name="Picture 7" descr="Shape, circ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Shape, circle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8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C5982" w14:textId="77777777" w:rsidR="00F7493A" w:rsidRDefault="00F7493A" w:rsidP="00F7493A">
      <w:pPr>
        <w:rPr>
          <w:sz w:val="18"/>
          <w:szCs w:val="18"/>
        </w:rPr>
      </w:pPr>
      <w:r>
        <w:rPr>
          <w:b/>
          <w:sz w:val="18"/>
          <w:szCs w:val="18"/>
        </w:rPr>
        <w:t>Fig. S3 | Surface Temperature Responses</w:t>
      </w:r>
      <w:r>
        <w:rPr>
          <w:sz w:val="18"/>
          <w:szCs w:val="18"/>
        </w:rPr>
        <w:t>. Responses to wildfire emission in surface temperature for February (</w:t>
      </w:r>
      <w:r w:rsidRPr="00235117">
        <w:rPr>
          <w:b/>
          <w:bCs/>
          <w:sz w:val="18"/>
          <w:szCs w:val="18"/>
        </w:rPr>
        <w:t>a</w:t>
      </w:r>
      <w:r>
        <w:rPr>
          <w:sz w:val="18"/>
          <w:szCs w:val="18"/>
        </w:rPr>
        <w:t>), March (</w:t>
      </w:r>
      <w:r w:rsidRPr="00235117">
        <w:rPr>
          <w:b/>
          <w:bCs/>
          <w:sz w:val="18"/>
          <w:szCs w:val="18"/>
        </w:rPr>
        <w:t>b</w:t>
      </w:r>
      <w:r>
        <w:rPr>
          <w:sz w:val="18"/>
          <w:szCs w:val="18"/>
        </w:rPr>
        <w:t>), and Apr (</w:t>
      </w:r>
      <w:r w:rsidRPr="00235117">
        <w:rPr>
          <w:b/>
          <w:bCs/>
          <w:sz w:val="18"/>
          <w:szCs w:val="18"/>
        </w:rPr>
        <w:t>c</w:t>
      </w:r>
      <w:r>
        <w:rPr>
          <w:sz w:val="18"/>
          <w:szCs w:val="18"/>
        </w:rPr>
        <w:t>) 2020. Responses that exceed twice the ensemble standard error are also shown (stippling).</w:t>
      </w:r>
    </w:p>
    <w:p w14:paraId="26F28E0B" w14:textId="77777777" w:rsidR="00F7493A" w:rsidRDefault="00F7493A" w:rsidP="00F7493A"/>
    <w:p w14:paraId="42401037" w14:textId="77777777" w:rsidR="00F7493A" w:rsidRDefault="00F7493A" w:rsidP="00F7493A">
      <w:pPr>
        <w:rPr>
          <w:sz w:val="18"/>
          <w:szCs w:val="18"/>
        </w:rPr>
      </w:pPr>
    </w:p>
    <w:p w14:paraId="709C027E" w14:textId="77777777" w:rsidR="000D160D" w:rsidRDefault="000D160D"/>
    <w:sectPr w:rsidR="000D160D" w:rsidSect="00313429"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758BA" w14:textId="77777777" w:rsidR="00327735" w:rsidRDefault="00000000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93A"/>
    <w:rsid w:val="000D160D"/>
    <w:rsid w:val="00F7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47C89"/>
  <w15:chartTrackingRefBased/>
  <w15:docId w15:val="{A91D9D7F-0141-4363-9848-DE0F813AB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493A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74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2022-08-16T19:36:00Z</dcterms:created>
  <dcterms:modified xsi:type="dcterms:W3CDTF">2022-08-16T19:36:00Z</dcterms:modified>
</cp:coreProperties>
</file>