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2232" w:rsidRDefault="00AD2232" w:rsidP="00AD2232">
      <w:pPr>
        <w:pStyle w:val="Heading1"/>
        <w:widowControl w:val="0"/>
        <w:spacing w:line="240" w:lineRule="auto"/>
      </w:pPr>
      <w:r>
        <w:t>Supplementary material 1</w:t>
      </w:r>
    </w:p>
    <w:p w:rsidR="00AD2232" w:rsidRDefault="00AD2232" w:rsidP="00AD2232">
      <w:pPr>
        <w:pStyle w:val="Subtitle"/>
      </w:pPr>
      <w:bookmarkStart w:id="0" w:name="_hadulb5foxql" w:colFirst="0" w:colLast="0"/>
      <w:bookmarkEnd w:id="0"/>
      <w:r>
        <w:t>First search</w:t>
      </w:r>
    </w:p>
    <w:p w:rsidR="00AD2232" w:rsidRDefault="00AD2232" w:rsidP="00AD2232">
      <w:pPr>
        <w:spacing w:before="240" w:after="240"/>
        <w:rPr>
          <w:rFonts w:ascii="Calibri" w:eastAsia="Calibri" w:hAnsi="Calibri" w:cs="Calibri"/>
          <w:b/>
        </w:rPr>
      </w:pPr>
      <w:r>
        <w:rPr>
          <w:rFonts w:ascii="Calibri" w:eastAsia="Calibri" w:hAnsi="Calibri" w:cs="Calibri"/>
          <w:b/>
        </w:rPr>
        <w:t>Database: Ovid MEDLINE(R) and Epub Ahead of Print, In-Process, In-Data-Review &amp; Other Non-Indexed Citations, Daily and Versions(R) &lt;1946 to June 21, 2021&gt;</w:t>
      </w:r>
    </w:p>
    <w:p w:rsidR="00AD2232" w:rsidRDefault="00AD2232" w:rsidP="00AD2232">
      <w:pPr>
        <w:spacing w:before="240" w:after="240"/>
        <w:rPr>
          <w:rFonts w:ascii="Calibri" w:eastAsia="Calibri" w:hAnsi="Calibri" w:cs="Calibri"/>
        </w:rPr>
      </w:pPr>
      <w:r>
        <w:rPr>
          <w:rFonts w:ascii="Calibri" w:eastAsia="Calibri" w:hAnsi="Calibri" w:cs="Calibri"/>
          <w:b/>
        </w:rPr>
        <w:t>Date:</w:t>
      </w:r>
      <w:r>
        <w:rPr>
          <w:rFonts w:ascii="Calibri" w:eastAsia="Calibri" w:hAnsi="Calibri" w:cs="Calibri"/>
        </w:rPr>
        <w:t xml:space="preserve"> 22.06.21</w:t>
      </w:r>
    </w:p>
    <w:p w:rsidR="00AD2232" w:rsidRDefault="00AD2232" w:rsidP="00AD2232">
      <w:pPr>
        <w:spacing w:before="240" w:after="240"/>
        <w:rPr>
          <w:rFonts w:ascii="Calibri" w:eastAsia="Calibri" w:hAnsi="Calibri" w:cs="Calibri"/>
        </w:rPr>
      </w:pPr>
      <w:r>
        <w:rPr>
          <w:rFonts w:ascii="Calibri" w:eastAsia="Calibri" w:hAnsi="Calibri" w:cs="Calibri"/>
          <w:b/>
        </w:rPr>
        <w:t>Hits:</w:t>
      </w:r>
      <w:r>
        <w:rPr>
          <w:rFonts w:ascii="Calibri" w:eastAsia="Calibri" w:hAnsi="Calibri" w:cs="Calibri"/>
        </w:rPr>
        <w:t xml:space="preserve"> 6878 </w:t>
      </w:r>
    </w:p>
    <w:tbl>
      <w:tblPr>
        <w:tblW w:w="86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0"/>
        <w:gridCol w:w="7350"/>
        <w:gridCol w:w="960"/>
      </w:tblGrid>
      <w:tr w:rsidR="00AD2232" w:rsidTr="00A624EB">
        <w:trPr>
          <w:trHeight w:val="20"/>
        </w:trPr>
        <w:tc>
          <w:tcPr>
            <w:tcW w:w="36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rsidR="00AD2232" w:rsidRDefault="00AD2232" w:rsidP="00A624EB">
            <w:pPr>
              <w:spacing w:line="392" w:lineRule="auto"/>
              <w:jc w:val="center"/>
              <w:rPr>
                <w:color w:val="0A0905"/>
                <w:sz w:val="18"/>
                <w:szCs w:val="18"/>
              </w:rPr>
            </w:pPr>
            <w:r>
              <w:rPr>
                <w:color w:val="0A0905"/>
                <w:sz w:val="18"/>
                <w:szCs w:val="18"/>
              </w:rPr>
              <w:t>1</w:t>
            </w:r>
          </w:p>
        </w:tc>
        <w:tc>
          <w:tcPr>
            <w:tcW w:w="735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rsidR="00AD2232" w:rsidRDefault="00AD2232" w:rsidP="00A624EB">
            <w:pPr>
              <w:spacing w:line="392" w:lineRule="auto"/>
              <w:rPr>
                <w:color w:val="0A0905"/>
                <w:sz w:val="18"/>
                <w:szCs w:val="18"/>
              </w:rPr>
            </w:pPr>
            <w:r>
              <w:rPr>
                <w:color w:val="0A0905"/>
                <w:sz w:val="18"/>
                <w:szCs w:val="18"/>
              </w:rPr>
              <w:t>exp Neoplasms/</w:t>
            </w:r>
          </w:p>
        </w:tc>
        <w:tc>
          <w:tcPr>
            <w:tcW w:w="96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rsidR="00AD2232" w:rsidRDefault="00AD2232" w:rsidP="00A624EB">
            <w:pPr>
              <w:spacing w:line="392" w:lineRule="auto"/>
              <w:jc w:val="right"/>
              <w:rPr>
                <w:color w:val="0A0905"/>
                <w:sz w:val="18"/>
                <w:szCs w:val="18"/>
              </w:rPr>
            </w:pPr>
            <w:r>
              <w:rPr>
                <w:color w:val="0A0905"/>
                <w:sz w:val="18"/>
                <w:szCs w:val="18"/>
              </w:rPr>
              <w:t>3485612</w:t>
            </w:r>
          </w:p>
        </w:tc>
      </w:tr>
      <w:tr w:rsidR="00AD2232" w:rsidTr="00A624EB">
        <w:trPr>
          <w:trHeight w:val="20"/>
        </w:trPr>
        <w:tc>
          <w:tcPr>
            <w:tcW w:w="36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rsidR="00AD2232" w:rsidRDefault="00AD2232" w:rsidP="00A624EB">
            <w:pPr>
              <w:spacing w:line="392" w:lineRule="auto"/>
              <w:jc w:val="center"/>
              <w:rPr>
                <w:color w:val="0A0905"/>
                <w:sz w:val="18"/>
                <w:szCs w:val="18"/>
              </w:rPr>
            </w:pPr>
            <w:r>
              <w:rPr>
                <w:color w:val="0A0905"/>
                <w:sz w:val="18"/>
                <w:szCs w:val="18"/>
              </w:rPr>
              <w:t>2</w:t>
            </w:r>
          </w:p>
        </w:tc>
        <w:tc>
          <w:tcPr>
            <w:tcW w:w="735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rsidR="00AD2232" w:rsidRDefault="00AD2232" w:rsidP="00A624EB">
            <w:pPr>
              <w:spacing w:line="392" w:lineRule="auto"/>
              <w:rPr>
                <w:color w:val="0A0905"/>
                <w:sz w:val="18"/>
                <w:szCs w:val="18"/>
              </w:rPr>
            </w:pPr>
            <w:r>
              <w:rPr>
                <w:color w:val="0A0905"/>
                <w:sz w:val="18"/>
                <w:szCs w:val="18"/>
              </w:rPr>
              <w:t>(tumor? or tumour? or cancer? or neoplas* or paraneoplastic or precancer* or cyst? or malignanc* or carcinogenes#s or oncogenes#s or tumorigenes#s or cocarcinogenes#s or metastas#s or metastatic or incidentaloma?).tw,kf.</w:t>
            </w:r>
          </w:p>
        </w:tc>
        <w:tc>
          <w:tcPr>
            <w:tcW w:w="96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rsidR="00AD2232" w:rsidRDefault="00AD2232" w:rsidP="00A624EB">
            <w:pPr>
              <w:spacing w:line="392" w:lineRule="auto"/>
              <w:jc w:val="right"/>
              <w:rPr>
                <w:color w:val="0A0905"/>
                <w:sz w:val="18"/>
                <w:szCs w:val="18"/>
              </w:rPr>
            </w:pPr>
            <w:r>
              <w:rPr>
                <w:color w:val="0A0905"/>
                <w:sz w:val="18"/>
                <w:szCs w:val="18"/>
              </w:rPr>
              <w:t>3441687</w:t>
            </w:r>
          </w:p>
        </w:tc>
      </w:tr>
      <w:tr w:rsidR="00AD2232" w:rsidTr="00A624EB">
        <w:trPr>
          <w:trHeight w:val="20"/>
        </w:trPr>
        <w:tc>
          <w:tcPr>
            <w:tcW w:w="36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rsidR="00AD2232" w:rsidRDefault="00AD2232" w:rsidP="00A624EB">
            <w:pPr>
              <w:spacing w:line="392" w:lineRule="auto"/>
              <w:jc w:val="center"/>
              <w:rPr>
                <w:color w:val="0A0905"/>
                <w:sz w:val="18"/>
                <w:szCs w:val="18"/>
              </w:rPr>
            </w:pPr>
            <w:r>
              <w:rPr>
                <w:color w:val="0A0905"/>
                <w:sz w:val="18"/>
                <w:szCs w:val="18"/>
              </w:rPr>
              <w:t>3</w:t>
            </w:r>
          </w:p>
        </w:tc>
        <w:tc>
          <w:tcPr>
            <w:tcW w:w="735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rsidR="00AD2232" w:rsidRDefault="00AD2232" w:rsidP="00A624EB">
            <w:pPr>
              <w:spacing w:line="392" w:lineRule="auto"/>
              <w:rPr>
                <w:color w:val="0A0905"/>
                <w:sz w:val="18"/>
                <w:szCs w:val="18"/>
              </w:rPr>
            </w:pPr>
            <w:r>
              <w:rPr>
                <w:color w:val="0A0905"/>
                <w:sz w:val="18"/>
                <w:szCs w:val="18"/>
              </w:rPr>
              <w:t>1 or 2</w:t>
            </w:r>
          </w:p>
        </w:tc>
        <w:tc>
          <w:tcPr>
            <w:tcW w:w="96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rsidR="00AD2232" w:rsidRDefault="00AD2232" w:rsidP="00A624EB">
            <w:pPr>
              <w:spacing w:line="392" w:lineRule="auto"/>
              <w:jc w:val="right"/>
              <w:rPr>
                <w:color w:val="0A0905"/>
                <w:sz w:val="18"/>
                <w:szCs w:val="18"/>
              </w:rPr>
            </w:pPr>
            <w:r>
              <w:rPr>
                <w:color w:val="0A0905"/>
                <w:sz w:val="18"/>
                <w:szCs w:val="18"/>
              </w:rPr>
              <w:t>4533774</w:t>
            </w:r>
          </w:p>
        </w:tc>
      </w:tr>
      <w:tr w:rsidR="00AD2232" w:rsidTr="00A624EB">
        <w:trPr>
          <w:trHeight w:val="20"/>
        </w:trPr>
        <w:tc>
          <w:tcPr>
            <w:tcW w:w="36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rsidR="00AD2232" w:rsidRDefault="00AD2232" w:rsidP="00A624EB">
            <w:pPr>
              <w:spacing w:line="392" w:lineRule="auto"/>
              <w:jc w:val="center"/>
              <w:rPr>
                <w:color w:val="0A0905"/>
                <w:sz w:val="18"/>
                <w:szCs w:val="18"/>
              </w:rPr>
            </w:pPr>
            <w:r>
              <w:rPr>
                <w:color w:val="0A0905"/>
                <w:sz w:val="18"/>
                <w:szCs w:val="18"/>
              </w:rPr>
              <w:t>4</w:t>
            </w:r>
          </w:p>
        </w:tc>
        <w:tc>
          <w:tcPr>
            <w:tcW w:w="735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rsidR="00AD2232" w:rsidRDefault="00AD2232" w:rsidP="00A624EB">
            <w:pPr>
              <w:spacing w:line="392" w:lineRule="auto"/>
              <w:rPr>
                <w:color w:val="0A0905"/>
                <w:sz w:val="18"/>
                <w:szCs w:val="18"/>
              </w:rPr>
            </w:pPr>
            <w:r>
              <w:rPr>
                <w:color w:val="0A0905"/>
                <w:sz w:val="18"/>
                <w:szCs w:val="18"/>
              </w:rPr>
              <w:t>exp Drug Resistance, Microbial/ or exp Drug Resistance, Bacterial/</w:t>
            </w:r>
          </w:p>
        </w:tc>
        <w:tc>
          <w:tcPr>
            <w:tcW w:w="96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rsidR="00AD2232" w:rsidRDefault="00AD2232" w:rsidP="00A624EB">
            <w:pPr>
              <w:spacing w:line="392" w:lineRule="auto"/>
              <w:jc w:val="right"/>
              <w:rPr>
                <w:color w:val="0A0905"/>
                <w:sz w:val="18"/>
                <w:szCs w:val="18"/>
              </w:rPr>
            </w:pPr>
            <w:r>
              <w:rPr>
                <w:color w:val="0A0905"/>
                <w:sz w:val="18"/>
                <w:szCs w:val="18"/>
              </w:rPr>
              <w:t>170727</w:t>
            </w:r>
          </w:p>
        </w:tc>
      </w:tr>
      <w:tr w:rsidR="00AD2232" w:rsidTr="00A624EB">
        <w:trPr>
          <w:trHeight w:val="20"/>
        </w:trPr>
        <w:tc>
          <w:tcPr>
            <w:tcW w:w="36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rsidR="00AD2232" w:rsidRDefault="00AD2232" w:rsidP="00A624EB">
            <w:pPr>
              <w:spacing w:line="392" w:lineRule="auto"/>
              <w:jc w:val="center"/>
              <w:rPr>
                <w:color w:val="0A0905"/>
                <w:sz w:val="18"/>
                <w:szCs w:val="18"/>
              </w:rPr>
            </w:pPr>
            <w:r>
              <w:rPr>
                <w:color w:val="0A0905"/>
                <w:sz w:val="18"/>
                <w:szCs w:val="18"/>
              </w:rPr>
              <w:t>5</w:t>
            </w:r>
          </w:p>
        </w:tc>
        <w:tc>
          <w:tcPr>
            <w:tcW w:w="735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rsidR="00AD2232" w:rsidRDefault="00AD2232" w:rsidP="00A624EB">
            <w:pPr>
              <w:spacing w:line="392" w:lineRule="auto"/>
              <w:rPr>
                <w:color w:val="0A0905"/>
                <w:sz w:val="18"/>
                <w:szCs w:val="18"/>
              </w:rPr>
            </w:pPr>
            <w:r>
              <w:rPr>
                <w:color w:val="0A0905"/>
                <w:sz w:val="18"/>
                <w:szCs w:val="18"/>
              </w:rPr>
              <w:t>(((antibacterial or bacterial or bacterium or antibiotic or antimicrobial or microbial or multidrug or multiple drug) adj2 (resistance or resistant)) or antibiotic non-susceptibility or antibiotic nonsusceptibility).tw,kf.</w:t>
            </w:r>
          </w:p>
        </w:tc>
        <w:tc>
          <w:tcPr>
            <w:tcW w:w="96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rsidR="00AD2232" w:rsidRDefault="00AD2232" w:rsidP="00A624EB">
            <w:pPr>
              <w:spacing w:line="392" w:lineRule="auto"/>
              <w:jc w:val="right"/>
              <w:rPr>
                <w:color w:val="0A0905"/>
                <w:sz w:val="18"/>
                <w:szCs w:val="18"/>
              </w:rPr>
            </w:pPr>
            <w:r>
              <w:rPr>
                <w:color w:val="0A0905"/>
                <w:sz w:val="18"/>
                <w:szCs w:val="18"/>
              </w:rPr>
              <w:t>136901</w:t>
            </w:r>
          </w:p>
        </w:tc>
      </w:tr>
      <w:tr w:rsidR="00AD2232" w:rsidTr="00A624EB">
        <w:trPr>
          <w:trHeight w:val="20"/>
        </w:trPr>
        <w:tc>
          <w:tcPr>
            <w:tcW w:w="36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rsidR="00AD2232" w:rsidRDefault="00AD2232" w:rsidP="00A624EB">
            <w:pPr>
              <w:spacing w:line="392" w:lineRule="auto"/>
              <w:jc w:val="center"/>
              <w:rPr>
                <w:color w:val="0A0905"/>
                <w:sz w:val="18"/>
                <w:szCs w:val="18"/>
              </w:rPr>
            </w:pPr>
            <w:r>
              <w:rPr>
                <w:color w:val="0A0905"/>
                <w:sz w:val="18"/>
                <w:szCs w:val="18"/>
              </w:rPr>
              <w:t>6</w:t>
            </w:r>
          </w:p>
        </w:tc>
        <w:tc>
          <w:tcPr>
            <w:tcW w:w="735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rsidR="00AD2232" w:rsidRDefault="00AD2232" w:rsidP="00A624EB">
            <w:pPr>
              <w:spacing w:line="392" w:lineRule="auto"/>
              <w:rPr>
                <w:color w:val="0A0905"/>
                <w:sz w:val="18"/>
                <w:szCs w:val="18"/>
              </w:rPr>
            </w:pPr>
            <w:r>
              <w:rPr>
                <w:color w:val="0A0905"/>
                <w:sz w:val="18"/>
                <w:szCs w:val="18"/>
              </w:rPr>
              <w:t>4 or 5</w:t>
            </w:r>
          </w:p>
        </w:tc>
        <w:tc>
          <w:tcPr>
            <w:tcW w:w="96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rsidR="00AD2232" w:rsidRDefault="00AD2232" w:rsidP="00A624EB">
            <w:pPr>
              <w:spacing w:line="392" w:lineRule="auto"/>
              <w:jc w:val="right"/>
              <w:rPr>
                <w:color w:val="0A0905"/>
                <w:sz w:val="18"/>
                <w:szCs w:val="18"/>
              </w:rPr>
            </w:pPr>
            <w:r>
              <w:rPr>
                <w:color w:val="0A0905"/>
                <w:sz w:val="18"/>
                <w:szCs w:val="18"/>
              </w:rPr>
              <w:t>254631</w:t>
            </w:r>
          </w:p>
        </w:tc>
      </w:tr>
      <w:tr w:rsidR="00AD2232" w:rsidTr="00A624EB">
        <w:trPr>
          <w:trHeight w:val="20"/>
        </w:trPr>
        <w:tc>
          <w:tcPr>
            <w:tcW w:w="36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rsidR="00AD2232" w:rsidRDefault="00AD2232" w:rsidP="00A624EB">
            <w:pPr>
              <w:spacing w:line="392" w:lineRule="auto"/>
              <w:jc w:val="center"/>
              <w:rPr>
                <w:color w:val="0A0905"/>
                <w:sz w:val="18"/>
                <w:szCs w:val="18"/>
              </w:rPr>
            </w:pPr>
            <w:r>
              <w:rPr>
                <w:color w:val="0A0905"/>
                <w:sz w:val="18"/>
                <w:szCs w:val="18"/>
              </w:rPr>
              <w:t>7</w:t>
            </w:r>
          </w:p>
        </w:tc>
        <w:tc>
          <w:tcPr>
            <w:tcW w:w="735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rsidR="00AD2232" w:rsidRDefault="00AD2232" w:rsidP="00A624EB">
            <w:pPr>
              <w:spacing w:line="392" w:lineRule="auto"/>
              <w:rPr>
                <w:color w:val="0A0905"/>
                <w:sz w:val="18"/>
                <w:szCs w:val="18"/>
              </w:rPr>
            </w:pPr>
            <w:r>
              <w:rPr>
                <w:color w:val="0A0905"/>
                <w:sz w:val="18"/>
                <w:szCs w:val="18"/>
              </w:rPr>
              <w:t>3 and 6</w:t>
            </w:r>
          </w:p>
        </w:tc>
        <w:tc>
          <w:tcPr>
            <w:tcW w:w="96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rsidR="00AD2232" w:rsidRDefault="00AD2232" w:rsidP="00A624EB">
            <w:pPr>
              <w:spacing w:line="392" w:lineRule="auto"/>
              <w:jc w:val="right"/>
              <w:rPr>
                <w:color w:val="0A0905"/>
                <w:sz w:val="18"/>
                <w:szCs w:val="18"/>
              </w:rPr>
            </w:pPr>
            <w:r>
              <w:rPr>
                <w:color w:val="0A0905"/>
                <w:sz w:val="18"/>
                <w:szCs w:val="18"/>
              </w:rPr>
              <w:t>22036</w:t>
            </w:r>
          </w:p>
        </w:tc>
      </w:tr>
      <w:tr w:rsidR="00AD2232" w:rsidTr="00A624EB">
        <w:trPr>
          <w:trHeight w:val="20"/>
        </w:trPr>
        <w:tc>
          <w:tcPr>
            <w:tcW w:w="36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rsidR="00AD2232" w:rsidRDefault="00AD2232" w:rsidP="00A624EB">
            <w:pPr>
              <w:spacing w:line="392" w:lineRule="auto"/>
              <w:jc w:val="center"/>
              <w:rPr>
                <w:color w:val="0A0905"/>
                <w:sz w:val="18"/>
                <w:szCs w:val="18"/>
              </w:rPr>
            </w:pPr>
            <w:r>
              <w:rPr>
                <w:color w:val="0A0905"/>
                <w:sz w:val="18"/>
                <w:szCs w:val="18"/>
              </w:rPr>
              <w:t>8</w:t>
            </w:r>
          </w:p>
        </w:tc>
        <w:tc>
          <w:tcPr>
            <w:tcW w:w="735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rsidR="00AD2232" w:rsidRDefault="00AD2232" w:rsidP="00A624EB">
            <w:pPr>
              <w:spacing w:line="392" w:lineRule="auto"/>
              <w:rPr>
                <w:color w:val="0A0905"/>
                <w:sz w:val="18"/>
                <w:szCs w:val="18"/>
              </w:rPr>
            </w:pPr>
            <w:r>
              <w:rPr>
                <w:color w:val="0A0905"/>
                <w:sz w:val="18"/>
                <w:szCs w:val="18"/>
              </w:rPr>
              <w:t>limit 7 to (danish or english or interlingua or multilingual or norwegian or spanish or swedish)</w:t>
            </w:r>
          </w:p>
        </w:tc>
        <w:tc>
          <w:tcPr>
            <w:tcW w:w="96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rsidR="00AD2232" w:rsidRDefault="00AD2232" w:rsidP="00A624EB">
            <w:pPr>
              <w:spacing w:line="392" w:lineRule="auto"/>
              <w:jc w:val="right"/>
              <w:rPr>
                <w:color w:val="0A0905"/>
                <w:sz w:val="18"/>
                <w:szCs w:val="18"/>
              </w:rPr>
            </w:pPr>
            <w:r>
              <w:rPr>
                <w:color w:val="0A0905"/>
                <w:sz w:val="18"/>
                <w:szCs w:val="18"/>
              </w:rPr>
              <w:t>20721</w:t>
            </w:r>
          </w:p>
        </w:tc>
      </w:tr>
      <w:tr w:rsidR="00AD2232" w:rsidTr="00A624EB">
        <w:trPr>
          <w:trHeight w:val="20"/>
        </w:trPr>
        <w:tc>
          <w:tcPr>
            <w:tcW w:w="36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rsidR="00AD2232" w:rsidRDefault="00AD2232" w:rsidP="00A624EB">
            <w:pPr>
              <w:spacing w:line="392" w:lineRule="auto"/>
              <w:jc w:val="center"/>
              <w:rPr>
                <w:color w:val="0A0905"/>
                <w:sz w:val="18"/>
                <w:szCs w:val="18"/>
              </w:rPr>
            </w:pPr>
            <w:r>
              <w:rPr>
                <w:color w:val="0A0905"/>
                <w:sz w:val="18"/>
                <w:szCs w:val="18"/>
              </w:rPr>
              <w:t>9</w:t>
            </w:r>
          </w:p>
        </w:tc>
        <w:tc>
          <w:tcPr>
            <w:tcW w:w="735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rsidR="00AD2232" w:rsidRDefault="00AD2232" w:rsidP="00A624EB">
            <w:pPr>
              <w:spacing w:line="392" w:lineRule="auto"/>
              <w:rPr>
                <w:color w:val="0A0905"/>
                <w:sz w:val="18"/>
                <w:szCs w:val="18"/>
              </w:rPr>
            </w:pPr>
            <w:r>
              <w:rPr>
                <w:color w:val="0A0905"/>
                <w:sz w:val="18"/>
                <w:szCs w:val="18"/>
              </w:rPr>
              <w:t>limit 8 to yr="2015 -Current"</w:t>
            </w:r>
          </w:p>
        </w:tc>
        <w:tc>
          <w:tcPr>
            <w:tcW w:w="960" w:type="dxa"/>
            <w:tcBorders>
              <w:top w:val="single" w:sz="8" w:space="0" w:color="000000"/>
              <w:left w:val="single" w:sz="8" w:space="0" w:color="000000"/>
              <w:bottom w:val="single" w:sz="8" w:space="0" w:color="000000"/>
              <w:right w:val="single" w:sz="8" w:space="0" w:color="000000"/>
            </w:tcBorders>
            <w:tcMar>
              <w:top w:w="43" w:type="dxa"/>
              <w:left w:w="43" w:type="dxa"/>
              <w:bottom w:w="43" w:type="dxa"/>
              <w:right w:w="43" w:type="dxa"/>
            </w:tcMar>
            <w:vAlign w:val="center"/>
          </w:tcPr>
          <w:p w:rsidR="00AD2232" w:rsidRDefault="00AD2232" w:rsidP="00A624EB">
            <w:pPr>
              <w:spacing w:line="392" w:lineRule="auto"/>
              <w:jc w:val="right"/>
              <w:rPr>
                <w:color w:val="0A0905"/>
                <w:sz w:val="18"/>
                <w:szCs w:val="18"/>
              </w:rPr>
            </w:pPr>
            <w:r>
              <w:rPr>
                <w:color w:val="0A0905"/>
                <w:sz w:val="18"/>
                <w:szCs w:val="18"/>
              </w:rPr>
              <w:t>6878</w:t>
            </w:r>
          </w:p>
        </w:tc>
      </w:tr>
    </w:tbl>
    <w:p w:rsidR="00AD2232" w:rsidRDefault="00AD2232" w:rsidP="00AD2232"/>
    <w:p w:rsidR="00AD2232" w:rsidRDefault="00AD2232" w:rsidP="00AD2232">
      <w:pPr>
        <w:spacing w:before="240" w:after="240" w:line="392" w:lineRule="auto"/>
        <w:rPr>
          <w:b/>
          <w:color w:val="0A0905"/>
          <w:sz w:val="20"/>
          <w:szCs w:val="20"/>
        </w:rPr>
      </w:pPr>
      <w:r>
        <w:rPr>
          <w:rFonts w:ascii="Calibri" w:eastAsia="Calibri" w:hAnsi="Calibri" w:cs="Calibri"/>
          <w:b/>
        </w:rPr>
        <w:t xml:space="preserve">Database: </w:t>
      </w:r>
      <w:r>
        <w:rPr>
          <w:b/>
          <w:color w:val="0A0905"/>
          <w:sz w:val="20"/>
          <w:szCs w:val="20"/>
        </w:rPr>
        <w:t>Embase &lt;1974 to 2021 June 22&gt;</w:t>
      </w:r>
    </w:p>
    <w:p w:rsidR="00AD2232" w:rsidRDefault="00AD2232" w:rsidP="00AD2232">
      <w:pPr>
        <w:spacing w:before="240" w:after="240"/>
        <w:rPr>
          <w:rFonts w:ascii="Calibri" w:eastAsia="Calibri" w:hAnsi="Calibri" w:cs="Calibri"/>
        </w:rPr>
      </w:pPr>
      <w:r>
        <w:rPr>
          <w:rFonts w:ascii="Calibri" w:eastAsia="Calibri" w:hAnsi="Calibri" w:cs="Calibri"/>
          <w:b/>
        </w:rPr>
        <w:t>Date:</w:t>
      </w:r>
      <w:r>
        <w:rPr>
          <w:rFonts w:ascii="Calibri" w:eastAsia="Calibri" w:hAnsi="Calibri" w:cs="Calibri"/>
        </w:rPr>
        <w:t xml:space="preserve"> 23.06.21</w:t>
      </w:r>
    </w:p>
    <w:p w:rsidR="00AD2232" w:rsidRDefault="00AD2232" w:rsidP="00AD2232">
      <w:pPr>
        <w:spacing w:before="240" w:after="240"/>
        <w:rPr>
          <w:rFonts w:ascii="Calibri" w:eastAsia="Calibri" w:hAnsi="Calibri" w:cs="Calibri"/>
        </w:rPr>
      </w:pPr>
      <w:r>
        <w:rPr>
          <w:rFonts w:ascii="Calibri" w:eastAsia="Calibri" w:hAnsi="Calibri" w:cs="Calibri"/>
          <w:b/>
        </w:rPr>
        <w:t>Hits:</w:t>
      </w:r>
      <w:r>
        <w:rPr>
          <w:rFonts w:ascii="Calibri" w:eastAsia="Calibri" w:hAnsi="Calibri" w:cs="Calibri"/>
        </w:rPr>
        <w:t xml:space="preserve">    7314</w:t>
      </w:r>
    </w:p>
    <w:tbl>
      <w:tblPr>
        <w:tblW w:w="86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5"/>
        <w:gridCol w:w="7245"/>
        <w:gridCol w:w="960"/>
      </w:tblGrid>
      <w:tr w:rsidR="00AD2232" w:rsidTr="00A624EB">
        <w:trPr>
          <w:trHeight w:val="605"/>
        </w:trPr>
        <w:tc>
          <w:tcPr>
            <w:tcW w:w="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1</w:t>
            </w:r>
          </w:p>
        </w:tc>
        <w:tc>
          <w:tcPr>
            <w:tcW w:w="7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exp neoplasm/</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4730064</w:t>
            </w:r>
          </w:p>
        </w:tc>
      </w:tr>
      <w:tr w:rsidR="00AD2232" w:rsidTr="00A624EB">
        <w:trPr>
          <w:trHeight w:val="1325"/>
        </w:trPr>
        <w:tc>
          <w:tcPr>
            <w:tcW w:w="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lastRenderedPageBreak/>
              <w:t>2</w:t>
            </w:r>
          </w:p>
        </w:tc>
        <w:tc>
          <w:tcPr>
            <w:tcW w:w="7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(tumor? or tumour? or cancer? or neoplas* or paraneoplastic or precancer* or cyst? or malignanc* or carcinogenes#s or oncogenes#s or tumorigenes#s or cocarcinogenes#s or metastas#s or metastatic or incidentaloma?).tw,kw.</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4525726</w:t>
            </w:r>
          </w:p>
        </w:tc>
      </w:tr>
      <w:tr w:rsidR="00AD2232" w:rsidTr="00A624EB">
        <w:trPr>
          <w:trHeight w:val="605"/>
        </w:trPr>
        <w:tc>
          <w:tcPr>
            <w:tcW w:w="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3</w:t>
            </w:r>
          </w:p>
        </w:tc>
        <w:tc>
          <w:tcPr>
            <w:tcW w:w="7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1 or 2</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5821589</w:t>
            </w:r>
          </w:p>
        </w:tc>
      </w:tr>
      <w:tr w:rsidR="00AD2232" w:rsidTr="00A624EB">
        <w:trPr>
          <w:trHeight w:val="605"/>
        </w:trPr>
        <w:tc>
          <w:tcPr>
            <w:tcW w:w="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4</w:t>
            </w:r>
          </w:p>
        </w:tc>
        <w:tc>
          <w:tcPr>
            <w:tcW w:w="7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exp antibiotic resistance/</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177653</w:t>
            </w:r>
          </w:p>
        </w:tc>
      </w:tr>
      <w:tr w:rsidR="00AD2232" w:rsidTr="00A624EB">
        <w:trPr>
          <w:trHeight w:val="1325"/>
        </w:trPr>
        <w:tc>
          <w:tcPr>
            <w:tcW w:w="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5</w:t>
            </w:r>
          </w:p>
        </w:tc>
        <w:tc>
          <w:tcPr>
            <w:tcW w:w="7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(((antibacterial or bacterial or bacterium or antibiotic or antimicrobial or microbial or multidrug or multiple drug) adj2 (resistance or resistant)) or antibiotic non-susceptibility or antibiotic nonsusceptibility).tw,kw.</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167050</w:t>
            </w:r>
          </w:p>
        </w:tc>
      </w:tr>
      <w:tr w:rsidR="00AD2232" w:rsidTr="00A624EB">
        <w:trPr>
          <w:trHeight w:val="605"/>
        </w:trPr>
        <w:tc>
          <w:tcPr>
            <w:tcW w:w="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6</w:t>
            </w:r>
          </w:p>
        </w:tc>
        <w:tc>
          <w:tcPr>
            <w:tcW w:w="7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4 or 5</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267257</w:t>
            </w:r>
          </w:p>
        </w:tc>
      </w:tr>
      <w:tr w:rsidR="00AD2232" w:rsidTr="00A624EB">
        <w:trPr>
          <w:trHeight w:val="605"/>
        </w:trPr>
        <w:tc>
          <w:tcPr>
            <w:tcW w:w="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7</w:t>
            </w:r>
          </w:p>
        </w:tc>
        <w:tc>
          <w:tcPr>
            <w:tcW w:w="7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3 and 6</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28672</w:t>
            </w:r>
          </w:p>
        </w:tc>
      </w:tr>
      <w:tr w:rsidR="00AD2232" w:rsidTr="00A624EB">
        <w:trPr>
          <w:trHeight w:val="605"/>
        </w:trPr>
        <w:tc>
          <w:tcPr>
            <w:tcW w:w="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8</w:t>
            </w:r>
          </w:p>
        </w:tc>
        <w:tc>
          <w:tcPr>
            <w:tcW w:w="7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limit 7 to (danish or english or norwegian or polyglot or spanish or swedish)</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26746</w:t>
            </w:r>
          </w:p>
        </w:tc>
      </w:tr>
      <w:tr w:rsidR="00AD2232" w:rsidTr="00A624EB">
        <w:trPr>
          <w:trHeight w:val="605"/>
        </w:trPr>
        <w:tc>
          <w:tcPr>
            <w:tcW w:w="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9</w:t>
            </w:r>
          </w:p>
        </w:tc>
        <w:tc>
          <w:tcPr>
            <w:tcW w:w="7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limit 8 to yr="2015 -Current"</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9903</w:t>
            </w:r>
          </w:p>
        </w:tc>
      </w:tr>
      <w:tr w:rsidR="00AD2232" w:rsidTr="00A624EB">
        <w:tc>
          <w:tcPr>
            <w:tcW w:w="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10</w:t>
            </w:r>
          </w:p>
        </w:tc>
        <w:tc>
          <w:tcPr>
            <w:tcW w:w="7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limit 9 to embase</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7314</w:t>
            </w:r>
          </w:p>
        </w:tc>
      </w:tr>
    </w:tbl>
    <w:p w:rsidR="00AD2232" w:rsidRDefault="00AD2232" w:rsidP="00AD2232"/>
    <w:p w:rsidR="00AD2232" w:rsidRDefault="00AD2232" w:rsidP="00AD2232">
      <w:pPr>
        <w:spacing w:before="240" w:after="240"/>
        <w:rPr>
          <w:rFonts w:ascii="Calibri" w:eastAsia="Calibri" w:hAnsi="Calibri" w:cs="Calibri"/>
          <w:b/>
        </w:rPr>
      </w:pPr>
      <w:r>
        <w:rPr>
          <w:rFonts w:ascii="Calibri" w:eastAsia="Calibri" w:hAnsi="Calibri" w:cs="Calibri"/>
          <w:b/>
        </w:rPr>
        <w:t xml:space="preserve">Database:   </w:t>
      </w:r>
      <w:r>
        <w:rPr>
          <w:rFonts w:ascii="Calibri" w:eastAsia="Calibri" w:hAnsi="Calibri" w:cs="Calibri"/>
          <w:b/>
        </w:rPr>
        <w:tab/>
        <w:t>Web of Science (Science Citation Index Expanded (SCI-EXPANDED) --1987-present, Social Sciences Citation Index (SSCI) --1987-present, Arts &amp; Humanities Citation Index (A&amp;HCI) --1987-present, Emerging Sources Citation Index (ESCI) --2015-present)</w:t>
      </w:r>
    </w:p>
    <w:p w:rsidR="00AD2232" w:rsidRDefault="00AD2232" w:rsidP="00AD2232">
      <w:pPr>
        <w:spacing w:before="240" w:after="240"/>
        <w:rPr>
          <w:rFonts w:ascii="Calibri" w:eastAsia="Calibri" w:hAnsi="Calibri" w:cs="Calibri"/>
        </w:rPr>
      </w:pPr>
      <w:r>
        <w:rPr>
          <w:rFonts w:ascii="Calibri" w:eastAsia="Calibri" w:hAnsi="Calibri" w:cs="Calibri"/>
          <w:b/>
        </w:rPr>
        <w:t>Date:</w:t>
      </w:r>
      <w:r>
        <w:rPr>
          <w:rFonts w:ascii="Calibri" w:eastAsia="Calibri" w:hAnsi="Calibri" w:cs="Calibri"/>
        </w:rPr>
        <w:t xml:space="preserve"> 24.06.21</w:t>
      </w:r>
    </w:p>
    <w:p w:rsidR="00AD2232" w:rsidRDefault="00AD2232" w:rsidP="00AD2232">
      <w:pPr>
        <w:spacing w:before="240" w:after="240"/>
        <w:rPr>
          <w:rFonts w:ascii="Calibri" w:eastAsia="Calibri" w:hAnsi="Calibri" w:cs="Calibri"/>
        </w:rPr>
      </w:pPr>
      <w:r>
        <w:rPr>
          <w:rFonts w:ascii="Calibri" w:eastAsia="Calibri" w:hAnsi="Calibri" w:cs="Calibri"/>
          <w:b/>
        </w:rPr>
        <w:t>Hits:</w:t>
      </w:r>
      <w:r>
        <w:rPr>
          <w:rFonts w:ascii="Calibri" w:eastAsia="Calibri" w:hAnsi="Calibri" w:cs="Calibri"/>
        </w:rPr>
        <w:t xml:space="preserve"> 11,302</w:t>
      </w:r>
    </w:p>
    <w:tbl>
      <w:tblPr>
        <w:tblW w:w="86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10"/>
        <w:gridCol w:w="6450"/>
        <w:gridCol w:w="1410"/>
      </w:tblGrid>
      <w:tr w:rsidR="00AD2232" w:rsidTr="00A624EB">
        <w:trPr>
          <w:trHeight w:val="1325"/>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D2232" w:rsidRDefault="00AD2232" w:rsidP="00A624EB">
            <w:pPr>
              <w:spacing w:line="360" w:lineRule="auto"/>
              <w:jc w:val="center"/>
              <w:rPr>
                <w:color w:val="333333"/>
                <w:sz w:val="18"/>
                <w:szCs w:val="18"/>
              </w:rPr>
            </w:pPr>
            <w:r>
              <w:rPr>
                <w:color w:val="333333"/>
                <w:sz w:val="18"/>
                <w:szCs w:val="18"/>
              </w:rPr>
              <w:t>1</w:t>
            </w:r>
          </w:p>
        </w:tc>
        <w:tc>
          <w:tcPr>
            <w:tcW w:w="6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D2232" w:rsidRDefault="00AD2232" w:rsidP="00A624EB">
            <w:pPr>
              <w:spacing w:line="360" w:lineRule="auto"/>
              <w:rPr>
                <w:color w:val="333333"/>
                <w:sz w:val="18"/>
                <w:szCs w:val="18"/>
              </w:rPr>
            </w:pPr>
            <w:r>
              <w:rPr>
                <w:color w:val="333333"/>
                <w:sz w:val="18"/>
                <w:szCs w:val="18"/>
              </w:rPr>
              <w:t>TS=("tumor$" or "tumour$" or "cancer$" or "neoplas*" or "paraneoplastic" or "precancer*" or "cyst$" or "malignanc*" or "carcinogenes?s" or "oncogenes?s" or "tumorigenes?s" or "cocarcinogenes?s" or "metastas?s" or "metastatic" or "incidentaloma$")</w:t>
            </w: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D2232" w:rsidRDefault="00AD2232" w:rsidP="00A624EB">
            <w:pPr>
              <w:spacing w:line="360" w:lineRule="auto"/>
              <w:jc w:val="right"/>
              <w:rPr>
                <w:sz w:val="18"/>
                <w:szCs w:val="18"/>
              </w:rPr>
            </w:pPr>
            <w:r>
              <w:rPr>
                <w:sz w:val="18"/>
                <w:szCs w:val="18"/>
              </w:rPr>
              <w:t>3,746,108</w:t>
            </w:r>
          </w:p>
        </w:tc>
      </w:tr>
      <w:tr w:rsidR="00AD2232" w:rsidTr="00A624EB">
        <w:trPr>
          <w:trHeight w:val="1325"/>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D2232" w:rsidRDefault="00AD2232" w:rsidP="00A624EB">
            <w:pPr>
              <w:spacing w:line="360" w:lineRule="auto"/>
              <w:jc w:val="center"/>
              <w:rPr>
                <w:sz w:val="18"/>
                <w:szCs w:val="18"/>
              </w:rPr>
            </w:pPr>
            <w:r>
              <w:rPr>
                <w:sz w:val="18"/>
                <w:szCs w:val="18"/>
              </w:rPr>
              <w:lastRenderedPageBreak/>
              <w:t>2</w:t>
            </w:r>
          </w:p>
        </w:tc>
        <w:tc>
          <w:tcPr>
            <w:tcW w:w="6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D2232" w:rsidRDefault="00AD2232" w:rsidP="00A624EB">
            <w:pPr>
              <w:spacing w:line="360" w:lineRule="auto"/>
              <w:rPr>
                <w:color w:val="333333"/>
                <w:sz w:val="18"/>
                <w:szCs w:val="18"/>
              </w:rPr>
            </w:pPr>
            <w:r>
              <w:rPr>
                <w:color w:val="333333"/>
                <w:sz w:val="18"/>
                <w:szCs w:val="18"/>
              </w:rPr>
              <w:t>TS=((("antibacterial" or "bacterial" or "bacterium" or "antibiotic " or "antimicrobial" or "microbial" or "multidrug" or "multiple drug") NEAR/1 ("resistance" or "resistant")) or "antibiotic non-susceptibility" or "antibiotic nonsusceptibility")</w:t>
            </w: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D2232" w:rsidRDefault="00AD2232" w:rsidP="00A624EB">
            <w:pPr>
              <w:spacing w:line="360" w:lineRule="auto"/>
              <w:jc w:val="right"/>
              <w:rPr>
                <w:sz w:val="18"/>
                <w:szCs w:val="18"/>
              </w:rPr>
            </w:pPr>
            <w:r>
              <w:rPr>
                <w:sz w:val="18"/>
                <w:szCs w:val="18"/>
              </w:rPr>
              <w:t>172,855</w:t>
            </w:r>
          </w:p>
        </w:tc>
      </w:tr>
      <w:tr w:rsidR="00AD2232" w:rsidTr="00A624EB">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D2232" w:rsidRDefault="00AD2232" w:rsidP="00A624EB">
            <w:pPr>
              <w:spacing w:line="360" w:lineRule="auto"/>
              <w:jc w:val="center"/>
              <w:rPr>
                <w:sz w:val="18"/>
                <w:szCs w:val="18"/>
              </w:rPr>
            </w:pPr>
            <w:r>
              <w:rPr>
                <w:sz w:val="18"/>
                <w:szCs w:val="18"/>
              </w:rPr>
              <w:t>3</w:t>
            </w:r>
          </w:p>
        </w:tc>
        <w:tc>
          <w:tcPr>
            <w:tcW w:w="6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D2232" w:rsidRDefault="00AD2232" w:rsidP="00A624EB">
            <w:pPr>
              <w:spacing w:line="360" w:lineRule="auto"/>
              <w:rPr>
                <w:sz w:val="18"/>
                <w:szCs w:val="18"/>
              </w:rPr>
            </w:pPr>
            <w:r>
              <w:t xml:space="preserve"> </w:t>
            </w:r>
            <w:r>
              <w:rPr>
                <w:sz w:val="18"/>
                <w:szCs w:val="18"/>
              </w:rPr>
              <w:t>(#2 AND #1)</w:t>
            </w:r>
          </w:p>
          <w:p w:rsidR="00AD2232" w:rsidRDefault="00AD2232" w:rsidP="00A624EB">
            <w:pPr>
              <w:spacing w:line="360" w:lineRule="auto"/>
              <w:rPr>
                <w:sz w:val="18"/>
                <w:szCs w:val="18"/>
              </w:rPr>
            </w:pPr>
            <w:r>
              <w:rPr>
                <w:sz w:val="18"/>
                <w:szCs w:val="18"/>
              </w:rPr>
              <w:t>AND LANGUAGE: (English OR Danish OR Multiple Languages OR Norwegian OR Spanish OR Swedish)</w:t>
            </w: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AD2232" w:rsidRDefault="00AD2232" w:rsidP="00A624EB">
            <w:pPr>
              <w:spacing w:line="360" w:lineRule="auto"/>
              <w:jc w:val="right"/>
              <w:rPr>
                <w:sz w:val="18"/>
                <w:szCs w:val="18"/>
              </w:rPr>
            </w:pPr>
            <w:r>
              <w:rPr>
                <w:sz w:val="18"/>
                <w:szCs w:val="18"/>
              </w:rPr>
              <w:t>11,302</w:t>
            </w:r>
          </w:p>
        </w:tc>
      </w:tr>
    </w:tbl>
    <w:p w:rsidR="00AD2232" w:rsidRDefault="00AD2232" w:rsidP="00AD2232"/>
    <w:p w:rsidR="00AD2232" w:rsidRDefault="00AD2232" w:rsidP="00AD2232">
      <w:r>
        <w:br w:type="page"/>
      </w:r>
    </w:p>
    <w:p w:rsidR="00AD2232" w:rsidRDefault="00AD2232" w:rsidP="00AD2232">
      <w:pPr>
        <w:pStyle w:val="Heading1"/>
        <w:widowControl w:val="0"/>
        <w:spacing w:line="240" w:lineRule="auto"/>
      </w:pPr>
      <w:bookmarkStart w:id="1" w:name="_ahtcycqxrn78" w:colFirst="0" w:colLast="0"/>
      <w:bookmarkEnd w:id="1"/>
      <w:r>
        <w:lastRenderedPageBreak/>
        <w:t>Supplementary material 2</w:t>
      </w:r>
    </w:p>
    <w:p w:rsidR="00AD2232" w:rsidRDefault="00AD2232" w:rsidP="00AD2232">
      <w:pPr>
        <w:pStyle w:val="Subtitle"/>
      </w:pPr>
      <w:bookmarkStart w:id="2" w:name="_txbi3z9jaam9" w:colFirst="0" w:colLast="0"/>
      <w:bookmarkEnd w:id="2"/>
      <w:r>
        <w:t>Second search</w:t>
      </w:r>
    </w:p>
    <w:p w:rsidR="00AD2232" w:rsidRDefault="00AD2232" w:rsidP="00AD2232">
      <w:pPr>
        <w:spacing w:before="240" w:after="240"/>
        <w:rPr>
          <w:rFonts w:ascii="Calibri" w:eastAsia="Calibri" w:hAnsi="Calibri" w:cs="Calibri"/>
          <w:b/>
        </w:rPr>
      </w:pPr>
      <w:r>
        <w:rPr>
          <w:rFonts w:ascii="Calibri" w:eastAsia="Calibri" w:hAnsi="Calibri" w:cs="Calibri"/>
          <w:b/>
        </w:rPr>
        <w:t>Database: Ovid MEDLINE(R) and Epub Ahead of Print, In-Process, In-Data-Review &amp; Other Non-Indexed Citations, Daily and Versions(R) &lt;1946 to November 18, 2021&gt;</w:t>
      </w:r>
    </w:p>
    <w:p w:rsidR="00AD2232" w:rsidRDefault="00AD2232" w:rsidP="00AD2232">
      <w:pPr>
        <w:spacing w:before="240" w:after="240"/>
        <w:rPr>
          <w:rFonts w:ascii="Calibri" w:eastAsia="Calibri" w:hAnsi="Calibri" w:cs="Calibri"/>
        </w:rPr>
      </w:pPr>
      <w:r>
        <w:rPr>
          <w:rFonts w:ascii="Calibri" w:eastAsia="Calibri" w:hAnsi="Calibri" w:cs="Calibri"/>
          <w:b/>
        </w:rPr>
        <w:t>Date:</w:t>
      </w:r>
      <w:r>
        <w:rPr>
          <w:rFonts w:ascii="Calibri" w:eastAsia="Calibri" w:hAnsi="Calibri" w:cs="Calibri"/>
        </w:rPr>
        <w:t xml:space="preserve"> 19.11.21</w:t>
      </w:r>
    </w:p>
    <w:p w:rsidR="00AD2232" w:rsidRDefault="00AD2232" w:rsidP="00AD2232">
      <w:pPr>
        <w:spacing w:before="240" w:after="240"/>
        <w:rPr>
          <w:rFonts w:ascii="Calibri" w:eastAsia="Calibri" w:hAnsi="Calibri" w:cs="Calibri"/>
        </w:rPr>
      </w:pPr>
      <w:r>
        <w:rPr>
          <w:rFonts w:ascii="Calibri" w:eastAsia="Calibri" w:hAnsi="Calibri" w:cs="Calibri"/>
          <w:b/>
        </w:rPr>
        <w:t>Hits:</w:t>
      </w:r>
      <w:r>
        <w:rPr>
          <w:rFonts w:ascii="Calibri" w:eastAsia="Calibri" w:hAnsi="Calibri" w:cs="Calibri"/>
        </w:rPr>
        <w:t xml:space="preserve"> 12 478</w:t>
      </w:r>
    </w:p>
    <w:tbl>
      <w:tblPr>
        <w:tblW w:w="8850" w:type="dxa"/>
        <w:tblBorders>
          <w:top w:val="nil"/>
          <w:left w:val="nil"/>
          <w:bottom w:val="nil"/>
          <w:right w:val="nil"/>
          <w:insideH w:val="nil"/>
          <w:insideV w:val="nil"/>
        </w:tblBorders>
        <w:tblLayout w:type="fixed"/>
        <w:tblLook w:val="0600" w:firstRow="0" w:lastRow="0" w:firstColumn="0" w:lastColumn="0" w:noHBand="1" w:noVBand="1"/>
      </w:tblPr>
      <w:tblGrid>
        <w:gridCol w:w="450"/>
        <w:gridCol w:w="7395"/>
        <w:gridCol w:w="1005"/>
      </w:tblGrid>
      <w:tr w:rsidR="00AD2232" w:rsidTr="00A624EB">
        <w:tc>
          <w:tcPr>
            <w:tcW w:w="450"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1</w:t>
            </w:r>
          </w:p>
        </w:tc>
        <w:tc>
          <w:tcPr>
            <w:tcW w:w="7395" w:type="dxa"/>
            <w:tcBorders>
              <w:top w:val="single" w:sz="8" w:space="0" w:color="BFBFBF"/>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exp Neoplasms/</w:t>
            </w:r>
          </w:p>
        </w:tc>
        <w:tc>
          <w:tcPr>
            <w:tcW w:w="1005" w:type="dxa"/>
            <w:tcBorders>
              <w:top w:val="single" w:sz="8" w:space="0" w:color="BFBFBF"/>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3573100</w:t>
            </w:r>
          </w:p>
        </w:tc>
      </w:tr>
      <w:tr w:rsidR="00AD2232" w:rsidTr="00A624EB">
        <w:tc>
          <w:tcPr>
            <w:tcW w:w="450"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2</w:t>
            </w:r>
          </w:p>
        </w:tc>
        <w:tc>
          <w:tcPr>
            <w:tcW w:w="739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(tumor? or tumour? or cancer* or neoplas* or paraneoplas* or preneoplas* or precancer* or premalign* or malign* or carcinogenes#s or oncogenes#s or tumorigenes#s or cocarcinogenes#s or metastas#s or metastatic or incidentaloma? or leukemia? or leucemia? or lymphoma? or sarcoma? or carcinoma* or melanoma? or glioma ? or blastoma?).tw,kf.</w:t>
            </w:r>
          </w:p>
        </w:tc>
        <w:tc>
          <w:tcPr>
            <w:tcW w:w="100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3958905</w:t>
            </w:r>
          </w:p>
        </w:tc>
      </w:tr>
      <w:tr w:rsidR="00AD2232" w:rsidTr="00A624EB">
        <w:tc>
          <w:tcPr>
            <w:tcW w:w="450"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3</w:t>
            </w:r>
          </w:p>
        </w:tc>
        <w:tc>
          <w:tcPr>
            <w:tcW w:w="739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1 or 2</w:t>
            </w:r>
          </w:p>
        </w:tc>
        <w:tc>
          <w:tcPr>
            <w:tcW w:w="100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4744972</w:t>
            </w:r>
          </w:p>
        </w:tc>
      </w:tr>
      <w:tr w:rsidR="00AD2232" w:rsidTr="00A624EB">
        <w:tc>
          <w:tcPr>
            <w:tcW w:w="450"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4</w:t>
            </w:r>
          </w:p>
        </w:tc>
        <w:tc>
          <w:tcPr>
            <w:tcW w:w="739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exp Drug Resistance, Microbial/ or exp Drug Resistance, Bacterial/</w:t>
            </w:r>
          </w:p>
        </w:tc>
        <w:tc>
          <w:tcPr>
            <w:tcW w:w="100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174771</w:t>
            </w:r>
          </w:p>
        </w:tc>
      </w:tr>
      <w:tr w:rsidR="00AD2232" w:rsidTr="00A624EB">
        <w:tc>
          <w:tcPr>
            <w:tcW w:w="450"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5</w:t>
            </w:r>
          </w:p>
        </w:tc>
        <w:tc>
          <w:tcPr>
            <w:tcW w:w="739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((antibacterial or bacterial or bacterium or antibiotic or antifungal or antimicrobial or microbial or multidrug or multiple drug or multiple antibiotics or penicillin or meth#cillin? or met#cillin? or cephalosporin* or cephalosporanic acid? or cefepim? or cefuroxime or cefotaxim? or ceftazidime or ceftriaxon? or cefixime or ceftaroline or carbapenem? or aminoglycoside? or gentam#cin? or amikacin? or fluoroquinolone? or linezolid? or vancomycin? or echinocandin? or azole? or colistin? or colimycin? or polymyxin e or intrinsic* or penicillin or macrolide or tobramycin? or fluconazol? or voricanozole or posaconazole or caspofungin or anidulafungin or micafungin or ciproflox* or ciproxin or levofloxacin or clindamycin? or dalacin or clarithromycin or CLAR or erythromycin or azt?reonam or azactam) adj4 (resistance or resistant or nonsusceptib* or insusceptib* or non-susceptib* or susceptibility)).tw,kf.</w:t>
            </w:r>
          </w:p>
        </w:tc>
        <w:tc>
          <w:tcPr>
            <w:tcW w:w="100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235262</w:t>
            </w:r>
          </w:p>
        </w:tc>
      </w:tr>
      <w:tr w:rsidR="00AD2232" w:rsidTr="00A624EB">
        <w:tc>
          <w:tcPr>
            <w:tcW w:w="450"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6</w:t>
            </w:r>
          </w:p>
        </w:tc>
        <w:tc>
          <w:tcPr>
            <w:tcW w:w="739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(piperacillin adj3 tazobactam adj4 resistant).tw,kf.</w:t>
            </w:r>
          </w:p>
        </w:tc>
        <w:tc>
          <w:tcPr>
            <w:tcW w:w="100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202</w:t>
            </w:r>
          </w:p>
        </w:tc>
      </w:tr>
      <w:tr w:rsidR="00AD2232" w:rsidTr="00A624EB">
        <w:tc>
          <w:tcPr>
            <w:tcW w:w="450"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7</w:t>
            </w:r>
          </w:p>
        </w:tc>
        <w:tc>
          <w:tcPr>
            <w:tcW w:w="739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beta-Lactamases/ or Methicillin-Resistant Staphylococcus aureus/ or Vancomycin-Resistant Enterococci/ or Vancomycin-Resistant Staphylococcus aureus/</w:t>
            </w:r>
          </w:p>
        </w:tc>
        <w:tc>
          <w:tcPr>
            <w:tcW w:w="100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40508</w:t>
            </w:r>
          </w:p>
        </w:tc>
      </w:tr>
      <w:tr w:rsidR="00AD2232" w:rsidTr="00A624EB">
        <w:tc>
          <w:tcPr>
            <w:tcW w:w="450"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8</w:t>
            </w:r>
          </w:p>
        </w:tc>
        <w:tc>
          <w:tcPr>
            <w:tcW w:w="739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(b*-lactamase? or "ec 3.5.2.6" or beta lactam?hydrolase or cefinase or ESBL or carbapenemase? or biofilm or non-fermenting).tw,kf.</w:t>
            </w:r>
          </w:p>
        </w:tc>
        <w:tc>
          <w:tcPr>
            <w:tcW w:w="100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88504</w:t>
            </w:r>
          </w:p>
        </w:tc>
      </w:tr>
      <w:tr w:rsidR="00AD2232" w:rsidTr="00A624EB">
        <w:tc>
          <w:tcPr>
            <w:tcW w:w="450"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9</w:t>
            </w:r>
          </w:p>
        </w:tc>
        <w:tc>
          <w:tcPr>
            <w:tcW w:w="739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Pseudomonas aeruginosa/ or (pseudomonas aeruginosa or "P. aeruginosa").tw,kf.</w:t>
            </w:r>
          </w:p>
        </w:tc>
        <w:tc>
          <w:tcPr>
            <w:tcW w:w="100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74856</w:t>
            </w:r>
          </w:p>
        </w:tc>
      </w:tr>
      <w:tr w:rsidR="00AD2232" w:rsidTr="00A624EB">
        <w:tc>
          <w:tcPr>
            <w:tcW w:w="450"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lastRenderedPageBreak/>
              <w:t>10</w:t>
            </w:r>
          </w:p>
        </w:tc>
        <w:tc>
          <w:tcPr>
            <w:tcW w:w="739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Acinetobacter/ or (acinetobacter* or "A. baumanii").tw,kf.</w:t>
            </w:r>
          </w:p>
        </w:tc>
        <w:tc>
          <w:tcPr>
            <w:tcW w:w="100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20486</w:t>
            </w:r>
          </w:p>
        </w:tc>
      </w:tr>
      <w:tr w:rsidR="00AD2232" w:rsidTr="00A624EB">
        <w:tc>
          <w:tcPr>
            <w:tcW w:w="450"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11</w:t>
            </w:r>
          </w:p>
        </w:tc>
        <w:tc>
          <w:tcPr>
            <w:tcW w:w="739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Stenotrophomonas Maltophilia/ or ((Stenotrophomonas or Pseudomonas or Xanthomonas) adj malt#philia).tw,kf.</w:t>
            </w:r>
          </w:p>
        </w:tc>
        <w:tc>
          <w:tcPr>
            <w:tcW w:w="100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3477</w:t>
            </w:r>
          </w:p>
        </w:tc>
      </w:tr>
      <w:tr w:rsidR="00AD2232" w:rsidTr="00A624EB">
        <w:tc>
          <w:tcPr>
            <w:tcW w:w="450"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12</w:t>
            </w:r>
          </w:p>
        </w:tc>
        <w:tc>
          <w:tcPr>
            <w:tcW w:w="739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Clostridioides difficile/ or ((clostridium or clostridioides) adj difficil*).tw,kf.</w:t>
            </w:r>
          </w:p>
        </w:tc>
        <w:tc>
          <w:tcPr>
            <w:tcW w:w="100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17332</w:t>
            </w:r>
          </w:p>
        </w:tc>
      </w:tr>
      <w:tr w:rsidR="00AD2232" w:rsidTr="00A624EB">
        <w:tc>
          <w:tcPr>
            <w:tcW w:w="450"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13</w:t>
            </w:r>
          </w:p>
        </w:tc>
        <w:tc>
          <w:tcPr>
            <w:tcW w:w="739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Enterococcus faecium/ or ((enterococcus or streptococcus) adj faecium).tw,kf.</w:t>
            </w:r>
          </w:p>
        </w:tc>
        <w:tc>
          <w:tcPr>
            <w:tcW w:w="100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7433</w:t>
            </w:r>
          </w:p>
        </w:tc>
      </w:tr>
      <w:tr w:rsidR="00AD2232" w:rsidTr="00A624EB">
        <w:tc>
          <w:tcPr>
            <w:tcW w:w="450"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14</w:t>
            </w:r>
          </w:p>
        </w:tc>
        <w:tc>
          <w:tcPr>
            <w:tcW w:w="739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(candida adj1 (non albicans or auris)).tw,kf.</w:t>
            </w:r>
          </w:p>
        </w:tc>
        <w:tc>
          <w:tcPr>
            <w:tcW w:w="100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1779</w:t>
            </w:r>
          </w:p>
        </w:tc>
      </w:tr>
      <w:tr w:rsidR="00AD2232" w:rsidTr="00A624EB">
        <w:tc>
          <w:tcPr>
            <w:tcW w:w="450"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15</w:t>
            </w:r>
          </w:p>
        </w:tc>
        <w:tc>
          <w:tcPr>
            <w:tcW w:w="739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Aspergillus fumigatus/ or ((aspergillus or neosartorya) adj fumigat*).tw,kf.</w:t>
            </w:r>
          </w:p>
        </w:tc>
        <w:tc>
          <w:tcPr>
            <w:tcW w:w="100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12302</w:t>
            </w:r>
          </w:p>
        </w:tc>
      </w:tr>
      <w:tr w:rsidR="00AD2232" w:rsidTr="00A624EB">
        <w:tc>
          <w:tcPr>
            <w:tcW w:w="450"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16</w:t>
            </w:r>
          </w:p>
        </w:tc>
        <w:tc>
          <w:tcPr>
            <w:tcW w:w="739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or/4-15</w:t>
            </w:r>
          </w:p>
        </w:tc>
        <w:tc>
          <w:tcPr>
            <w:tcW w:w="100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456787</w:t>
            </w:r>
          </w:p>
        </w:tc>
      </w:tr>
      <w:tr w:rsidR="00AD2232" w:rsidTr="00A624EB">
        <w:tc>
          <w:tcPr>
            <w:tcW w:w="450"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17</w:t>
            </w:r>
          </w:p>
        </w:tc>
        <w:tc>
          <w:tcPr>
            <w:tcW w:w="739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3 and 16</w:t>
            </w:r>
          </w:p>
        </w:tc>
        <w:tc>
          <w:tcPr>
            <w:tcW w:w="100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35096</w:t>
            </w:r>
          </w:p>
        </w:tc>
      </w:tr>
      <w:tr w:rsidR="00AD2232" w:rsidTr="00A624EB">
        <w:tc>
          <w:tcPr>
            <w:tcW w:w="450"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18</w:t>
            </w:r>
          </w:p>
        </w:tc>
        <w:tc>
          <w:tcPr>
            <w:tcW w:w="739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limit 17 to (danish or english or interlingua or multilingual or norwegian or spanish or swedish)</w:t>
            </w:r>
          </w:p>
        </w:tc>
        <w:tc>
          <w:tcPr>
            <w:tcW w:w="100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32942</w:t>
            </w:r>
          </w:p>
        </w:tc>
      </w:tr>
      <w:tr w:rsidR="00AD2232" w:rsidTr="00A624EB">
        <w:tc>
          <w:tcPr>
            <w:tcW w:w="450"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19</w:t>
            </w:r>
          </w:p>
        </w:tc>
        <w:tc>
          <w:tcPr>
            <w:tcW w:w="739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limit 18 to yr="2015 -Current"</w:t>
            </w:r>
          </w:p>
        </w:tc>
        <w:tc>
          <w:tcPr>
            <w:tcW w:w="100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12478</w:t>
            </w:r>
          </w:p>
        </w:tc>
      </w:tr>
    </w:tbl>
    <w:p w:rsidR="00AD2232" w:rsidRDefault="00AD2232" w:rsidP="00AD2232"/>
    <w:p w:rsidR="00AD2232" w:rsidRDefault="00AD2232" w:rsidP="00AD2232">
      <w:pPr>
        <w:spacing w:before="240" w:after="240"/>
        <w:rPr>
          <w:rFonts w:ascii="Calibri" w:eastAsia="Calibri" w:hAnsi="Calibri" w:cs="Calibri"/>
          <w:b/>
        </w:rPr>
      </w:pPr>
      <w:r>
        <w:rPr>
          <w:rFonts w:ascii="Calibri" w:eastAsia="Calibri" w:hAnsi="Calibri" w:cs="Calibri"/>
          <w:b/>
        </w:rPr>
        <w:t>Database: Embase &lt;1974 to 2021 November 17&gt;</w:t>
      </w:r>
    </w:p>
    <w:p w:rsidR="00AD2232" w:rsidRDefault="00AD2232" w:rsidP="00AD2232">
      <w:pPr>
        <w:spacing w:before="240" w:after="240"/>
        <w:rPr>
          <w:rFonts w:ascii="Calibri" w:eastAsia="Calibri" w:hAnsi="Calibri" w:cs="Calibri"/>
        </w:rPr>
      </w:pPr>
      <w:r>
        <w:rPr>
          <w:rFonts w:ascii="Calibri" w:eastAsia="Calibri" w:hAnsi="Calibri" w:cs="Calibri"/>
          <w:b/>
        </w:rPr>
        <w:t>Date:</w:t>
      </w:r>
      <w:r>
        <w:rPr>
          <w:rFonts w:ascii="Calibri" w:eastAsia="Calibri" w:hAnsi="Calibri" w:cs="Calibri"/>
        </w:rPr>
        <w:t xml:space="preserve"> 19.11.21</w:t>
      </w:r>
    </w:p>
    <w:p w:rsidR="00AD2232" w:rsidRDefault="00AD2232" w:rsidP="00AD2232">
      <w:pPr>
        <w:spacing w:before="240" w:after="240"/>
        <w:rPr>
          <w:rFonts w:ascii="Calibri" w:eastAsia="Calibri" w:hAnsi="Calibri" w:cs="Calibri"/>
        </w:rPr>
      </w:pPr>
      <w:r>
        <w:rPr>
          <w:rFonts w:ascii="Calibri" w:eastAsia="Calibri" w:hAnsi="Calibri" w:cs="Calibri"/>
          <w:b/>
        </w:rPr>
        <w:t>Hits:</w:t>
      </w:r>
      <w:r>
        <w:rPr>
          <w:rFonts w:ascii="Calibri" w:eastAsia="Calibri" w:hAnsi="Calibri" w:cs="Calibri"/>
        </w:rPr>
        <w:t xml:space="preserve"> 16471</w:t>
      </w:r>
    </w:p>
    <w:tbl>
      <w:tblPr>
        <w:tblW w:w="8850" w:type="dxa"/>
        <w:tblBorders>
          <w:top w:val="nil"/>
          <w:left w:val="nil"/>
          <w:bottom w:val="nil"/>
          <w:right w:val="nil"/>
          <w:insideH w:val="nil"/>
          <w:insideV w:val="nil"/>
        </w:tblBorders>
        <w:tblLayout w:type="fixed"/>
        <w:tblLook w:val="0600" w:firstRow="0" w:lastRow="0" w:firstColumn="0" w:lastColumn="0" w:noHBand="1" w:noVBand="1"/>
      </w:tblPr>
      <w:tblGrid>
        <w:gridCol w:w="435"/>
        <w:gridCol w:w="7485"/>
        <w:gridCol w:w="930"/>
      </w:tblGrid>
      <w:tr w:rsidR="00AD2232" w:rsidTr="00A624EB">
        <w:tc>
          <w:tcPr>
            <w:tcW w:w="435"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1</w:t>
            </w:r>
          </w:p>
        </w:tc>
        <w:tc>
          <w:tcPr>
            <w:tcW w:w="7485" w:type="dxa"/>
            <w:tcBorders>
              <w:top w:val="single" w:sz="8" w:space="0" w:color="BFBFBF"/>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exp Neoplasm/</w:t>
            </w:r>
          </w:p>
        </w:tc>
        <w:tc>
          <w:tcPr>
            <w:tcW w:w="930" w:type="dxa"/>
            <w:tcBorders>
              <w:top w:val="single" w:sz="8" w:space="0" w:color="BFBFBF"/>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4853484</w:t>
            </w:r>
          </w:p>
        </w:tc>
      </w:tr>
      <w:tr w:rsidR="00AD2232" w:rsidTr="00A624EB">
        <w:tc>
          <w:tcPr>
            <w:tcW w:w="4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2</w:t>
            </w:r>
          </w:p>
        </w:tc>
        <w:tc>
          <w:tcPr>
            <w:tcW w:w="748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(tumor? or tumour? or cancer* or neoplas* or paraneoplas* or preneoplas* or precancer* or premalign* or malign* or carcinogenes#s or oncogenes#s or tumorigenes#s or cocarcinogenes#s or metastas#s or metastatic or incidentaloma? or leukemia? or leucemia? or lymphoma? or sarcoma? or carcinoma* or melanoma? or glioma ? or blastoma?).tw,kf.</w:t>
            </w:r>
          </w:p>
        </w:tc>
        <w:tc>
          <w:tcPr>
            <w:tcW w:w="930"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5177268</w:t>
            </w:r>
          </w:p>
        </w:tc>
      </w:tr>
      <w:tr w:rsidR="00AD2232" w:rsidTr="00A624EB">
        <w:tc>
          <w:tcPr>
            <w:tcW w:w="4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3</w:t>
            </w:r>
          </w:p>
        </w:tc>
        <w:tc>
          <w:tcPr>
            <w:tcW w:w="748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1 or 2</w:t>
            </w:r>
          </w:p>
        </w:tc>
        <w:tc>
          <w:tcPr>
            <w:tcW w:w="930"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6060075</w:t>
            </w:r>
          </w:p>
        </w:tc>
      </w:tr>
      <w:tr w:rsidR="00AD2232" w:rsidTr="00A624EB">
        <w:tc>
          <w:tcPr>
            <w:tcW w:w="4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4</w:t>
            </w:r>
          </w:p>
        </w:tc>
        <w:tc>
          <w:tcPr>
            <w:tcW w:w="748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exp Antibiotic Resistance/ or Antifungal resistance/ or Antifungal susceptibility/ or Multidrug resistance/ or Extensive Drug Resistance/ or Antifungal susceptibility/</w:t>
            </w:r>
          </w:p>
        </w:tc>
        <w:tc>
          <w:tcPr>
            <w:tcW w:w="930"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229586</w:t>
            </w:r>
          </w:p>
        </w:tc>
      </w:tr>
      <w:tr w:rsidR="00AD2232" w:rsidTr="00A624EB">
        <w:tc>
          <w:tcPr>
            <w:tcW w:w="4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5</w:t>
            </w:r>
          </w:p>
        </w:tc>
        <w:tc>
          <w:tcPr>
            <w:tcW w:w="748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 xml:space="preserve">((antibacterial or bacterial or bacterium or antibiotic or antifungal or antimicrobial or microbial or multidrug or multiple drug or multiple antibiotics or penicillin or meth#cillin? or met#cillin? or cephalosporin* or cephalosporanic acid? or cefepim? or cefuroxime or cefotaxim? or ceftazidime or ceftriaxon? or cefixime or ceftaroline or carbapenem? or </w:t>
            </w:r>
            <w:r>
              <w:rPr>
                <w:color w:val="0A0905"/>
                <w:sz w:val="18"/>
                <w:szCs w:val="18"/>
              </w:rPr>
              <w:lastRenderedPageBreak/>
              <w:t>aminoglycoside? or gentam#cin? or amikacin? or fluoroquinolone? or linezolid? or vancomycin? or echinocandin? or azole? or colistin? or colimycin? or polymyxin e or intrinsic* or penicillin or macrolide or tobramycin? or fluconazol? or voricanozole or posaconazole or caspofungin or anidulafungin or micafungin or ciproflox* or ciproxin or levofloxacin or clindamycin? or dalacin or clarithromycin or CLAR or erythromycin or azt?reonam or azactam) adj4 (resistance or resistant or nonsusceptib* or insusceptib* or non-susceptib* or susceptibility)).tw,kf.</w:t>
            </w:r>
          </w:p>
        </w:tc>
        <w:tc>
          <w:tcPr>
            <w:tcW w:w="930"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lastRenderedPageBreak/>
              <w:t>287384</w:t>
            </w:r>
          </w:p>
        </w:tc>
      </w:tr>
      <w:tr w:rsidR="00AD2232" w:rsidTr="00A624EB">
        <w:tc>
          <w:tcPr>
            <w:tcW w:w="4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6</w:t>
            </w:r>
          </w:p>
        </w:tc>
        <w:tc>
          <w:tcPr>
            <w:tcW w:w="748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(piperacillin adj3 tazobactam adj4 resistant).tw,kf.</w:t>
            </w:r>
          </w:p>
        </w:tc>
        <w:tc>
          <w:tcPr>
            <w:tcW w:w="930"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334</w:t>
            </w:r>
          </w:p>
        </w:tc>
      </w:tr>
      <w:tr w:rsidR="00AD2232" w:rsidTr="00A624EB">
        <w:tc>
          <w:tcPr>
            <w:tcW w:w="4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7</w:t>
            </w:r>
          </w:p>
        </w:tc>
        <w:tc>
          <w:tcPr>
            <w:tcW w:w="748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beta-Lactamase/ or Extended Spectrum Beta Lactamase/ or Carbapenemase/ or Carbapenemase Producing Enterobacteriaceae/ or Carbapenem resistance/ or Methicillin Resistant Staphylococcus aureus/ or Vancomycin-Resistant Enterococcus/ or Vancomycin Resistant Staphylococcus aureus/</w:t>
            </w:r>
          </w:p>
        </w:tc>
        <w:tc>
          <w:tcPr>
            <w:tcW w:w="930"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85966</w:t>
            </w:r>
          </w:p>
        </w:tc>
      </w:tr>
      <w:tr w:rsidR="00AD2232" w:rsidTr="00A624EB">
        <w:tc>
          <w:tcPr>
            <w:tcW w:w="4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8</w:t>
            </w:r>
          </w:p>
        </w:tc>
        <w:tc>
          <w:tcPr>
            <w:tcW w:w="748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(b*-lactamase? or "ec 3.5.2.6" or beta lactam?hydrolase or cefinase or ESBL or carbapenemase? or biofilm or non-fermenting).tw,kf.</w:t>
            </w:r>
          </w:p>
        </w:tc>
        <w:tc>
          <w:tcPr>
            <w:tcW w:w="930"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105594</w:t>
            </w:r>
          </w:p>
        </w:tc>
      </w:tr>
      <w:tr w:rsidR="00AD2232" w:rsidTr="00A624EB">
        <w:tc>
          <w:tcPr>
            <w:tcW w:w="4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9</w:t>
            </w:r>
          </w:p>
        </w:tc>
        <w:tc>
          <w:tcPr>
            <w:tcW w:w="748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Pseudomonas aeruginosa/ or (pseudomonas aeruginosa or "P. aeruginosa").tw,kf.</w:t>
            </w:r>
          </w:p>
        </w:tc>
        <w:tc>
          <w:tcPr>
            <w:tcW w:w="930"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122215</w:t>
            </w:r>
          </w:p>
        </w:tc>
      </w:tr>
      <w:tr w:rsidR="00AD2232" w:rsidTr="00A624EB">
        <w:tc>
          <w:tcPr>
            <w:tcW w:w="4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10</w:t>
            </w:r>
          </w:p>
        </w:tc>
        <w:tc>
          <w:tcPr>
            <w:tcW w:w="748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Acinetobacter/ or (acinetobacter* or "A. baumanii").tw,kf.</w:t>
            </w:r>
          </w:p>
        </w:tc>
        <w:tc>
          <w:tcPr>
            <w:tcW w:w="930"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29911</w:t>
            </w:r>
          </w:p>
        </w:tc>
      </w:tr>
      <w:tr w:rsidR="00AD2232" w:rsidTr="00A624EB">
        <w:tc>
          <w:tcPr>
            <w:tcW w:w="4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11</w:t>
            </w:r>
          </w:p>
        </w:tc>
        <w:tc>
          <w:tcPr>
            <w:tcW w:w="748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Stenotrophomonas Maltophilia/ or ((Stenotrophomonas or Pseudomonas or Xanthomonas) adj malt#philia).tw,kf.</w:t>
            </w:r>
          </w:p>
        </w:tc>
        <w:tc>
          <w:tcPr>
            <w:tcW w:w="930"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7160</w:t>
            </w:r>
          </w:p>
        </w:tc>
      </w:tr>
      <w:tr w:rsidR="00AD2232" w:rsidTr="00A624EB">
        <w:tc>
          <w:tcPr>
            <w:tcW w:w="4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12</w:t>
            </w:r>
          </w:p>
        </w:tc>
        <w:tc>
          <w:tcPr>
            <w:tcW w:w="748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Clostridioides difficile/ or ((clostridium or clostridioides) adj difficil*).tw,kf.</w:t>
            </w:r>
          </w:p>
        </w:tc>
        <w:tc>
          <w:tcPr>
            <w:tcW w:w="930"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24295</w:t>
            </w:r>
          </w:p>
        </w:tc>
      </w:tr>
      <w:tr w:rsidR="00AD2232" w:rsidTr="00A624EB">
        <w:tc>
          <w:tcPr>
            <w:tcW w:w="4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13</w:t>
            </w:r>
          </w:p>
        </w:tc>
        <w:tc>
          <w:tcPr>
            <w:tcW w:w="748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Enterococcus faecium/ or ((enterococcus or streptococcus) adj faecium).tw,kf.</w:t>
            </w:r>
          </w:p>
        </w:tc>
        <w:tc>
          <w:tcPr>
            <w:tcW w:w="930"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12422</w:t>
            </w:r>
          </w:p>
        </w:tc>
      </w:tr>
      <w:tr w:rsidR="00AD2232" w:rsidTr="00A624EB">
        <w:tc>
          <w:tcPr>
            <w:tcW w:w="4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14</w:t>
            </w:r>
          </w:p>
        </w:tc>
        <w:tc>
          <w:tcPr>
            <w:tcW w:w="748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Candida auris/ or (candida adj1 (non albicans or auris)).tw,kf.</w:t>
            </w:r>
          </w:p>
        </w:tc>
        <w:tc>
          <w:tcPr>
            <w:tcW w:w="930"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2531</w:t>
            </w:r>
          </w:p>
        </w:tc>
      </w:tr>
      <w:tr w:rsidR="00AD2232" w:rsidTr="00A624EB">
        <w:tc>
          <w:tcPr>
            <w:tcW w:w="4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15</w:t>
            </w:r>
          </w:p>
        </w:tc>
        <w:tc>
          <w:tcPr>
            <w:tcW w:w="748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Aspergillus fumigatus/ or ((aspergillus or neosartorya) adj fumigat*).tw,kf.</w:t>
            </w:r>
          </w:p>
        </w:tc>
        <w:tc>
          <w:tcPr>
            <w:tcW w:w="930"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20302</w:t>
            </w:r>
          </w:p>
        </w:tc>
      </w:tr>
      <w:tr w:rsidR="00AD2232" w:rsidTr="00A624EB">
        <w:tc>
          <w:tcPr>
            <w:tcW w:w="4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16</w:t>
            </w:r>
          </w:p>
        </w:tc>
        <w:tc>
          <w:tcPr>
            <w:tcW w:w="748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or/4-15</w:t>
            </w:r>
          </w:p>
        </w:tc>
        <w:tc>
          <w:tcPr>
            <w:tcW w:w="930"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575608</w:t>
            </w:r>
          </w:p>
        </w:tc>
      </w:tr>
      <w:tr w:rsidR="00AD2232" w:rsidTr="00A624EB">
        <w:tc>
          <w:tcPr>
            <w:tcW w:w="4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17</w:t>
            </w:r>
          </w:p>
        </w:tc>
        <w:tc>
          <w:tcPr>
            <w:tcW w:w="748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3 and 16</w:t>
            </w:r>
          </w:p>
        </w:tc>
        <w:tc>
          <w:tcPr>
            <w:tcW w:w="930"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57855</w:t>
            </w:r>
          </w:p>
        </w:tc>
      </w:tr>
      <w:tr w:rsidR="00AD2232" w:rsidTr="00A624EB">
        <w:tc>
          <w:tcPr>
            <w:tcW w:w="4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18</w:t>
            </w:r>
          </w:p>
        </w:tc>
        <w:tc>
          <w:tcPr>
            <w:tcW w:w="748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limit 17 to (danish or english or norwegian or polyglot or spanish or swedish)</w:t>
            </w:r>
          </w:p>
        </w:tc>
        <w:tc>
          <w:tcPr>
            <w:tcW w:w="930"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54246</w:t>
            </w:r>
          </w:p>
        </w:tc>
      </w:tr>
      <w:tr w:rsidR="00AD2232" w:rsidTr="00A624EB">
        <w:tc>
          <w:tcPr>
            <w:tcW w:w="4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19</w:t>
            </w:r>
          </w:p>
        </w:tc>
        <w:tc>
          <w:tcPr>
            <w:tcW w:w="748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limit 18 to yr="2015 -Current"</w:t>
            </w:r>
          </w:p>
        </w:tc>
        <w:tc>
          <w:tcPr>
            <w:tcW w:w="930"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23248</w:t>
            </w:r>
          </w:p>
        </w:tc>
      </w:tr>
      <w:tr w:rsidR="00AD2232" w:rsidTr="00A624EB">
        <w:tc>
          <w:tcPr>
            <w:tcW w:w="4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20</w:t>
            </w:r>
          </w:p>
        </w:tc>
        <w:tc>
          <w:tcPr>
            <w:tcW w:w="748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limit 19 to embase</w:t>
            </w:r>
          </w:p>
        </w:tc>
        <w:tc>
          <w:tcPr>
            <w:tcW w:w="930"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16471</w:t>
            </w:r>
          </w:p>
        </w:tc>
      </w:tr>
    </w:tbl>
    <w:p w:rsidR="00AD2232" w:rsidRDefault="00AD2232" w:rsidP="00AD2232"/>
    <w:p w:rsidR="00AD2232" w:rsidRDefault="00AD2232" w:rsidP="00AD2232">
      <w:pPr>
        <w:spacing w:before="240" w:after="240"/>
        <w:rPr>
          <w:rFonts w:ascii="Calibri" w:eastAsia="Calibri" w:hAnsi="Calibri" w:cs="Calibri"/>
          <w:b/>
        </w:rPr>
      </w:pPr>
      <w:r>
        <w:rPr>
          <w:rFonts w:ascii="Calibri" w:eastAsia="Calibri" w:hAnsi="Calibri" w:cs="Calibri"/>
          <w:b/>
        </w:rPr>
        <w:t xml:space="preserve">Database:   </w:t>
      </w:r>
      <w:r>
        <w:rPr>
          <w:rFonts w:ascii="Calibri" w:eastAsia="Calibri" w:hAnsi="Calibri" w:cs="Calibri"/>
          <w:b/>
        </w:rPr>
        <w:tab/>
        <w:t>Web of Science Core Collection: Science Citation Index Expanded (SCI-EXPANDED) --1987-present, Social Sciences Citation Index (SSCI) --1987-present, Arts &amp; Humanities Citation Index (A&amp;HCI) --1987-present, Emerging Sources Citation Index (ESCI) --2015-present</w:t>
      </w:r>
    </w:p>
    <w:p w:rsidR="00AD2232" w:rsidRDefault="00AD2232" w:rsidP="00AD2232">
      <w:pPr>
        <w:spacing w:before="240" w:after="240"/>
        <w:rPr>
          <w:rFonts w:ascii="Calibri" w:eastAsia="Calibri" w:hAnsi="Calibri" w:cs="Calibri"/>
        </w:rPr>
      </w:pPr>
      <w:r>
        <w:rPr>
          <w:rFonts w:ascii="Calibri" w:eastAsia="Calibri" w:hAnsi="Calibri" w:cs="Calibri"/>
          <w:b/>
        </w:rPr>
        <w:lastRenderedPageBreak/>
        <w:t>Date:</w:t>
      </w:r>
      <w:r>
        <w:rPr>
          <w:rFonts w:ascii="Calibri" w:eastAsia="Calibri" w:hAnsi="Calibri" w:cs="Calibri"/>
        </w:rPr>
        <w:t xml:space="preserve"> 19.11.21</w:t>
      </w:r>
    </w:p>
    <w:p w:rsidR="00AD2232" w:rsidRDefault="00AD2232" w:rsidP="00AD2232">
      <w:pPr>
        <w:spacing w:before="240" w:after="240"/>
        <w:rPr>
          <w:rFonts w:ascii="Calibri" w:eastAsia="Calibri" w:hAnsi="Calibri" w:cs="Calibri"/>
        </w:rPr>
      </w:pPr>
      <w:r>
        <w:rPr>
          <w:rFonts w:ascii="Calibri" w:eastAsia="Calibri" w:hAnsi="Calibri" w:cs="Calibri"/>
          <w:b/>
        </w:rPr>
        <w:t>Hits:</w:t>
      </w:r>
      <w:r>
        <w:rPr>
          <w:rFonts w:ascii="Calibri" w:eastAsia="Calibri" w:hAnsi="Calibri" w:cs="Calibri"/>
        </w:rPr>
        <w:t xml:space="preserve"> 19 369</w:t>
      </w:r>
    </w:p>
    <w:tbl>
      <w:tblPr>
        <w:tblW w:w="8850" w:type="dxa"/>
        <w:tblBorders>
          <w:top w:val="nil"/>
          <w:left w:val="nil"/>
          <w:bottom w:val="nil"/>
          <w:right w:val="nil"/>
          <w:insideH w:val="nil"/>
          <w:insideV w:val="nil"/>
        </w:tblBorders>
        <w:tblLayout w:type="fixed"/>
        <w:tblLook w:val="0600" w:firstRow="0" w:lastRow="0" w:firstColumn="0" w:lastColumn="0" w:noHBand="1" w:noVBand="1"/>
      </w:tblPr>
      <w:tblGrid>
        <w:gridCol w:w="615"/>
        <w:gridCol w:w="7005"/>
        <w:gridCol w:w="1230"/>
      </w:tblGrid>
      <w:tr w:rsidR="00AD2232" w:rsidTr="00A624EB">
        <w:tc>
          <w:tcPr>
            <w:tcW w:w="615"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14</w:t>
            </w:r>
          </w:p>
        </w:tc>
        <w:tc>
          <w:tcPr>
            <w:tcW w:w="7005" w:type="dxa"/>
            <w:tcBorders>
              <w:top w:val="single" w:sz="8" w:space="0" w:color="BFBFBF"/>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(#13) AND LA=(English OR Danish OR Multiple Languages OR Norwegian OR Spanish OR Swedish)</w:t>
            </w:r>
          </w:p>
        </w:tc>
        <w:tc>
          <w:tcPr>
            <w:tcW w:w="1230" w:type="dxa"/>
            <w:tcBorders>
              <w:top w:val="single" w:sz="8" w:space="0" w:color="BFBFBF"/>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19,369</w:t>
            </w:r>
          </w:p>
        </w:tc>
      </w:tr>
      <w:tr w:rsidR="00AD2232" w:rsidTr="00A624EB">
        <w:tc>
          <w:tcPr>
            <w:tcW w:w="615"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13</w:t>
            </w:r>
          </w:p>
        </w:tc>
        <w:tc>
          <w:tcPr>
            <w:tcW w:w="700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(#12) AND PY=(2015-2021)</w:t>
            </w:r>
          </w:p>
        </w:tc>
        <w:tc>
          <w:tcPr>
            <w:tcW w:w="1230"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19,528</w:t>
            </w:r>
          </w:p>
        </w:tc>
      </w:tr>
      <w:tr w:rsidR="00AD2232" w:rsidTr="00A624EB">
        <w:tc>
          <w:tcPr>
            <w:tcW w:w="615"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12</w:t>
            </w:r>
          </w:p>
        </w:tc>
        <w:tc>
          <w:tcPr>
            <w:tcW w:w="700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#1 and #11</w:t>
            </w:r>
          </w:p>
        </w:tc>
        <w:tc>
          <w:tcPr>
            <w:tcW w:w="1230"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46,063</w:t>
            </w:r>
          </w:p>
        </w:tc>
      </w:tr>
      <w:tr w:rsidR="00AD2232" w:rsidTr="00A624EB">
        <w:tc>
          <w:tcPr>
            <w:tcW w:w="615"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11</w:t>
            </w:r>
          </w:p>
        </w:tc>
        <w:tc>
          <w:tcPr>
            <w:tcW w:w="700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#2 or #3 or #4 or #5 or #6 or #7 or #8 or #9 or #10</w:t>
            </w:r>
          </w:p>
        </w:tc>
        <w:tc>
          <w:tcPr>
            <w:tcW w:w="1230"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454,205</w:t>
            </w:r>
          </w:p>
        </w:tc>
      </w:tr>
      <w:tr w:rsidR="00AD2232" w:rsidTr="00A624EB">
        <w:tc>
          <w:tcPr>
            <w:tcW w:w="615"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10</w:t>
            </w:r>
          </w:p>
        </w:tc>
        <w:tc>
          <w:tcPr>
            <w:tcW w:w="700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TS=(("aspergillus" or "neosartorya") NEAR/0 "fumigat*")</w:t>
            </w:r>
          </w:p>
        </w:tc>
        <w:tc>
          <w:tcPr>
            <w:tcW w:w="1230"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13,687</w:t>
            </w:r>
          </w:p>
        </w:tc>
      </w:tr>
      <w:tr w:rsidR="00AD2232" w:rsidTr="00A624EB">
        <w:tc>
          <w:tcPr>
            <w:tcW w:w="615"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9</w:t>
            </w:r>
          </w:p>
        </w:tc>
        <w:tc>
          <w:tcPr>
            <w:tcW w:w="700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TS=("candida" NEAR/0 ("non albicans" or "auris"))</w:t>
            </w:r>
          </w:p>
        </w:tc>
        <w:tc>
          <w:tcPr>
            <w:tcW w:w="1230"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1,906</w:t>
            </w:r>
          </w:p>
        </w:tc>
      </w:tr>
      <w:tr w:rsidR="00AD2232" w:rsidTr="00A624EB">
        <w:tc>
          <w:tcPr>
            <w:tcW w:w="615"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8</w:t>
            </w:r>
          </w:p>
        </w:tc>
        <w:tc>
          <w:tcPr>
            <w:tcW w:w="700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TS=(("enterococcus" or "streptococcus") NEAR/0 "faecium")</w:t>
            </w:r>
          </w:p>
        </w:tc>
        <w:tc>
          <w:tcPr>
            <w:tcW w:w="1230"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8,677</w:t>
            </w:r>
          </w:p>
        </w:tc>
      </w:tr>
      <w:tr w:rsidR="00AD2232" w:rsidTr="00A624EB">
        <w:tc>
          <w:tcPr>
            <w:tcW w:w="615"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7</w:t>
            </w:r>
          </w:p>
        </w:tc>
        <w:tc>
          <w:tcPr>
            <w:tcW w:w="700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TS=(("clostridium" or "clostridioides") NEAR/0 "difficil*")</w:t>
            </w:r>
          </w:p>
        </w:tc>
        <w:tc>
          <w:tcPr>
            <w:tcW w:w="1230"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20,940</w:t>
            </w:r>
          </w:p>
        </w:tc>
      </w:tr>
      <w:tr w:rsidR="00AD2232" w:rsidTr="00A624EB">
        <w:tc>
          <w:tcPr>
            <w:tcW w:w="615"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6</w:t>
            </w:r>
          </w:p>
        </w:tc>
        <w:tc>
          <w:tcPr>
            <w:tcW w:w="700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TS=(("Stenotrophomonas" or "Pseudomonas" or "Xanthomonas") NEAR/0 "malt?philia")</w:t>
            </w:r>
          </w:p>
        </w:tc>
        <w:tc>
          <w:tcPr>
            <w:tcW w:w="1230"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4,062</w:t>
            </w:r>
          </w:p>
        </w:tc>
      </w:tr>
      <w:tr w:rsidR="00AD2232" w:rsidTr="00A624EB">
        <w:tc>
          <w:tcPr>
            <w:tcW w:w="615"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5</w:t>
            </w:r>
          </w:p>
        </w:tc>
        <w:tc>
          <w:tcPr>
            <w:tcW w:w="700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TS=("acinetobacter*" or "A. baumanii")</w:t>
            </w:r>
          </w:p>
        </w:tc>
        <w:tc>
          <w:tcPr>
            <w:tcW w:w="1230"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23,475</w:t>
            </w:r>
          </w:p>
        </w:tc>
      </w:tr>
      <w:tr w:rsidR="00AD2232" w:rsidTr="00A624EB">
        <w:tc>
          <w:tcPr>
            <w:tcW w:w="615"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4</w:t>
            </w:r>
          </w:p>
        </w:tc>
        <w:tc>
          <w:tcPr>
            <w:tcW w:w="700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TS=("pseudomonas aeruginosa" or "P. aeruginosa")</w:t>
            </w:r>
          </w:p>
        </w:tc>
        <w:tc>
          <w:tcPr>
            <w:tcW w:w="1230"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88,969</w:t>
            </w:r>
          </w:p>
        </w:tc>
      </w:tr>
      <w:tr w:rsidR="00AD2232" w:rsidTr="00A624EB">
        <w:tc>
          <w:tcPr>
            <w:tcW w:w="615"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3</w:t>
            </w:r>
          </w:p>
        </w:tc>
        <w:tc>
          <w:tcPr>
            <w:tcW w:w="700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TS=("b*-lactamase$" or "ec 3.5.2.6" or "beta lactam hydrolase" or "beta lactamhydrolase" or "cefinase" or "ESBL" or "carbapenemase$" or "biofilm" or "non-fermenting")</w:t>
            </w:r>
          </w:p>
        </w:tc>
        <w:tc>
          <w:tcPr>
            <w:tcW w:w="1230"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118,459</w:t>
            </w:r>
          </w:p>
        </w:tc>
      </w:tr>
      <w:tr w:rsidR="00AD2232" w:rsidTr="00A624EB">
        <w:tc>
          <w:tcPr>
            <w:tcW w:w="615"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2</w:t>
            </w:r>
          </w:p>
        </w:tc>
        <w:tc>
          <w:tcPr>
            <w:tcW w:w="700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 xml:space="preserve">TS=(("antibacterial" or "bacterial" or "bacterium" or "antibiotic$" or "antifungal" or "antimicrobial" or "microbial" or "multidrug" or "multiple drug" or "multiple antibiotics" or "penicillin" or "meth?cillin$" or "met?cillin$" or "cephalosporin*" or "cephalosporanic acid$" or "cefepim$" or "cefuroxime" or "cefotaxim$" or "ceftazidime" or "ceftriaxon$" or "cefixime" or "ceftaroline" or "carbapenem$" or "aminoglycoside$" or "gentam?cin$" or "amikacin$" or "fluoroquinolone$" or "linezolid$" or "vancomycin$" or "echinocandin$" or "azole$" or "colistin$" or "colimycin$" or "antibacterial" or "bacterial" or "bacterium" or "antibiotic" or "antifungal" or "antimicrobial" or "microbial" or "multidrug" or "multiple drug" or "multiple antibiotics" or "penicillin" or "meth?cillin$" or "met?cillin$" or "cephalosporin*" or "cephalosporanic acid$" or "cefepim$" or "cefuroxime" or "cefotaxim$" or "ceftazidime" or "ceftriaxon$" or "cefixime" or "ceftaroline" or "carbapenem$" or "aminoglycoside$" or "gentam?cin$" or "amikacin$" or "fluoroquinolone$" or "linezolid$" or "vancomycin$" or "echinocandin$" or "azole$" or </w:t>
            </w:r>
            <w:r>
              <w:rPr>
                <w:color w:val="0A0905"/>
                <w:sz w:val="18"/>
                <w:szCs w:val="18"/>
              </w:rPr>
              <w:lastRenderedPageBreak/>
              <w:t>"colistin$" or "colimycin$" or "polymyxin e" or "intrinsic*" or "penicillin" or "macrolide" or "tobramycin$" or "fluconazol$" or "voricanozole" or "posaconazole" or "caspofungin" or "anidulafungin" or "micafungin" or "ciproflox*" or "ciproxin" or "levofloxacin" or "clindamycin$" or "dalacin" or "clarithromycin" or "CLAR" or "erythromycin" or "azt$reonam" or "azactam" or "polymyxin e" or "intrinsic*" or "penicillin" or "macrolide" or "tobramycin$" or "fluconazol$" or "voricanozole" or "posaconazole" or "caspofungin" or "anidulafungin" or "micafungin" or "ciproflox*" or "ciproxin" or "levofloxacin" or "clindamycin$" or "dalacin" or "clarithromycin" or "CLAR" or "erythromycin" or "azt$reonam" or "azactam") NEAR/3 ("resistance" or "resistant" or "nonsusceptib*" or "insusceptib*" or "non-susceptib*" or "susceptibility"))</w:t>
            </w:r>
          </w:p>
        </w:tc>
        <w:tc>
          <w:tcPr>
            <w:tcW w:w="1230"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lastRenderedPageBreak/>
              <w:t>274,926</w:t>
            </w:r>
          </w:p>
        </w:tc>
      </w:tr>
      <w:tr w:rsidR="00AD2232" w:rsidTr="00A624EB">
        <w:tc>
          <w:tcPr>
            <w:tcW w:w="615"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center"/>
              <w:rPr>
                <w:color w:val="0A0905"/>
                <w:sz w:val="18"/>
                <w:szCs w:val="18"/>
              </w:rPr>
            </w:pPr>
            <w:r>
              <w:rPr>
                <w:color w:val="0A0905"/>
                <w:sz w:val="18"/>
                <w:szCs w:val="18"/>
              </w:rPr>
              <w:t>1</w:t>
            </w:r>
          </w:p>
        </w:tc>
        <w:tc>
          <w:tcPr>
            <w:tcW w:w="7005"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rPr>
                <w:color w:val="0A0905"/>
                <w:sz w:val="18"/>
                <w:szCs w:val="18"/>
              </w:rPr>
            </w:pPr>
            <w:r>
              <w:rPr>
                <w:color w:val="0A0905"/>
                <w:sz w:val="18"/>
                <w:szCs w:val="18"/>
              </w:rPr>
              <w:t>TS=("tumor$" or "tumour$" or "cancer$" or "neoplas*" or "paraneoplas*" or "preneoplas*" or "precancer*" or "premalign*" or "malign*" or "carcinogenes?s" or "oncogenes?s" or "tumorigenes?s" or "cocarcinogenes?s" or "metastas?s" or "metastatic" or "incidentaloma$" or "leukemia$" or "leucemia$" or "lymphoma$" or "sarcoma$" or "carcinoma*" or "melanoma$" or "glioma$" or "blastoma$")</w:t>
            </w:r>
          </w:p>
        </w:tc>
        <w:tc>
          <w:tcPr>
            <w:tcW w:w="1230" w:type="dxa"/>
            <w:tcBorders>
              <w:top w:val="nil"/>
              <w:left w:val="nil"/>
              <w:bottom w:val="single" w:sz="8" w:space="0" w:color="BFBFBF"/>
              <w:right w:val="single" w:sz="8" w:space="0" w:color="BFBFBF"/>
            </w:tcBorders>
            <w:tcMar>
              <w:top w:w="100" w:type="dxa"/>
              <w:left w:w="100" w:type="dxa"/>
              <w:bottom w:w="100" w:type="dxa"/>
              <w:right w:w="100" w:type="dxa"/>
            </w:tcMar>
            <w:vAlign w:val="center"/>
          </w:tcPr>
          <w:p w:rsidR="00AD2232" w:rsidRDefault="00AD2232" w:rsidP="00A624EB">
            <w:pPr>
              <w:spacing w:line="392" w:lineRule="auto"/>
              <w:jc w:val="right"/>
              <w:rPr>
                <w:color w:val="0A0905"/>
                <w:sz w:val="18"/>
                <w:szCs w:val="18"/>
              </w:rPr>
            </w:pPr>
            <w:r>
              <w:rPr>
                <w:color w:val="0A0905"/>
                <w:sz w:val="18"/>
                <w:szCs w:val="18"/>
              </w:rPr>
              <w:t>4,410,329</w:t>
            </w:r>
          </w:p>
        </w:tc>
      </w:tr>
    </w:tbl>
    <w:p w:rsidR="00AD2232" w:rsidRDefault="00AD2232" w:rsidP="00AD2232">
      <w:pPr>
        <w:spacing w:line="240" w:lineRule="auto"/>
        <w:rPr>
          <w:sz w:val="12"/>
          <w:szCs w:val="12"/>
        </w:rPr>
        <w:sectPr w:rsidR="00AD2232">
          <w:headerReference w:type="default" r:id="rId5"/>
          <w:footerReference w:type="default" r:id="rId6"/>
          <w:pgSz w:w="11909" w:h="16834"/>
          <w:pgMar w:top="1440" w:right="1440" w:bottom="1440" w:left="1440" w:header="720" w:footer="720" w:gutter="0"/>
          <w:pgNumType w:start="1"/>
          <w:cols w:space="720"/>
        </w:sectPr>
      </w:pPr>
    </w:p>
    <w:p w:rsidR="00AD2232" w:rsidRDefault="00AD2232" w:rsidP="00AD2232">
      <w:pPr>
        <w:pStyle w:val="Heading1"/>
        <w:widowControl w:val="0"/>
        <w:spacing w:line="240" w:lineRule="auto"/>
      </w:pPr>
      <w:bookmarkStart w:id="3" w:name="_78f47877e83x" w:colFirst="0" w:colLast="0"/>
      <w:bookmarkEnd w:id="3"/>
      <w:r>
        <w:lastRenderedPageBreak/>
        <w:t>Supplementary material 3</w:t>
      </w:r>
    </w:p>
    <w:p w:rsidR="00AD2232" w:rsidRDefault="00AD2232" w:rsidP="00AD2232"/>
    <w:p w:rsidR="00AD2232" w:rsidRDefault="00AD2232" w:rsidP="00AD2232">
      <w:pPr>
        <w:rPr>
          <w:b/>
        </w:rPr>
      </w:pPr>
      <w:r>
        <w:rPr>
          <w:b/>
        </w:rPr>
        <w:t>Table S3 - All included articles in the systematic review with an infection outcome</w:t>
      </w:r>
    </w:p>
    <w:p w:rsidR="00AD2232" w:rsidRDefault="00AD2232" w:rsidP="00AD2232">
      <w:pPr>
        <w:rPr>
          <w:b/>
        </w:rPr>
      </w:pPr>
    </w:p>
    <w:tbl>
      <w:tblPr>
        <w:tblW w:w="13957" w:type="dxa"/>
        <w:tblBorders>
          <w:top w:val="nil"/>
          <w:left w:val="nil"/>
          <w:bottom w:val="nil"/>
          <w:right w:val="nil"/>
          <w:insideH w:val="nil"/>
          <w:insideV w:val="nil"/>
        </w:tblBorders>
        <w:tblLayout w:type="fixed"/>
        <w:tblLook w:val="0600" w:firstRow="0" w:lastRow="0" w:firstColumn="0" w:lastColumn="0" w:noHBand="1" w:noVBand="1"/>
      </w:tblPr>
      <w:tblGrid>
        <w:gridCol w:w="483"/>
        <w:gridCol w:w="1400"/>
        <w:gridCol w:w="1109"/>
        <w:gridCol w:w="703"/>
        <w:gridCol w:w="703"/>
        <w:gridCol w:w="893"/>
        <w:gridCol w:w="1140"/>
        <w:gridCol w:w="1349"/>
        <w:gridCol w:w="1039"/>
        <w:gridCol w:w="590"/>
        <w:gridCol w:w="849"/>
        <w:gridCol w:w="608"/>
        <w:gridCol w:w="969"/>
        <w:gridCol w:w="697"/>
        <w:gridCol w:w="1425"/>
      </w:tblGrid>
      <w:tr w:rsidR="00AD2232" w:rsidTr="00A624EB">
        <w:trPr>
          <w:trHeight w:val="1550"/>
        </w:trPr>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b/>
                <w:sz w:val="12"/>
                <w:szCs w:val="12"/>
              </w:rPr>
            </w:pPr>
            <w:r>
              <w:rPr>
                <w:b/>
                <w:sz w:val="12"/>
                <w:szCs w:val="12"/>
              </w:rPr>
              <w:t>Year</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b/>
                <w:sz w:val="12"/>
                <w:szCs w:val="12"/>
              </w:rPr>
            </w:pPr>
            <w:r>
              <w:rPr>
                <w:b/>
                <w:sz w:val="12"/>
                <w:szCs w:val="12"/>
              </w:rPr>
              <w:t>Title</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b/>
                <w:sz w:val="12"/>
                <w:szCs w:val="12"/>
              </w:rPr>
            </w:pPr>
            <w:r>
              <w:rPr>
                <w:b/>
                <w:sz w:val="12"/>
                <w:szCs w:val="12"/>
              </w:rPr>
              <w:t>Authors</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b/>
                <w:sz w:val="12"/>
                <w:szCs w:val="12"/>
              </w:rPr>
            </w:pPr>
            <w:r>
              <w:rPr>
                <w:b/>
                <w:sz w:val="12"/>
                <w:szCs w:val="12"/>
              </w:rPr>
              <w:t>Number of patients</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b/>
                <w:sz w:val="12"/>
                <w:szCs w:val="12"/>
              </w:rPr>
            </w:pPr>
            <w:r>
              <w:rPr>
                <w:b/>
                <w:sz w:val="12"/>
                <w:szCs w:val="12"/>
              </w:rPr>
              <w:t>Number of events in the final (and largest) model</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b/>
                <w:sz w:val="12"/>
                <w:szCs w:val="12"/>
              </w:rPr>
            </w:pPr>
            <w:r>
              <w:rPr>
                <w:b/>
                <w:sz w:val="12"/>
                <w:szCs w:val="12"/>
              </w:rPr>
              <w:t>Country/setting</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b/>
                <w:sz w:val="12"/>
                <w:szCs w:val="12"/>
              </w:rPr>
            </w:pPr>
            <w:r>
              <w:rPr>
                <w:b/>
                <w:sz w:val="12"/>
                <w:szCs w:val="12"/>
              </w:rPr>
              <w:t>Patient population</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b/>
                <w:sz w:val="12"/>
                <w:szCs w:val="12"/>
              </w:rPr>
            </w:pPr>
            <w:r>
              <w:rPr>
                <w:b/>
                <w:sz w:val="12"/>
                <w:szCs w:val="12"/>
              </w:rPr>
              <w:t>Factors included in the final model</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b/>
                <w:sz w:val="12"/>
                <w:szCs w:val="12"/>
              </w:rPr>
            </w:pPr>
            <w:r>
              <w:rPr>
                <w:b/>
                <w:sz w:val="12"/>
                <w:szCs w:val="12"/>
              </w:rPr>
              <w:t>Microbial etiology and resistance</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b/>
                <w:sz w:val="12"/>
                <w:szCs w:val="12"/>
              </w:rPr>
            </w:pPr>
            <w:r>
              <w:rPr>
                <w:b/>
                <w:sz w:val="12"/>
                <w:szCs w:val="12"/>
              </w:rPr>
              <w:t>Risk of bias grading (NIH tool)</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b/>
                <w:sz w:val="12"/>
                <w:szCs w:val="12"/>
              </w:rPr>
            </w:pPr>
            <w:r>
              <w:rPr>
                <w:b/>
                <w:sz w:val="12"/>
                <w:szCs w:val="12"/>
              </w:rPr>
              <w:t>Bivariable screening/stepwise regression</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b/>
                <w:sz w:val="12"/>
                <w:szCs w:val="12"/>
              </w:rPr>
            </w:pPr>
            <w:r>
              <w:rPr>
                <w:b/>
                <w:sz w:val="12"/>
                <w:szCs w:val="12"/>
              </w:rPr>
              <w:t>Events per variable in the final (and largest) model</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b/>
                <w:sz w:val="12"/>
                <w:szCs w:val="12"/>
              </w:rPr>
            </w:pPr>
            <w:r>
              <w:rPr>
                <w:b/>
                <w:sz w:val="12"/>
                <w:szCs w:val="12"/>
              </w:rPr>
              <w:t xml:space="preserve">Number of variables included in the tested/screened/initial model  </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b/>
                <w:sz w:val="12"/>
                <w:szCs w:val="12"/>
              </w:rPr>
            </w:pPr>
            <w:r>
              <w:rPr>
                <w:b/>
                <w:sz w:val="12"/>
                <w:szCs w:val="12"/>
              </w:rPr>
              <w:t>Number of variables included in the final (and largest) model</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b/>
                <w:sz w:val="12"/>
                <w:szCs w:val="12"/>
              </w:rPr>
            </w:pPr>
            <w:r>
              <w:rPr>
                <w:b/>
                <w:sz w:val="12"/>
                <w:szCs w:val="12"/>
              </w:rPr>
              <w:t>Comments</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2019</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Recurrent</w:t>
            </w:r>
            <w:r>
              <w:rPr>
                <w:i/>
                <w:sz w:val="12"/>
                <w:szCs w:val="12"/>
              </w:rPr>
              <w:t xml:space="preserve"> Clostridium difficile</w:t>
            </w:r>
            <w:r>
              <w:rPr>
                <w:sz w:val="12"/>
                <w:szCs w:val="12"/>
              </w:rPr>
              <w:t xml:space="preserve"> infection is associated with treatment failure and prolonged illness in cancer patients</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Abu-Sbeih, Choi, Tran et al (125)</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170</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270</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USA</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Adult cancer patients who had both NAAT and EIA results positive for</w:t>
            </w:r>
            <w:r>
              <w:rPr>
                <w:i/>
                <w:sz w:val="12"/>
                <w:szCs w:val="12"/>
              </w:rPr>
              <w:t xml:space="preserve"> C. difficile</w:t>
            </w:r>
            <w:r>
              <w:rPr>
                <w:sz w:val="12"/>
                <w:szCs w:val="12"/>
              </w:rPr>
              <w:t xml:space="preserve"> were identified in our institutional laboratory database from January 2015 to May 2017</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Antibiotic use, Comorbidities, NSAID use, PPI use, Immunosuppressant use,</w:t>
            </w:r>
          </w:p>
          <w:p w:rsidR="00AD2232" w:rsidRDefault="00AD2232" w:rsidP="00A624EB">
            <w:pPr>
              <w:widowControl w:val="0"/>
              <w:pBdr>
                <w:top w:val="nil"/>
                <w:left w:val="nil"/>
                <w:bottom w:val="nil"/>
                <w:right w:val="nil"/>
                <w:between w:val="nil"/>
              </w:pBdr>
              <w:rPr>
                <w:sz w:val="12"/>
                <w:szCs w:val="12"/>
              </w:rPr>
            </w:pPr>
            <w:r>
              <w:rPr>
                <w:sz w:val="12"/>
                <w:szCs w:val="12"/>
              </w:rPr>
              <w:t>Chemotherapy, Organ transplantation,</w:t>
            </w:r>
          </w:p>
          <w:p w:rsidR="00AD2232" w:rsidRDefault="00AD2232" w:rsidP="00A624EB">
            <w:pPr>
              <w:widowControl w:val="0"/>
              <w:pBdr>
                <w:top w:val="nil"/>
                <w:left w:val="nil"/>
                <w:bottom w:val="nil"/>
                <w:right w:val="nil"/>
                <w:between w:val="nil"/>
              </w:pBdr>
              <w:rPr>
                <w:sz w:val="12"/>
                <w:szCs w:val="12"/>
              </w:rPr>
            </w:pPr>
            <w:r>
              <w:rPr>
                <w:sz w:val="12"/>
                <w:szCs w:val="12"/>
              </w:rPr>
              <w:t>Gastrointestinal GVHD,</w:t>
            </w:r>
          </w:p>
          <w:p w:rsidR="00AD2232" w:rsidRDefault="00AD2232" w:rsidP="00A624EB">
            <w:pPr>
              <w:widowControl w:val="0"/>
              <w:pBdr>
                <w:top w:val="nil"/>
                <w:left w:val="nil"/>
                <w:bottom w:val="nil"/>
                <w:right w:val="nil"/>
                <w:between w:val="nil"/>
              </w:pBdr>
              <w:rPr>
                <w:sz w:val="12"/>
                <w:szCs w:val="12"/>
              </w:rPr>
            </w:pPr>
            <w:r>
              <w:rPr>
                <w:sz w:val="12"/>
                <w:szCs w:val="12"/>
              </w:rPr>
              <w:t>Previous hospitalisation</w:t>
            </w:r>
          </w:p>
          <w:p w:rsidR="00AD2232" w:rsidRDefault="00AD2232" w:rsidP="00A624EB">
            <w:pPr>
              <w:widowControl w:val="0"/>
              <w:pBdr>
                <w:top w:val="nil"/>
                <w:left w:val="nil"/>
                <w:bottom w:val="nil"/>
                <w:right w:val="nil"/>
                <w:between w:val="nil"/>
              </w:pBdr>
              <w:rPr>
                <w:sz w:val="12"/>
                <w:szCs w:val="12"/>
              </w:rPr>
            </w:pPr>
            <w:r>
              <w:rPr>
                <w:sz w:val="12"/>
                <w:szCs w:val="12"/>
              </w:rPr>
              <w:t>Haematological malignancy, Mean length of CDI treatment, CDI treatment failure, Severe/fulminant CDI disease</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i/>
                <w:sz w:val="12"/>
                <w:szCs w:val="12"/>
              </w:rPr>
            </w:pPr>
            <w:r>
              <w:rPr>
                <w:i/>
                <w:sz w:val="12"/>
                <w:szCs w:val="12"/>
              </w:rPr>
              <w:t>Clostridioides difficile</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Low</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38,6</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13</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7</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Authors concluded that the risk factors for RCDI they found in cancer patients were the same as one can otherwise find in non-cancer patients (previous antibiotic use, NSAID, comorbidities, and immunosuppressant use), except for the risk use of chemotherapeutic therapy.</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2020</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Alterations of the oral microbiome and cumulative carbapenem exposure are associated with </w:t>
            </w:r>
            <w:r>
              <w:rPr>
                <w:i/>
                <w:sz w:val="12"/>
                <w:szCs w:val="12"/>
              </w:rPr>
              <w:t>Stenotrophomonas maltophilia</w:t>
            </w:r>
            <w:r>
              <w:rPr>
                <w:sz w:val="12"/>
                <w:szCs w:val="12"/>
              </w:rPr>
              <w:t xml:space="preserve"> infection in patients with acute myeloid leukemia receiving chemotherapy</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Aitken, Sahasrabhojane, Kontoyiannis et al (81)</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90</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8</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USA</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Patients with a new diagnosis of AML who were receiving remission-induction chemotherapy (RIC) between 9/2013 and 8/2015.</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Ciprofloxacin, Levofloxacin, Meropenem, </w:t>
            </w:r>
            <w:r>
              <w:rPr>
                <w:i/>
                <w:sz w:val="12"/>
                <w:szCs w:val="12"/>
              </w:rPr>
              <w:t>S. maltophilia</w:t>
            </w:r>
            <w:r>
              <w:rPr>
                <w:sz w:val="12"/>
                <w:szCs w:val="12"/>
              </w:rPr>
              <w:t xml:space="preserve"> oral abundance</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i/>
                <w:sz w:val="12"/>
                <w:szCs w:val="12"/>
              </w:rPr>
            </w:pPr>
            <w:r>
              <w:rPr>
                <w:i/>
                <w:sz w:val="12"/>
                <w:szCs w:val="12"/>
              </w:rPr>
              <w:t>Stenotrophomonas maltophilia</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Low</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8</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4</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Authors found  that the abundance of </w:t>
            </w:r>
            <w:r>
              <w:rPr>
                <w:i/>
                <w:sz w:val="12"/>
                <w:szCs w:val="12"/>
              </w:rPr>
              <w:t>S. maltophilia</w:t>
            </w:r>
            <w:r>
              <w:rPr>
                <w:sz w:val="12"/>
                <w:szCs w:val="12"/>
              </w:rPr>
              <w:t xml:space="preserve"> in the oral microbiome, in addition to fluoroquinolone use, is associated with </w:t>
            </w:r>
            <w:r>
              <w:rPr>
                <w:i/>
                <w:sz w:val="12"/>
                <w:szCs w:val="12"/>
              </w:rPr>
              <w:t>S. maltophilia</w:t>
            </w:r>
            <w:r>
              <w:rPr>
                <w:sz w:val="12"/>
                <w:szCs w:val="12"/>
              </w:rPr>
              <w:t xml:space="preserve"> infection.</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2016</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Results of Four-Year Rectal Vancomycin-Resistant Enterococci Surveillance in a Pediatric Hematology-Oncology Ward: From Colonization to Infection</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Akturk, Sutcu, Somer et al (143)</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72</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7</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Turkey</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All patients admitted to the paediatric haematology/oncology ward with a documented Vancomycin-resistant enterococci colonisation 48-72 h after admission.</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Severe neutropenia (&lt;100/mm3), Previous bacteremia with another pathogen</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Vancomycin-resistant enterococci</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Medium</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3,5</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10</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A brief report investigating the risk factors for progression from vancomycin-resistant enterococci colonisation to infection, which they find is associated with severe neutropenia and previous bacteraemia.</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2017</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A multicenter, retrospective, case- cohort study of the epidemiology and risk factors for </w:t>
            </w:r>
            <w:r>
              <w:rPr>
                <w:i/>
                <w:sz w:val="12"/>
                <w:szCs w:val="12"/>
              </w:rPr>
              <w:t>Clostridium difficile</w:t>
            </w:r>
            <w:r>
              <w:rPr>
                <w:sz w:val="12"/>
                <w:szCs w:val="12"/>
              </w:rPr>
              <w:t xml:space="preserve"> infection among cord blood transplant recipients</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Alonso, Braun, Patel et al (65)</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226</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226</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USA</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Adult Umbilical cord blood transplant (UCBT recipients at  the   three</w:t>
            </w:r>
            <w:r>
              <w:rPr>
                <w:sz w:val="12"/>
                <w:szCs w:val="12"/>
              </w:rPr>
              <w:tab/>
              <w:t>Boston centres from</w:t>
            </w:r>
            <w:r>
              <w:rPr>
                <w:sz w:val="12"/>
                <w:szCs w:val="12"/>
              </w:rPr>
              <w:tab/>
              <w:t>January 1,  2003    to  December 31,   2012</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Age, BMI, Conditioning regimen, Antipseudomonal penicillin, Bacterial infection post- UCBT</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i/>
                <w:sz w:val="12"/>
                <w:szCs w:val="12"/>
              </w:rPr>
            </w:pPr>
            <w:r>
              <w:rPr>
                <w:i/>
                <w:sz w:val="12"/>
                <w:szCs w:val="12"/>
              </w:rPr>
              <w:t>Clostridioides difficile</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Low</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45,2</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21</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5</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Authors identified having had a bacterial infection post-transplant as a risk factor of CDI, without considering the treatment of the bacterial infection.</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2016</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Retrospective analysis of the microbiological spectrum of pneumonia in Turkish patients with lung cancer</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Avcı, Hartavi, Kaçan et al (39)</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119</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22</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Turkey</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Patients with lung cancer and pneumonia between 2010 and 2011</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Male sex, Age, Diabetes mellitus, COPD, Histology, Tumour stage, Tumour localisation, Surgical treatment, Pleural effusion, Hospital-acquired pneumonia, Chemotherapy dose modifications, Respiratory failure, Febrile neutropaenia, Development of pneumonia within the first 10 days</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i/>
                <w:sz w:val="12"/>
                <w:szCs w:val="12"/>
              </w:rPr>
            </w:pPr>
            <w:r>
              <w:rPr>
                <w:i/>
                <w:sz w:val="12"/>
                <w:szCs w:val="12"/>
              </w:rPr>
              <w:t>Aspergillus fumigatus</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Medium</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1,6</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14</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14</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Authors found that febrile neutropenia and pneumonia within the first 10 days of admission may increase the risk of</w:t>
            </w:r>
            <w:r>
              <w:rPr>
                <w:i/>
                <w:sz w:val="12"/>
                <w:szCs w:val="12"/>
              </w:rPr>
              <w:t xml:space="preserve"> A. fumigatus</w:t>
            </w:r>
            <w:r>
              <w:rPr>
                <w:sz w:val="12"/>
                <w:szCs w:val="12"/>
              </w:rPr>
              <w:t xml:space="preserve"> pneumonia.</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2020</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Use of carbapenems and glycopeptides increases risk for </w:t>
            </w:r>
            <w:r>
              <w:rPr>
                <w:i/>
                <w:sz w:val="12"/>
                <w:szCs w:val="12"/>
              </w:rPr>
              <w:t xml:space="preserve">Clostridioides difficile </w:t>
            </w:r>
            <w:r>
              <w:rPr>
                <w:sz w:val="12"/>
                <w:szCs w:val="12"/>
              </w:rPr>
              <w:t>infections in acute myeloid leukemia patients undergoing intensive induction chemotherapy</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Ballo, Kreisel, Eladly et al (66)</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415</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37</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Germany</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All patients with AML who underwent intensive induction chemotherapy between 2007 and 2019.</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Cumulative glycopeptide exposure</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i/>
                <w:sz w:val="12"/>
                <w:szCs w:val="12"/>
              </w:rPr>
            </w:pPr>
            <w:r>
              <w:rPr>
                <w:i/>
                <w:sz w:val="12"/>
                <w:szCs w:val="12"/>
              </w:rPr>
              <w:t>Clostridioides difficile</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Low</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7,4</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8</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5</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Authors found an association between cumulative exposure to some antibiotics and </w:t>
            </w:r>
            <w:r>
              <w:rPr>
                <w:i/>
                <w:sz w:val="12"/>
                <w:szCs w:val="12"/>
              </w:rPr>
              <w:t xml:space="preserve">C. difficile </w:t>
            </w:r>
            <w:r>
              <w:rPr>
                <w:sz w:val="12"/>
                <w:szCs w:val="12"/>
              </w:rPr>
              <w:t>infection</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2021</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Bacterial bile duct colonization in </w:t>
            </w:r>
            <w:r>
              <w:rPr>
                <w:sz w:val="12"/>
                <w:szCs w:val="12"/>
              </w:rPr>
              <w:lastRenderedPageBreak/>
              <w:t>perihilar cholangiocarcinoma and its clinical significance</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 xml:space="preserve">Bednarsch, Czigany, Heij et </w:t>
            </w:r>
            <w:r>
              <w:rPr>
                <w:sz w:val="12"/>
                <w:szCs w:val="12"/>
              </w:rPr>
              <w:lastRenderedPageBreak/>
              <w:t>al (18)</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95</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52</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Germany</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All surgically treated patients </w:t>
            </w:r>
            <w:r>
              <w:rPr>
                <w:sz w:val="12"/>
                <w:szCs w:val="12"/>
              </w:rPr>
              <w:lastRenderedPageBreak/>
              <w:t>with localised pCCA with available information on bile duct colonisation from intraoperative sampling</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 xml:space="preserve">Portal vein embolization, </w:t>
            </w:r>
            <w:r>
              <w:rPr>
                <w:sz w:val="12"/>
                <w:szCs w:val="12"/>
              </w:rPr>
              <w:lastRenderedPageBreak/>
              <w:t>Susceptibility to applied perioperative antibiotics</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i/>
                <w:sz w:val="12"/>
                <w:szCs w:val="12"/>
              </w:rPr>
            </w:pPr>
            <w:r>
              <w:rPr>
                <w:sz w:val="12"/>
                <w:szCs w:val="12"/>
              </w:rPr>
              <w:lastRenderedPageBreak/>
              <w:t xml:space="preserve">47 species identified, top 5 </w:t>
            </w:r>
            <w:r>
              <w:rPr>
                <w:sz w:val="12"/>
                <w:szCs w:val="12"/>
              </w:rPr>
              <w:lastRenderedPageBreak/>
              <w:t xml:space="preserve">most common: </w:t>
            </w:r>
            <w:r>
              <w:rPr>
                <w:i/>
                <w:sz w:val="12"/>
                <w:szCs w:val="12"/>
              </w:rPr>
              <w:t>Enterococcus faecalis</w:t>
            </w:r>
            <w:r>
              <w:rPr>
                <w:sz w:val="12"/>
                <w:szCs w:val="12"/>
              </w:rPr>
              <w:t xml:space="preserve">, </w:t>
            </w:r>
            <w:r>
              <w:rPr>
                <w:i/>
                <w:sz w:val="12"/>
                <w:szCs w:val="12"/>
              </w:rPr>
              <w:t>Enterococcus faecium, Enterobacter cloacae, Escherichia coli, Klebsiella pneumoniae</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Medium</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26,0</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26</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Authors found that portal vein </w:t>
            </w:r>
            <w:r>
              <w:rPr>
                <w:sz w:val="12"/>
                <w:szCs w:val="12"/>
              </w:rPr>
              <w:lastRenderedPageBreak/>
              <w:t>embolization and susceptibility to perioperative antibiotics is associated with postoperative abdominal infections after excluding a number of variables</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2016</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Epidemiology of </w:t>
            </w:r>
            <w:r>
              <w:rPr>
                <w:i/>
                <w:sz w:val="12"/>
                <w:szCs w:val="12"/>
              </w:rPr>
              <w:t>Clostridium difficile</w:t>
            </w:r>
            <w:r>
              <w:rPr>
                <w:sz w:val="12"/>
                <w:szCs w:val="12"/>
              </w:rPr>
              <w:t xml:space="preserve"> infection in hospitalized oncology patients</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Chang, Dembry, Banach et al (126)</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229</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77</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USA</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Adult patients admitted to oncology units, those with</w:t>
            </w:r>
            <w:r>
              <w:rPr>
                <w:i/>
                <w:sz w:val="12"/>
                <w:szCs w:val="12"/>
              </w:rPr>
              <w:t xml:space="preserve"> C. difficile</w:t>
            </w:r>
            <w:r>
              <w:rPr>
                <w:sz w:val="12"/>
                <w:szCs w:val="12"/>
              </w:rPr>
              <w:t xml:space="preserve"> infection were cases.</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Age, Prior history of </w:t>
            </w:r>
            <w:r>
              <w:rPr>
                <w:i/>
                <w:sz w:val="12"/>
                <w:szCs w:val="12"/>
              </w:rPr>
              <w:t>Clostridioides difficile</w:t>
            </w:r>
            <w:r>
              <w:rPr>
                <w:sz w:val="12"/>
                <w:szCs w:val="12"/>
              </w:rPr>
              <w:t>, Blood transfusion, β-lactam/β-lactamase inhibitor, Cephalosporin, Metronidazole</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i/>
                <w:sz w:val="12"/>
                <w:szCs w:val="12"/>
              </w:rPr>
            </w:pPr>
            <w:r>
              <w:rPr>
                <w:i/>
                <w:sz w:val="12"/>
                <w:szCs w:val="12"/>
              </w:rPr>
              <w:t>Clostridioides difficile</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Medium</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12,8</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32</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6</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Authors found  a very strong association between a history of </w:t>
            </w:r>
            <w:r>
              <w:rPr>
                <w:i/>
                <w:sz w:val="12"/>
                <w:szCs w:val="12"/>
              </w:rPr>
              <w:t>C. difficile infection</w:t>
            </w:r>
            <w:r>
              <w:rPr>
                <w:sz w:val="12"/>
                <w:szCs w:val="12"/>
              </w:rPr>
              <w:t xml:space="preserve"> and current </w:t>
            </w:r>
            <w:r>
              <w:rPr>
                <w:i/>
                <w:sz w:val="12"/>
                <w:szCs w:val="12"/>
              </w:rPr>
              <w:t>C. difficile</w:t>
            </w:r>
            <w:r>
              <w:rPr>
                <w:sz w:val="12"/>
                <w:szCs w:val="12"/>
              </w:rPr>
              <w:t xml:space="preserve"> infection, in addition to a selection of antibiotics.</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2017</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Risk Factors for Hospital-acquired </w:t>
            </w:r>
            <w:r>
              <w:rPr>
                <w:i/>
                <w:sz w:val="12"/>
                <w:szCs w:val="12"/>
              </w:rPr>
              <w:t xml:space="preserve">Clostridium difficile </w:t>
            </w:r>
            <w:r>
              <w:rPr>
                <w:sz w:val="12"/>
                <w:szCs w:val="12"/>
              </w:rPr>
              <w:t>Infection Among Pediatric Patients With Cancer</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Daida, Yoshihara, Inai et al (127)</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145</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51</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Japan</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Paediatric patients with cancer admitted to the hospital between July 2003 and September 2012, CDI cases matched to controls</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Age, Male (vs. female), Same ward, Duration of neutropenia</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i/>
                <w:sz w:val="12"/>
                <w:szCs w:val="12"/>
              </w:rPr>
            </w:pPr>
            <w:r>
              <w:rPr>
                <w:i/>
                <w:sz w:val="12"/>
                <w:szCs w:val="12"/>
              </w:rPr>
              <w:t>Clostridioides difficile</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Low</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10,2</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9</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5</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Antibiotics use is omitted from the final model due to collinearity with duration of neutropenia, which is associated with an increased odds of CDI</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2015</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Infection with multidrug-resistant gram-negative bacteria in a pediatric oncology intensive care unit: risk factors and outcomes</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de Oliveira Costa, Atta, da Silva (116)</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76</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47</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Brazil</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Infection episodes related to GNB that occurred between January 1, 2009 and December 31, 2012 in PICU patients, aged between 0 months and 18 years, who were hospitalised for more than 24 h in a tertiary oncology public hospital.</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rFonts w:ascii="Arial Unicode MS" w:eastAsia="Arial Unicode MS" w:hAnsi="Arial Unicode MS" w:cs="Arial Unicode MS"/>
                <w:sz w:val="12"/>
                <w:szCs w:val="12"/>
              </w:rPr>
              <w:t>Healthcare-associated infection, Hematologic diseases, Length of neutropenia ≥3 days, Length of ICU stay &gt;3 days, Previous antibiotic therapy</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Multidrug-resistant Gram-negative bacteria</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Medium</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9,4</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14</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5</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The authors found that there is a higher odds of a MDR-GNB infection compared to a non-MDR-GNB infection if the infection was healthcare-associated and the patient had a haematological cancer</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2018</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Increasing rates of </w:t>
            </w:r>
            <w:r>
              <w:rPr>
                <w:i/>
                <w:sz w:val="12"/>
                <w:szCs w:val="12"/>
              </w:rPr>
              <w:t xml:space="preserve">Acinetobacter baumannii </w:t>
            </w:r>
            <w:r>
              <w:rPr>
                <w:sz w:val="12"/>
                <w:szCs w:val="12"/>
              </w:rPr>
              <w:t>infection and resistance in an oncology department</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Fan, Wang, Wang et al (136)</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6154</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60</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China</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Cancer patients with nosocomial infections in a general teaching hospital from </w:t>
            </w:r>
            <w:r>
              <w:rPr>
                <w:sz w:val="12"/>
                <w:szCs w:val="12"/>
              </w:rPr>
              <w:lastRenderedPageBreak/>
              <w:t>January 2010 to December 2015</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 xml:space="preserve">Gender, Age, Hematologic malignancy, Radiation, Hospitalisation time, </w:t>
            </w:r>
            <w:r>
              <w:rPr>
                <w:sz w:val="12"/>
                <w:szCs w:val="12"/>
              </w:rPr>
              <w:lastRenderedPageBreak/>
              <w:t>Operation, Prior antibiotic use</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i/>
                <w:sz w:val="12"/>
                <w:szCs w:val="12"/>
              </w:rPr>
            </w:pPr>
            <w:r>
              <w:rPr>
                <w:i/>
                <w:sz w:val="12"/>
                <w:szCs w:val="12"/>
              </w:rPr>
              <w:lastRenderedPageBreak/>
              <w:t>Acinetobacter baumannii</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Medium</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8,6</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7</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7</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Authors found that there is an association between prior antibiotic use and </w:t>
            </w:r>
            <w:r>
              <w:rPr>
                <w:i/>
                <w:sz w:val="12"/>
                <w:szCs w:val="12"/>
              </w:rPr>
              <w:t>A. baumannii</w:t>
            </w:r>
            <w:r>
              <w:rPr>
                <w:sz w:val="12"/>
                <w:szCs w:val="12"/>
              </w:rPr>
              <w:t xml:space="preserve"> infection</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2018</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Clinical Outcomes Associated With Linezolid Resistance in Leukemia Patients With Linezolid-Resistant </w:t>
            </w:r>
            <w:r>
              <w:rPr>
                <w:i/>
                <w:sz w:val="12"/>
                <w:szCs w:val="12"/>
              </w:rPr>
              <w:t xml:space="preserve">Staphylococcus epidermidis </w:t>
            </w:r>
            <w:r>
              <w:rPr>
                <w:sz w:val="12"/>
                <w:szCs w:val="12"/>
              </w:rPr>
              <w:t>Bacteremia</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Folan, Marx, Tverdek et al (104)</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82</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33</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USA</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All adult leukaemia patients with </w:t>
            </w:r>
            <w:r>
              <w:rPr>
                <w:i/>
                <w:sz w:val="12"/>
                <w:szCs w:val="12"/>
              </w:rPr>
              <w:t xml:space="preserve">S. epidermidis </w:t>
            </w:r>
            <w:r>
              <w:rPr>
                <w:sz w:val="12"/>
                <w:szCs w:val="12"/>
              </w:rPr>
              <w:t>bacteremia treated with empiric linezolid between 2012 and 2015.</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Linezolid-resistant </w:t>
            </w:r>
            <w:r>
              <w:rPr>
                <w:i/>
                <w:sz w:val="12"/>
                <w:szCs w:val="12"/>
              </w:rPr>
              <w:t>S. epidermidis</w:t>
            </w:r>
            <w:r>
              <w:rPr>
                <w:sz w:val="12"/>
                <w:szCs w:val="12"/>
              </w:rPr>
              <w:t>, Age, AML, Prior HSCT, Presence of CVC</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i/>
                <w:sz w:val="12"/>
                <w:szCs w:val="12"/>
              </w:rPr>
              <w:t>Staphylococcus epidermidis</w:t>
            </w:r>
            <w:r>
              <w:rPr>
                <w:sz w:val="12"/>
                <w:szCs w:val="12"/>
              </w:rPr>
              <w:t>, linezolid-resistance</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Low</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8,3</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12</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4</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The infection outcome was persistent </w:t>
            </w:r>
            <w:r>
              <w:rPr>
                <w:i/>
                <w:sz w:val="12"/>
                <w:szCs w:val="12"/>
              </w:rPr>
              <w:t>S. epidermidis</w:t>
            </w:r>
            <w:r>
              <w:rPr>
                <w:sz w:val="12"/>
                <w:szCs w:val="12"/>
              </w:rPr>
              <w:t xml:space="preserve"> bacteraemia, which the authors found was more common in patients that were infected by linezolid-resistant bacteria</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2019</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Decrease in vancomycin-resistant Enterococcus colonization associated with a reduction in carbapenem use as empiric therapy for febrile neutropenia in patients with acute leukemia</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Ford, Coombs, Stofer et al (85)</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342</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79</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USA</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Patients admitted with newly diagnosed acute myelogenous leukaemia (AML), acute lymphoblastic leukaemia(ALL), biphenotypic leukaemia (BPL), or chronic myelogenous leukaemia in blast phase (CML-BP) between September 2011 and August 2017</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Age, Days of empiric antibiotics, LOS, Cycling vs carbapenem period, Days of carbapenem, Days of cefepime or piperacillin/tazobactam</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Vancomycin-resistant enterococci</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Low</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13,2</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6</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6</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The infection outcome is VRE colonisation. The authors found that after the hospital changed policies to use less carbapenems, the VRE colonisation rates declined.</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2015</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Frequency, Risk Factors, and Outcomes of Vancomycin-Resistant Enterococcus Colonization and Infection in Patients with Newly Diagnosed Acute Leukemia: Different Patterns in Patients with Acute Myelogenous and Acute Lymphoblastic Leukemia</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Ford, Lopansri, Haydoura et al (86)</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214</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15</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USA</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Patients with newly diagnosed acute leukaemia between 2006 and 2012</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Severe neutropenia, Number of stools/day</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Vancomycin-resistant enterococci</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Low</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7,5</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7</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Data extracted from the model with bloodstream infection as the infection outcome. Authors find that such infections are associated with prolonged neutropenia and diarrhoea. </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2018</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i/>
                <w:sz w:val="12"/>
                <w:szCs w:val="12"/>
              </w:rPr>
              <w:t xml:space="preserve">Clostridioides difficile </w:t>
            </w:r>
            <w:r>
              <w:rPr>
                <w:sz w:val="12"/>
                <w:szCs w:val="12"/>
              </w:rPr>
              <w:t>colonization and infection in patients with newly diagnosed acute leukemia: Incidence, risk factors, and patient outcomes</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Ford, Lopansri, Webb et al (67)</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509</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31</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USA</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Patients with AL admitted between 2006 and 2017</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Age, Gender female, Diabetes, Hospitalisation prior 2 mo, Antibiotics prior 3 mo, Karnofsky performance Status, Admit serum </w:t>
            </w:r>
            <w:r>
              <w:rPr>
                <w:sz w:val="12"/>
                <w:szCs w:val="12"/>
              </w:rPr>
              <w:lastRenderedPageBreak/>
              <w:t>albumin, Severe neutropenia, Antibiotics (no.), Antibiotics (d)</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i/>
                <w:sz w:val="12"/>
                <w:szCs w:val="12"/>
              </w:rPr>
            </w:pPr>
            <w:r>
              <w:rPr>
                <w:i/>
                <w:sz w:val="12"/>
                <w:szCs w:val="12"/>
              </w:rPr>
              <w:lastRenderedPageBreak/>
              <w:t>Clostridioides difficile</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Low</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3,1</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10</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10</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CDI during hospitalisation was found in 31 patients - more often in those who had recently been hospitalised or had recently been put on </w:t>
            </w:r>
            <w:r>
              <w:rPr>
                <w:sz w:val="12"/>
                <w:szCs w:val="12"/>
              </w:rPr>
              <w:lastRenderedPageBreak/>
              <w:t>antibiotics</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2016</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Risk factors for </w:t>
            </w:r>
            <w:r>
              <w:rPr>
                <w:i/>
                <w:sz w:val="12"/>
                <w:szCs w:val="12"/>
              </w:rPr>
              <w:t xml:space="preserve">Clostridium difficile </w:t>
            </w:r>
            <w:r>
              <w:rPr>
                <w:sz w:val="12"/>
                <w:szCs w:val="12"/>
              </w:rPr>
              <w:t>infection in hemato-oncological patients: A case control study in 144 patients</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Fuereder, Koni, Gleiss et al (128)</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288</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144</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Austria</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Patients that had a histologically or cytologically confirmed hemato-oncological disease diagnosed between 1st January 2004 and 31st December 2014. Cases were patients that had received chemotherapy during the course of their disease and suffered from CDI positive diarrhoea, controls were those with CDI negative diarrhoea.</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Intervall chemotherapy to diarrhoea, Antibiotic therapy within 30 days</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i/>
                <w:sz w:val="12"/>
                <w:szCs w:val="12"/>
              </w:rPr>
            </w:pPr>
            <w:r>
              <w:rPr>
                <w:i/>
                <w:sz w:val="12"/>
                <w:szCs w:val="12"/>
              </w:rPr>
              <w:t>Clostridioides difficile</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Medium</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72,0</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The authors found that chemotherapy is not associated with CDI positive diarrhoea, but that antimicrobial therapy is. </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2017</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Consequences of Increases in Antibiotic Resistance Pattern on Outcome of Pancreatic Resection for Cancer</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Gianotti, Tamini, Gavazzi et al (19)</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517</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99</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Italy</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Adult patients who underwent elective pancreatic resections for cancer from January 1, 2013 to December 31, 2015, with an available sample of biological fluid.</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Type of operation (pancreatoduodenectomy vs. others), Operation time, Estimated blood loss, Preoperative biliary stenting (yes vs. no)</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Several bacteria, tested for resistance towards several antibiotics</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Low</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24,8</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4</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4</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The authors found that there is an association between preoperative biliary stenting and multidrug or extensively drug resistant infectious complications </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2019</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Colonization by fecal extended-spectrum b-lactamase-producing </w:t>
            </w:r>
            <w:r>
              <w:rPr>
                <w:i/>
                <w:sz w:val="12"/>
                <w:szCs w:val="12"/>
              </w:rPr>
              <w:t xml:space="preserve">Enterobacteriaceae </w:t>
            </w:r>
            <w:r>
              <w:rPr>
                <w:sz w:val="12"/>
                <w:szCs w:val="12"/>
              </w:rPr>
              <w:t>and surgical site infections in patients with cancer undergoing gastrointestinal and gynecologic surgery</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Golzarri, Silva-Sanchez, Cornejo-Juarez et al (34)</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171</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25</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Mexico</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Adult patients, with gynaecological or gastrointestinal malignancies, who were admitted to the hospital for elective abdominal and pelvic surgical </w:t>
            </w:r>
            <w:r>
              <w:rPr>
                <w:sz w:val="12"/>
                <w:szCs w:val="12"/>
              </w:rPr>
              <w:lastRenderedPageBreak/>
              <w:t>procedures from September 2014 to December 2015</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ESBL-PE. Adjusted for the following confounders: age, sex, albumin, and type of malignancy.</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i/>
                <w:sz w:val="12"/>
                <w:szCs w:val="12"/>
              </w:rPr>
            </w:pPr>
            <w:r>
              <w:rPr>
                <w:sz w:val="12"/>
                <w:szCs w:val="12"/>
              </w:rPr>
              <w:t xml:space="preserve"> Extended-spectrum beta-lactamase-producing </w:t>
            </w:r>
            <w:r>
              <w:rPr>
                <w:i/>
                <w:sz w:val="12"/>
                <w:szCs w:val="12"/>
              </w:rPr>
              <w:t>Enterobacteriaceae</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Low</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(with fixed set of confounders)</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3,6</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13</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7</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The risk ratio of several infectious outcomes in carriage ESBL-producing Enterobacteriaceae vs non-carriers are modelled, after adjusting for confounders. The authors found that the risk of surgical site </w:t>
            </w:r>
            <w:r>
              <w:rPr>
                <w:sz w:val="12"/>
                <w:szCs w:val="12"/>
              </w:rPr>
              <w:lastRenderedPageBreak/>
              <w:t>infection and blood stream infection is increased by such carriage, but not pneumonia and urinary tract infection.</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2020</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i/>
                <w:sz w:val="12"/>
                <w:szCs w:val="12"/>
              </w:rPr>
            </w:pPr>
            <w:r>
              <w:rPr>
                <w:sz w:val="12"/>
                <w:szCs w:val="12"/>
              </w:rPr>
              <w:t xml:space="preserve">Clinical Predictive Model of Multidrug Resistance in Neutropenic Cancer Patients with Bloodstream Infection Due to </w:t>
            </w:r>
            <w:r>
              <w:rPr>
                <w:i/>
                <w:sz w:val="12"/>
                <w:szCs w:val="12"/>
              </w:rPr>
              <w:t>Pseudomonas aeruginosa</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Gudiol, Albasanz-Puig, Laporte-Amargos et al (140)</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1217</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309</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34 centres in 12 countries</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Adult neutropenic onco haematological patients diagnosed with at least one episode of </w:t>
            </w:r>
            <w:r>
              <w:rPr>
                <w:i/>
                <w:sz w:val="12"/>
                <w:szCs w:val="12"/>
              </w:rPr>
              <w:t>P. aeruginosa</w:t>
            </w:r>
            <w:r>
              <w:rPr>
                <w:sz w:val="12"/>
                <w:szCs w:val="12"/>
              </w:rPr>
              <w:t xml:space="preserve"> BSI from 1 January 2006 to 31 May 2018.</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Prior piperacillin-tazobactam therapy (within 1 mo), Prior fluoroquinolone prophylaxis (within 1 mo), Urinary catheter, Prior antipseudomonal carbapenem therapy (within 1 mo), Haematological disease</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i/>
                <w:sz w:val="12"/>
                <w:szCs w:val="12"/>
              </w:rPr>
              <w:t>Pseudomonas aeruginosa</w:t>
            </w:r>
            <w:r>
              <w:rPr>
                <w:sz w:val="12"/>
                <w:szCs w:val="12"/>
              </w:rPr>
              <w:t>, multidrug resistant</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Low</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51,5</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32</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6</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The authors constructed a clinical prediction model to predict resistance in P. aeruginosa bloodstream infections in onco haematological patients, achieving an area under the curve of 0.72 (0.63, 0.80) in internal validation. A risk score calculator of this model is available on https://ubidi.shinyapps.io/ironic/.</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2017</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Risks factors and outcomes of </w:t>
            </w:r>
            <w:r>
              <w:rPr>
                <w:i/>
                <w:sz w:val="12"/>
                <w:szCs w:val="12"/>
              </w:rPr>
              <w:t>Clostridium difficile</w:t>
            </w:r>
            <w:r>
              <w:rPr>
                <w:sz w:val="12"/>
                <w:szCs w:val="12"/>
              </w:rPr>
              <w:t xml:space="preserve"> infection in patients with cancer: a matched case-control study</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Hebbard, Slavin, Reed et al (129)</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200</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50</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Australia</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Patients with CDI at a cancer centre from May 2013 to May 2015</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Administration of chemotherapy, Gastro-intestinal/abdominal surgery, Proton pump inhibitors, Antibiotic days of therapy</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i/>
                <w:sz w:val="12"/>
                <w:szCs w:val="12"/>
              </w:rPr>
            </w:pPr>
            <w:r>
              <w:rPr>
                <w:i/>
                <w:sz w:val="12"/>
                <w:szCs w:val="12"/>
              </w:rPr>
              <w:t>Clostridioides difficile</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Low</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12,5</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27</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4</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The authors did not find that the administration of any antibiotics is associated with a </w:t>
            </w:r>
            <w:r>
              <w:rPr>
                <w:i/>
                <w:sz w:val="12"/>
                <w:szCs w:val="12"/>
              </w:rPr>
              <w:t>C. difficile</w:t>
            </w:r>
            <w:r>
              <w:rPr>
                <w:sz w:val="12"/>
                <w:szCs w:val="12"/>
              </w:rPr>
              <w:t xml:space="preserve"> infection, but that chemotherapy is. </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2016</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Vancomycin- resistant </w:t>
            </w:r>
            <w:r>
              <w:rPr>
                <w:i/>
                <w:sz w:val="12"/>
                <w:szCs w:val="12"/>
              </w:rPr>
              <w:t>Enterococcus</w:t>
            </w:r>
            <w:r>
              <w:rPr>
                <w:sz w:val="12"/>
                <w:szCs w:val="12"/>
              </w:rPr>
              <w:t xml:space="preserve"> colonization and bloodstream infection: prevalence, risk factors, and the impact on early outcomes after allogeneic hematopoietic cell transplantation in patients with acute myeloid leukemia</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Hefazi, Damlaj, Alkhateeb et al (88)</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203</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12</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USA</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All consecutive patients who underwent their first allogeneic HCT for AML at ta clinic between April 2004 and December 2014 </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rFonts w:ascii="Arial Unicode MS" w:eastAsia="Arial Unicode MS" w:hAnsi="Arial Unicode MS" w:cs="Arial Unicode MS"/>
                <w:sz w:val="12"/>
                <w:szCs w:val="12"/>
              </w:rPr>
              <w:t>Age (≥60 years vs &lt;60), HCI-CI (≥3 vs 0- 2), KPS (&gt;80 vs ≤80), Conditioning (RIC vs MAC), VRE colonisation (within 30 days of HCT)</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Vancomycin-resistant enterococci</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Low</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2,4</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10</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5</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The authors found that there is an association between VRE colonisation and VRE bloodstream infection</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2017</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Vancomycin-resistant enterococci in acute myeloid leukemia and myelodysplastic syndrome patients undergoing induction </w:t>
            </w:r>
            <w:r>
              <w:rPr>
                <w:sz w:val="12"/>
                <w:szCs w:val="12"/>
              </w:rPr>
              <w:lastRenderedPageBreak/>
              <w:t>chemotherapy with idarubicin and cytarabine</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Heisel, Sutton, Mascara et al (89)</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229</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134</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USA</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Adult patients who received intensive induction chemotherapy with the standard </w:t>
            </w:r>
            <w:r>
              <w:rPr>
                <w:sz w:val="12"/>
                <w:szCs w:val="12"/>
              </w:rPr>
              <w:lastRenderedPageBreak/>
              <w:t>7+3 regimen of cytarabine and idarubicin for newly diagnosed AML or MDS from January 2012 to December 2015</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Gender (male), Vancomycin IV, Cephalosporin</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Vancomycin-resistant enterococci</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Medium</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44,7</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14</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3</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The authors found an association between both cephalosporins and intravenous vancomycin, and a VRE infection</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2017</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Changes in In Vitro Susceptibility Patterns of Aspergillus to Triazoles and Correlation With Aspergillosis Outcome in a Tertiary Care Cancer Center, 1999–2015</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Heo, Tatara, Jimenez-Ortigosa et al (101)</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107</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19</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USA</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A case-control study of patients with haematological malignancy comparing azole-resistant strains is nested within a cohort of all Aspergillus species clinical isolates recovered from respiratory sources in patients treated at a cancer centre between January 1999 and December 2015</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Asian race, Culture specimen–BAL fluid, Previous azole exposure history</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Four </w:t>
            </w:r>
            <w:r>
              <w:rPr>
                <w:i/>
                <w:sz w:val="12"/>
                <w:szCs w:val="12"/>
              </w:rPr>
              <w:t>Aspergillus</w:t>
            </w:r>
            <w:r>
              <w:rPr>
                <w:sz w:val="12"/>
                <w:szCs w:val="12"/>
              </w:rPr>
              <w:t xml:space="preserve"> species (fumigatus, flavus, terreus, niger), azole-resistance</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Low</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6,3</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58</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3</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The authors concluded that there are three independent risk factors of invasive pulmonary aspergillosis caused by Aspergilli with a non-wild type azole MIC - asian race, bronchoalveolar lavage fluid culture and a history of azole exposure. There is also a univariate analysis of mortality in the article.</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2017</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Daptomycin nonsusceptible vancomycin resistant Enterococcus bloodstream infections in patients with hematological malignancies: risk factors and outcomes</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Herc, Kauffman, Marini et al (87)</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60</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USA</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Adult patients treated on an inpatient haematology service from January 2011 to December 2015 with a haematological malignancy and a blood culture positive for an enterococcus species.</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Congestive heart failure, Typhilitis, Gastrointestinal bleeding, Daptomycin, Cefepime received within 90 days, Cumulative Daptomycin days within 90 days, Cumulative Fluoroquinolone days within 90 days, Prior enterococcal infection, Hospital LOS prior to positive culture,, Stage of malignancy, Number induction chemotherapy regimens, Clofarabine within 30 days</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i/>
                <w:sz w:val="12"/>
                <w:szCs w:val="12"/>
              </w:rPr>
              <w:t>Enterococcus</w:t>
            </w:r>
            <w:r>
              <w:rPr>
                <w:sz w:val="12"/>
                <w:szCs w:val="12"/>
              </w:rPr>
              <w:t>, vancomycin and daptomycin resistance</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Medium</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1,4</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46</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14</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The authors found that the only risk factor associated with a daptomycin-resistant VRE infection is daptomycin exposure within 90 days</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2019</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A RESEARCH STUDY ON BACTERAEMIA PRODUCED THROUGH ESCHERICHIA COLI IN TUMOR PATIENTS AT THE SPECIFIC CENTER IN OUR COUNTRY</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Khanzada, Zianab, Samreen (149)</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229</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99</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Pakistan</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Cancer patients with </w:t>
            </w:r>
            <w:r>
              <w:rPr>
                <w:i/>
                <w:sz w:val="12"/>
                <w:szCs w:val="12"/>
              </w:rPr>
              <w:t>E. coli</w:t>
            </w:r>
            <w:r>
              <w:rPr>
                <w:sz w:val="12"/>
                <w:szCs w:val="12"/>
              </w:rPr>
              <w:t xml:space="preserve"> bacteremia from October 2014 to September 2015</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Man sex, Age fewer than 19 years, Haematological distortion, Hospitalization inside 1 month before contagion, ICU admission, Carlson score, Dominant intravenous tube use, Previous chemotherapy inside 1 month, Previous surgery inside 1 month, Preceding fallout inside 1 month, ANC less than 110 cells/mm3, Usage of quinolones inside 95 days of catalogue sample, Usage of third group cephalosporins inside 95 days of index sample, Usage of Piperacilin/Tazobactam within 95 days of index sampling, Usage of carbapenems inside 95 days of index sample</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i/>
                <w:sz w:val="12"/>
                <w:szCs w:val="12"/>
              </w:rPr>
              <w:t>Escherichia coli</w:t>
            </w:r>
            <w:r>
              <w:rPr>
                <w:sz w:val="12"/>
                <w:szCs w:val="12"/>
              </w:rPr>
              <w:t>, multidrug-resistant</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High</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7,1</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14</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14</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The authors find that multidrug-resistant </w:t>
            </w:r>
            <w:r>
              <w:rPr>
                <w:i/>
                <w:sz w:val="12"/>
                <w:szCs w:val="12"/>
              </w:rPr>
              <w:t>E. coli</w:t>
            </w:r>
            <w:r>
              <w:rPr>
                <w:sz w:val="12"/>
                <w:szCs w:val="12"/>
              </w:rPr>
              <w:t xml:space="preserve"> bacteraemia was associated with young age, central venous catheter, and piperacillin/tazobactam exposure within 95 days of infection</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2018</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Clinical predictors of </w:t>
            </w:r>
            <w:r>
              <w:rPr>
                <w:i/>
                <w:sz w:val="12"/>
                <w:szCs w:val="12"/>
              </w:rPr>
              <w:t>Stenotrophomonas maltophilia</w:t>
            </w:r>
            <w:r>
              <w:rPr>
                <w:sz w:val="12"/>
                <w:szCs w:val="12"/>
              </w:rPr>
              <w:t xml:space="preserve"> bacteremia in adult patients with hematologic malignancy</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Kim, Cho, Kang et al (82)</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236</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118</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South Korea</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Cases were </w:t>
            </w:r>
            <w:r>
              <w:rPr>
                <w:i/>
                <w:sz w:val="12"/>
                <w:szCs w:val="12"/>
              </w:rPr>
              <w:t xml:space="preserve">S. maltophilia </w:t>
            </w:r>
            <w:r>
              <w:rPr>
                <w:sz w:val="12"/>
                <w:szCs w:val="12"/>
              </w:rPr>
              <w:t>bacteremia in adult patients with hematologic malignancy. Controls were other Gram-negative (</w:t>
            </w:r>
            <w:r>
              <w:rPr>
                <w:i/>
                <w:sz w:val="12"/>
                <w:szCs w:val="12"/>
              </w:rPr>
              <w:t>Escherichia coli,</w:t>
            </w:r>
            <w:r>
              <w:rPr>
                <w:sz w:val="12"/>
                <w:szCs w:val="12"/>
              </w:rPr>
              <w:t xml:space="preserve"> </w:t>
            </w:r>
            <w:r>
              <w:rPr>
                <w:i/>
                <w:sz w:val="12"/>
                <w:szCs w:val="12"/>
              </w:rPr>
              <w:t>Klebsiella</w:t>
            </w:r>
            <w:r>
              <w:rPr>
                <w:sz w:val="12"/>
                <w:szCs w:val="12"/>
              </w:rPr>
              <w:t xml:space="preserve"> species, </w:t>
            </w:r>
            <w:r>
              <w:rPr>
                <w:i/>
                <w:sz w:val="12"/>
                <w:szCs w:val="12"/>
              </w:rPr>
              <w:t>Acinetobacter</w:t>
            </w:r>
            <w:r>
              <w:rPr>
                <w:sz w:val="12"/>
                <w:szCs w:val="12"/>
              </w:rPr>
              <w:t xml:space="preserve"> species, </w:t>
            </w:r>
            <w:r>
              <w:rPr>
                <w:i/>
                <w:sz w:val="12"/>
                <w:szCs w:val="12"/>
              </w:rPr>
              <w:t xml:space="preserve">Pseudomonas </w:t>
            </w:r>
            <w:r>
              <w:rPr>
                <w:sz w:val="12"/>
                <w:szCs w:val="12"/>
              </w:rPr>
              <w:t>species, and Enterobacter species) bacteraemias.</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Polymicrobial infection, Previous </w:t>
            </w:r>
            <w:r>
              <w:rPr>
                <w:i/>
                <w:sz w:val="12"/>
                <w:szCs w:val="12"/>
              </w:rPr>
              <w:t>S. maltophilia</w:t>
            </w:r>
            <w:r>
              <w:rPr>
                <w:rFonts w:ascii="Arial Unicode MS" w:eastAsia="Arial Unicode MS" w:hAnsi="Arial Unicode MS" w:cs="Arial Unicode MS"/>
                <w:sz w:val="12"/>
                <w:szCs w:val="12"/>
              </w:rPr>
              <w:t xml:space="preserve"> isolation, Breakthrough infection during carbapenem therapy, No. of previous antibiotic use ≥3, Previous TMP/SMX use</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i/>
                <w:sz w:val="12"/>
                <w:szCs w:val="12"/>
              </w:rPr>
            </w:pPr>
            <w:r>
              <w:rPr>
                <w:i/>
                <w:sz w:val="12"/>
                <w:szCs w:val="12"/>
              </w:rPr>
              <w:t>Stenotrophomonas maltophilia</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Medium</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23,6</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18</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5</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The authors concluded that all independent variables included in the final multivariable model were associated with </w:t>
            </w:r>
            <w:r>
              <w:rPr>
                <w:i/>
                <w:sz w:val="12"/>
                <w:szCs w:val="12"/>
              </w:rPr>
              <w:t xml:space="preserve">S. maltophilia </w:t>
            </w:r>
            <w:r>
              <w:rPr>
                <w:sz w:val="12"/>
                <w:szCs w:val="12"/>
              </w:rPr>
              <w:t xml:space="preserve">bacteraemia. </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2019</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Risk factors for extended‑spectrum beta‑lactamase‑producing Enterobacteriaceae infection causing septic shock in cancer patients with chemotherapy‑induced febrile neutropenia</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Kim, Jung, Kang et al (119)</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179</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32</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South Korea</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rFonts w:ascii="Arial Unicode MS" w:eastAsia="Arial Unicode MS" w:hAnsi="Arial Unicode MS" w:cs="Arial Unicode MS"/>
                <w:sz w:val="12"/>
                <w:szCs w:val="12"/>
              </w:rPr>
              <w:t xml:space="preserve">Adult (≥ 18  years) patients with chemotherapy-induced febrile neutropenia admitted to an emergency department with septic shock </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Profound neutropenia</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 Enterobacteriaceae, extended-spectrum beta-lactamase</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Low</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6,4</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5</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5</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After adjustment, the authors found that only profound neutropenia was associated with ESBL-PE infection</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2021</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Antibiotic Prophylaxis or Granulocyte-Colony Stimulating Factor Support in Multiple Myeloma Patients Undergoing Autologous Stem Cell Transplantation</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Klein, Sauer, Klein et al (90)</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298</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25</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Germany</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Multiple myeloma inpatients who received high-dose therapy with melphalan followed by autologous stem cell transplantation at a hospital between March 2016 and July 201</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rFonts w:ascii="Arial Unicode MS" w:eastAsia="Arial Unicode MS" w:hAnsi="Arial Unicode MS" w:cs="Arial Unicode MS"/>
                <w:sz w:val="12"/>
                <w:szCs w:val="12"/>
              </w:rPr>
              <w:t>Antibiotic prophylaxis (vs. G-CSF support), No prophylaxis (vs. G-CSF support), Age (per ten years), ASCT at relapse (vs. first-line treatment), ≥VGPR before ASCT (vs. ≤PR), Stem cell amount ≥2.5 * (vs. &lt;2.5)</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Enterococcus faecium, vancomycin-resistant</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Medium</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4,2</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6</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6</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The article includes analyses of several microbes, but the assessed model investigates the association between the listed risk factors and VRE detection. Authors concluded that Granulocyte-Colony Stimulating Factor instead of antibiotic prophylaxis is associated with a fewer detected VRE cases.</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2015</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Clinical features and risk factors for development of Bacillus bacteremia among adult patients with cancer: a case-control study</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Ko, Kang, Lee et al (160)</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258</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86</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South Korea</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Cases were adult patients with cancer who were diagnosed with Bacillus bacteremia during the period of January 1995 through December 2012. Controls were patients with bacteraemia due to other pathogens.</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Hospital stay of longer than 14 days, History of HSCT, Presence of a CVC, Hematologic malignancy, Diarrhoea at presentation, Prior use of extended-spectrum cephalosporin, Prior use of glycopeptides</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i/>
                <w:sz w:val="12"/>
                <w:szCs w:val="12"/>
              </w:rPr>
            </w:pPr>
            <w:r>
              <w:rPr>
                <w:i/>
                <w:sz w:val="12"/>
                <w:szCs w:val="12"/>
              </w:rPr>
              <w:t>Bacillus spp.</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Low</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9,6</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9</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9</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The authors found that in addition to a central venous catheter, the use of cephalosporins within a month of admission was associated with Bacillus bacteraemia</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2016</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Risk factors for the development of </w:t>
            </w:r>
            <w:r>
              <w:rPr>
                <w:i/>
                <w:sz w:val="12"/>
                <w:szCs w:val="12"/>
              </w:rPr>
              <w:t xml:space="preserve">Clostridium difficile </w:t>
            </w:r>
            <w:r>
              <w:rPr>
                <w:sz w:val="12"/>
                <w:szCs w:val="12"/>
              </w:rPr>
              <w:t xml:space="preserve">infection in adult allogeneic hematopoietic stem cell transplant recipients: A single- </w:t>
            </w:r>
            <w:r>
              <w:rPr>
                <w:sz w:val="12"/>
                <w:szCs w:val="12"/>
              </w:rPr>
              <w:lastRenderedPageBreak/>
              <w:t>center study in Québec, Canada</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Lavallee, Labbe, Talbot et al (68)</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188</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65</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Canada</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rFonts w:ascii="Arial Unicode MS" w:eastAsia="Arial Unicode MS" w:hAnsi="Arial Unicode MS" w:cs="Arial Unicode MS"/>
                <w:sz w:val="12"/>
                <w:szCs w:val="12"/>
              </w:rPr>
              <w:t>Adults allo−HSCT recipients. Cases were CDI positive, controls were CDI negative.</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Mucositis, CMV reactivation, Herpesviridae reactivation other than CMV, Antibiotic use within 30 days before transplantation (No </w:t>
            </w:r>
            <w:r>
              <w:rPr>
                <w:sz w:val="12"/>
                <w:szCs w:val="12"/>
              </w:rPr>
              <w:lastRenderedPageBreak/>
              <w:t>antibiotic, Any antibiotic except TMP-SMX, TMP-SMX)</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i/>
                <w:sz w:val="12"/>
                <w:szCs w:val="12"/>
              </w:rPr>
            </w:pPr>
            <w:r>
              <w:rPr>
                <w:i/>
                <w:sz w:val="12"/>
                <w:szCs w:val="12"/>
              </w:rPr>
              <w:lastRenderedPageBreak/>
              <w:t>Clostridioides difficile</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Low</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13,0</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30</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5</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The authors concluded that reactivation of CMV and other Herpesviridae was associated with CDI. There is also a multivariable model stratified on the time of </w:t>
            </w:r>
            <w:r>
              <w:rPr>
                <w:sz w:val="12"/>
                <w:szCs w:val="12"/>
              </w:rPr>
              <w:lastRenderedPageBreak/>
              <w:t>CDI positivity, which shows that high-risk antibiotics were associated with CDI late in the treatment.</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2015</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Risk factors for acquisition of multidrug-resistant bacteria in patients with anastomotic leakage after colorectal cancer surgery</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Lee, Ryu, Chung et al (20)</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143</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46</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South Korea</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Patients with colorectal cancer that underwent surgery and had anastomotic leakage and a subsequent positive blood or intra abdominal fluid culture from January 2009 to April 2013</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Diabetes mellitus, The total length of antibiotic administration for more than 5 days before diagnosis of anastomosis site leakage. Adjustment variables indeterminable.</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Several bacteria and fungi, tested for resistance towards several antimicrobials</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Medium</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Indeterminable</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Indeterminable</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Indeterminable</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The authors found that compared to non-MDR pathogens, diabetes mellitus and the total length of antibiotic administration for more than 5 days before diagnosis of anastomosis site leakage were associated with acquisition of a MDR pathogen.</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2017</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Post-operative MRSA infections in head and neck surgery</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Lin, Melki, Lisgaris et al (38)</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113</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24</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USA</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Patients who were &gt;18 years of age and underwent major head and/or neck surgery between January 1, 2008 and January 1, 2014, and were found to have a documented surgical site infection during their postoperative hospitalisation</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Indeterminable</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i/>
                <w:sz w:val="12"/>
                <w:szCs w:val="12"/>
              </w:rPr>
              <w:t>Staphylococcus aureus</w:t>
            </w:r>
            <w:r>
              <w:rPr>
                <w:sz w:val="12"/>
                <w:szCs w:val="12"/>
              </w:rPr>
              <w:t>, methicillin-resistance</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Medium</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Indeterminable</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Indeterminable</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Indeterminable</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The authors describe a multivariable model in the methods chapter, but we were unable to locate a regression table. Nonetheless, the authors conclude that hospital exposure prior to the procedure, a history of chemotherapy, or immunosuppression were risk factors for developing a MRSA SSI.</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2015</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Risk for </w:t>
            </w:r>
            <w:r>
              <w:rPr>
                <w:i/>
                <w:sz w:val="12"/>
                <w:szCs w:val="12"/>
              </w:rPr>
              <w:t>Clostridium difficile</w:t>
            </w:r>
            <w:r>
              <w:rPr>
                <w:sz w:val="12"/>
                <w:szCs w:val="12"/>
              </w:rPr>
              <w:t xml:space="preserve"> infection after radical cystectomy for bladder cancer: Analysis of a contemporary series</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Liu, Shatagopam, Monn et al (35)</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552</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49</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USA</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Patients undergoing radical cystectomy between January 2010 and December 2013 for bladder cancer</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Diversion type (Ileal conduit, Indiana pouch, Orthotopic neobladder), Preoperative haemoglobin, Preoperative antacid use, Days of antibiotics received (1 day or less, 2–7 days, Greater than 7 days)</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i/>
                <w:sz w:val="12"/>
                <w:szCs w:val="12"/>
              </w:rPr>
            </w:pPr>
            <w:r>
              <w:rPr>
                <w:i/>
                <w:sz w:val="12"/>
                <w:szCs w:val="12"/>
              </w:rPr>
              <w:t>Clostridioides difficile</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Low</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8,2</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22</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6</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The authors found that chronic antacid therapy and long duration of antibiotic exposure in the perioperative setting were associated with a </w:t>
            </w:r>
            <w:r>
              <w:rPr>
                <w:i/>
                <w:sz w:val="12"/>
                <w:szCs w:val="12"/>
              </w:rPr>
              <w:t>C. difficile</w:t>
            </w:r>
            <w:r>
              <w:rPr>
                <w:sz w:val="12"/>
                <w:szCs w:val="12"/>
              </w:rPr>
              <w:t xml:space="preserve"> infection in these patients</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2018</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Mixed mold pulmonary infections in haematological cancer patients in a </w:t>
            </w:r>
            <w:r>
              <w:rPr>
                <w:sz w:val="12"/>
                <w:szCs w:val="12"/>
              </w:rPr>
              <w:lastRenderedPageBreak/>
              <w:t>tertiary care cancer centre</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Magira, Jiang, Economides et al (102)</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54</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27</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USA</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Cases were adult (&gt;18 years old) patients with haematological </w:t>
            </w:r>
            <w:r>
              <w:rPr>
                <w:sz w:val="12"/>
                <w:szCs w:val="12"/>
              </w:rPr>
              <w:lastRenderedPageBreak/>
              <w:t>malignancy who had proven or probable pulmonary infection with &gt;1 mould grown concurrently in sputum or bronchoalveolar lavage (BAL) cultures, controls were patients with haematological cancer (from the same time period) with IPA caused by Aspergillus fumigatus.</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Significant use of corticosteroids, culture from sputum specimens</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i/>
                <w:sz w:val="12"/>
                <w:szCs w:val="12"/>
              </w:rPr>
            </w:pPr>
            <w:r>
              <w:rPr>
                <w:sz w:val="12"/>
                <w:szCs w:val="12"/>
              </w:rPr>
              <w:t xml:space="preserve">Mixed moulds, </w:t>
            </w:r>
            <w:r>
              <w:rPr>
                <w:i/>
                <w:sz w:val="12"/>
                <w:szCs w:val="12"/>
              </w:rPr>
              <w:t>Aspergillus fumigatus</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Medium</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Indeterminable</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29</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Indeterminable</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We were unable to locate a printed regression table, but the authors concluded </w:t>
            </w:r>
            <w:r>
              <w:rPr>
                <w:sz w:val="12"/>
                <w:szCs w:val="12"/>
              </w:rPr>
              <w:lastRenderedPageBreak/>
              <w:t xml:space="preserve">that there is an association between use of corticosteroids and sputum samples, and mixed moulds instead of </w:t>
            </w:r>
            <w:r>
              <w:rPr>
                <w:i/>
                <w:sz w:val="12"/>
                <w:szCs w:val="12"/>
              </w:rPr>
              <w:t>A. fumigatus</w:t>
            </w:r>
            <w:r>
              <w:rPr>
                <w:sz w:val="12"/>
                <w:szCs w:val="12"/>
              </w:rPr>
              <w:t xml:space="preserve"> infection</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2015</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Risk factors for piperacillin/tazobactam-resistant Gram-negative infection in hematology/oncology patients with febrile neutropenia</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Marini, Hough, Gregg et al (117)</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171</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25</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USA</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Adult haematology/oncology patients with a diagnosis of FN and any culture positive for a Gram-negative rod from November 2007 to November 2013</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Demographic model: Unit ICU, Source of positive culture (Respiratory). Resistance model: History of PTZ-R, Antibiotic use previous 90 days (Antibiotic therapy &gt;14 days), Specific antibiotics previous 90 days (PTZ, Vancomycin), LOS &gt;14 days prior to culture, Healthcare exposures previous 90 days (ICU admission), Transfer from outside hospital, Urinary catheter at culture. Haematology/oncology model: Stage of disease (Hematologic malignancy–newly diagnosed, Hematologic malignancy–continuation/consolidation), Oncology treatment previous 90 days (Rituximab, Clofarabine).</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Gram-negative bacilli, Piperacillin/tazobactam resistance</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Medium</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(collinear variables removed)</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Indeterminable</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69</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Indeterminable</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There are three models - one with demographic variables, one with resistance variables, and one with haematology/oncology-specific variables. A final model with variables from all these models are described and the area under the curve of this model is reported, but a regression table is not printed. The authors concluded that prolonged antibiotic use and critical illness increase the risk of piperacillin/tazobactam resistance.</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2020</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Development and validation of a scoring system for predicting cancer patients at risk of extended-spectrum b-lactamase-producing Enterobacteriaceae infections</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Martínez-Valencia, Martínez, Ayala et al (124)</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710</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265</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Colombia</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Cancer patients with documented microbiological isolation during hospitalisation at a national cancer institute</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rFonts w:ascii="Arial Unicode MS" w:eastAsia="Arial Unicode MS" w:hAnsi="Arial Unicode MS" w:cs="Arial Unicode MS"/>
                <w:sz w:val="12"/>
                <w:szCs w:val="12"/>
              </w:rPr>
              <w:t>Prolonged hospitalisation (≥7 days), Hospitalisation during previous year, Immunosuppressive therapy, Neutropenia, Beta-lactams during the previous month, Invasive devices at the time of culture, Neoplasia in remission, No chemotherapy</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i/>
                <w:sz w:val="12"/>
                <w:szCs w:val="12"/>
              </w:rPr>
              <w:t>Enterobacteriaceae</w:t>
            </w:r>
            <w:r>
              <w:rPr>
                <w:sz w:val="12"/>
                <w:szCs w:val="12"/>
              </w:rPr>
              <w:t>, ESBL</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Low</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33,1</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39</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8</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The authors did develop a clinical prediction model, which is validated in a separate cohort and assessed with an area under the curve. The variable selection in the prediction model is based on the statistical significance of the candidate predictors in a stepwise regression. The authors translated the model into a scoring system, with prolonged hospitalisation and previous hospitalisation the last year as the highest scores.</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2019</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Oral Vancomycin Prophylaxis as Secondary Prevention Against </w:t>
            </w:r>
            <w:r>
              <w:rPr>
                <w:i/>
                <w:sz w:val="12"/>
                <w:szCs w:val="12"/>
              </w:rPr>
              <w:t>Clostridium difficile</w:t>
            </w:r>
            <w:r>
              <w:rPr>
                <w:sz w:val="12"/>
                <w:szCs w:val="12"/>
              </w:rPr>
              <w:t xml:space="preserve"> Infection in the Hematopoietic Stem CellTransplantation and Hematologic Malignancy Population</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Morrisette, Van Matre, Miller et al (69)</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50</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11</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USA</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Patients aged &gt;18 years with a history of autologous or allogeneic HSCT and patients with HM who did not undergo HSCT,  who have been treated for the initial episode of CDI first with planned oral vancomycin monotherapy and must have been receiving a broad-spectrum antibiotic at the time of CDI diagnosis and/or during the course of CDI treatment/prophylaxis.</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Oral vancomycin prophylaxis, Outpatient CDI diagnosis.</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i/>
                <w:sz w:val="12"/>
                <w:szCs w:val="12"/>
              </w:rPr>
            </w:pPr>
            <w:r>
              <w:rPr>
                <w:i/>
                <w:sz w:val="12"/>
                <w:szCs w:val="12"/>
              </w:rPr>
              <w:t>Clostridioides difficile</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Low</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5,5</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Indeterminable</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The infection outcome here is recurrent CDI infection, which the authors found was associated with no oral vancomycin prophylaxis and an inpatient CDI diagnosis.</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2019</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Antimicrobial de-escalation in adult hematopoietic cell transplantation recipients with febrile </w:t>
            </w:r>
            <w:r>
              <w:rPr>
                <w:sz w:val="12"/>
                <w:szCs w:val="12"/>
              </w:rPr>
              <w:lastRenderedPageBreak/>
              <w:t>neutropenia of unknown origin</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Petteys, Kachur, Pillinger et al (70)</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107</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3</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USA</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Adult HCT recipients with FN at an academic teaching hospital </w:t>
            </w:r>
            <w:r>
              <w:rPr>
                <w:sz w:val="12"/>
                <w:szCs w:val="12"/>
              </w:rPr>
              <w:lastRenderedPageBreak/>
              <w:t>between March 2014 and April 2018.</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Early de-escalation vs hematopoietic recovery de-escalation, Gender, Race,  Age</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i/>
                <w:sz w:val="12"/>
                <w:szCs w:val="12"/>
              </w:rPr>
            </w:pPr>
            <w:r>
              <w:rPr>
                <w:i/>
                <w:sz w:val="12"/>
                <w:szCs w:val="12"/>
              </w:rPr>
              <w:t>Clostridioides difficile</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Medium</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0,8</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4</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4</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The authors did not find that the early de-escalation of broad-spectrum antibiotics was associated with a </w:t>
            </w:r>
            <w:r>
              <w:rPr>
                <w:sz w:val="12"/>
                <w:szCs w:val="12"/>
              </w:rPr>
              <w:lastRenderedPageBreak/>
              <w:t>Clostridioides difficile infection</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2017</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Moxifloxacin versus levofloxacin or ciprofloxacin prophylaxisin acute myeloid leukemia patients receiving chemotherapy</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Przybylski &amp; Reeves (71)</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141</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141</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USA</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 Adult patients admitted to the hospital with a diagnosis of AML who received induction or reinduction chemotherapy from January 2008 to June 2015</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Prophylactic antibiotherapy received, treatment antibiotic duration, mucositis, proton pump inhibitor, neutropenic days</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i/>
                <w:sz w:val="12"/>
                <w:szCs w:val="12"/>
              </w:rPr>
            </w:pPr>
            <w:r>
              <w:rPr>
                <w:i/>
                <w:sz w:val="12"/>
                <w:szCs w:val="12"/>
              </w:rPr>
              <w:t>Clostridioides difficile</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Medium</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28,2</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Indeterminable</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5</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Authors found that treatment antibiotic duration was the only statistically significant association with with </w:t>
            </w:r>
            <w:r>
              <w:rPr>
                <w:i/>
                <w:sz w:val="12"/>
                <w:szCs w:val="12"/>
              </w:rPr>
              <w:t>C. difficile</w:t>
            </w:r>
            <w:r>
              <w:rPr>
                <w:sz w:val="12"/>
                <w:szCs w:val="12"/>
              </w:rPr>
              <w:t xml:space="preserve">  infection</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2019</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Risk, Outcomes, and Trends of </w:t>
            </w:r>
            <w:r>
              <w:rPr>
                <w:i/>
                <w:sz w:val="12"/>
                <w:szCs w:val="12"/>
              </w:rPr>
              <w:t>Clostridium Difficile</w:t>
            </w:r>
            <w:r>
              <w:rPr>
                <w:sz w:val="12"/>
                <w:szCs w:val="12"/>
              </w:rPr>
              <w:t xml:space="preserve"> Infection in Multiple Myeloma Patients from a Nationwide Analysis</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Ran-Castillo, Oluwole, Abuaisha et al (72)</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114249</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3549</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USA</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Patients with a diagnosis of MM between 2010 and September 2015</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rFonts w:ascii="Arial Unicode MS" w:eastAsia="Arial Unicode MS" w:hAnsi="Arial Unicode MS" w:cs="Arial Unicode MS"/>
                <w:sz w:val="12"/>
                <w:szCs w:val="12"/>
              </w:rPr>
              <w:t>Year (2010, 2011, 2012, 2013, 2014, 2015), Age categories (18-49, 50-59, 60-69, 70-79, ≥ 80), Race/Ethnicity (White, Black, Hispanic, Others), Female, Obesity, Peripheral vascular disease, Chronic renal disease, Atrial fibrillation, Stem cell transplantation, Neutropenia,</w:t>
            </w:r>
          </w:p>
          <w:p w:rsidR="00AD2232" w:rsidRDefault="00AD2232" w:rsidP="00A624EB">
            <w:pPr>
              <w:widowControl w:val="0"/>
              <w:pBdr>
                <w:top w:val="nil"/>
                <w:left w:val="nil"/>
                <w:bottom w:val="nil"/>
                <w:right w:val="nil"/>
                <w:between w:val="nil"/>
              </w:pBdr>
              <w:rPr>
                <w:sz w:val="12"/>
                <w:szCs w:val="12"/>
              </w:rPr>
            </w:pPr>
            <w:r>
              <w:rPr>
                <w:rFonts w:ascii="Arial Unicode MS" w:eastAsia="Arial Unicode MS" w:hAnsi="Arial Unicode MS" w:cs="Arial Unicode MS"/>
                <w:sz w:val="12"/>
                <w:szCs w:val="12"/>
              </w:rPr>
              <w:t xml:space="preserve">Chemotherapy, Inflammatory bowel disease, Congestive heart failure, Hypertension, Chronic liver failure, Elixhauser score (0, 1-3, ≥ 4), Hospital bed size (Small, Medium, Large), Hospital teaching status (Rural, Urban non-teaching, Urban teaching), Expected primary payer (Medicare, Medicaid, Private, Others), Median household </w:t>
            </w:r>
            <w:r>
              <w:rPr>
                <w:rFonts w:ascii="Arial Unicode MS" w:eastAsia="Arial Unicode MS" w:hAnsi="Arial Unicode MS" w:cs="Arial Unicode MS"/>
                <w:sz w:val="12"/>
                <w:szCs w:val="12"/>
              </w:rPr>
              <w:lastRenderedPageBreak/>
              <w:t>income in quartile (1st, 2nd, 3rd, 4th).</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i/>
                <w:sz w:val="12"/>
                <w:szCs w:val="12"/>
              </w:rPr>
            </w:pPr>
            <w:r>
              <w:rPr>
                <w:i/>
                <w:sz w:val="12"/>
                <w:szCs w:val="12"/>
              </w:rPr>
              <w:lastRenderedPageBreak/>
              <w:t>Clostridioides difficile</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Medium</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177,5</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The authors balanced multiple myeloma patients with non-multiple myeloma using propensity scores, then modelled the risk of CDI and of mortality given CDI. The unadjusted OR for mortality is also reported. They found several risk factors for CDI, e.g. neutropenia.</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2021</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Risk of Drug Resistance and Repeated Infection with </w:t>
            </w:r>
            <w:r>
              <w:rPr>
                <w:i/>
                <w:sz w:val="12"/>
                <w:szCs w:val="12"/>
              </w:rPr>
              <w:t>Klebsiella pneumoniae</w:t>
            </w:r>
            <w:r>
              <w:rPr>
                <w:sz w:val="12"/>
                <w:szCs w:val="12"/>
              </w:rPr>
              <w:t xml:space="preserve"> and </w:t>
            </w:r>
            <w:r>
              <w:rPr>
                <w:i/>
                <w:sz w:val="12"/>
                <w:szCs w:val="12"/>
              </w:rPr>
              <w:t>Escherichia coli</w:t>
            </w:r>
            <w:r>
              <w:rPr>
                <w:sz w:val="12"/>
                <w:szCs w:val="12"/>
              </w:rPr>
              <w:t xml:space="preserve"> in Intensive Care Unit Cancer Patients</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Refay, Ahmed, ELzaher et al (120)</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107</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38</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Egypt</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Cancer patients who were treated at either the Paediatric Oncology or the Medical Oncology ICU with an initial infection or repeated infection with either </w:t>
            </w:r>
            <w:r>
              <w:rPr>
                <w:i/>
                <w:sz w:val="12"/>
                <w:szCs w:val="12"/>
              </w:rPr>
              <w:t>K. pneumoniae</w:t>
            </w:r>
            <w:r>
              <w:rPr>
                <w:sz w:val="12"/>
                <w:szCs w:val="12"/>
              </w:rPr>
              <w:t xml:space="preserve"> or </w:t>
            </w:r>
            <w:r>
              <w:rPr>
                <w:i/>
                <w:sz w:val="12"/>
                <w:szCs w:val="12"/>
              </w:rPr>
              <w:t>E. coli</w:t>
            </w:r>
            <w:r>
              <w:rPr>
                <w:sz w:val="12"/>
                <w:szCs w:val="12"/>
              </w:rPr>
              <w:t xml:space="preserve"> from February 2017 to May 2018</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Age at diagnosis, Type of Malignancy, Type of Organism, Total prior Hospital Stay, Total Prior Admission in ICU, Prior Mechanical Ventilation, Prior Urinary Catheterization, Peripheral or Central CVP Line, Infection</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i/>
                <w:sz w:val="12"/>
                <w:szCs w:val="12"/>
              </w:rPr>
              <w:t>Klebsiella pneumoniae</w:t>
            </w:r>
            <w:r>
              <w:rPr>
                <w:sz w:val="12"/>
                <w:szCs w:val="12"/>
              </w:rPr>
              <w:t xml:space="preserve"> and </w:t>
            </w:r>
            <w:r>
              <w:rPr>
                <w:i/>
                <w:sz w:val="12"/>
                <w:szCs w:val="12"/>
              </w:rPr>
              <w:t>Escherichia coli</w:t>
            </w:r>
            <w:r>
              <w:rPr>
                <w:sz w:val="12"/>
                <w:szCs w:val="12"/>
              </w:rPr>
              <w:t>, tested for resistance towards several antibiotics</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Low</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4,8</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9</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8</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The infection outcome is drug resistance in the previous infection. A ROC curve is printed to show predictive accuracy. The authors conclude that restricting unnecessary antibiotic prescriptions is important to prevent the emergence of multidrug-resistance in these infections</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2015</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Risk factors associated with </w:t>
            </w:r>
            <w:r>
              <w:rPr>
                <w:i/>
                <w:sz w:val="12"/>
                <w:szCs w:val="12"/>
              </w:rPr>
              <w:t xml:space="preserve">Clostridium difficile </w:t>
            </w:r>
            <w:r>
              <w:rPr>
                <w:sz w:val="12"/>
                <w:szCs w:val="12"/>
              </w:rPr>
              <w:t>infection in adult oncology patients</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Rodriguez Garzotto, Merida Garcia, Munoz Unceta et al (36)</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225</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39</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Spain</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Hospitalised cancer patient with diarrhoea between January 2009 through April 2013</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Gastrointestinal cancer, Breast cancer, Lung cancer, Age (&gt;65), Antibiotic exposure, Corticosteroid use, PP inhibitor use</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i/>
                <w:sz w:val="12"/>
                <w:szCs w:val="12"/>
              </w:rPr>
            </w:pPr>
            <w:r>
              <w:rPr>
                <w:i/>
                <w:sz w:val="12"/>
                <w:szCs w:val="12"/>
              </w:rPr>
              <w:t>Clostridioides difficile</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Medium</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9,8</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4</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4</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The authors stratified three tables based on cancer types and include 4 previously identified risk factors. They concluded that antibiotic exposure was associated with CDI infection</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2016</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Bacteremia due to carbapenem-resistant Enterobacteriaceae in neutropenic patients with hematologic malignancies</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Satlin, Cohen, Ma et al (60)</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301</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43</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USA</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Cases were adult neutropenic patients with haematological malignancies with carbapenem-resistant Enterobacteriaceae bacteraemias. Primary control group was patients with bacteraemias caused by pathogens other than carbapenem-resistant Gram-negative bacteria, and the secondary control group was patients with </w:t>
            </w:r>
            <w:r>
              <w:rPr>
                <w:sz w:val="12"/>
                <w:szCs w:val="12"/>
              </w:rPr>
              <w:lastRenderedPageBreak/>
              <w:t>carbapenem-susceptible Gram-negative bacteria.</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b-lactam/b-lactamase inhibitor within previous 30 days, Carbapenem within previous 30 days, Receiving TMP-SMX at BSI onset, Receiving glucocorticoids at BSI onset, Prior CRE at any site within the previous 90 days, ICU stay within previous 30 days, Receiving cephalosporin at BSI onset, Receiving fluoroquinolone at BSI onset, Renal disease</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i/>
                <w:sz w:val="12"/>
                <w:szCs w:val="12"/>
              </w:rPr>
              <w:t>Enterobacteriaceae</w:t>
            </w:r>
            <w:r>
              <w:rPr>
                <w:sz w:val="12"/>
                <w:szCs w:val="12"/>
              </w:rPr>
              <w:t>, carbapenem-resistance</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Medium</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4,8</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81</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9</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The infection outcome here was bacteraemia. The authors find that previous CRE infection and antibiotic exposure was associated with CRE bacteraemia</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2017</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Risk factors and impact of</w:t>
            </w:r>
            <w:r>
              <w:rPr>
                <w:i/>
                <w:sz w:val="12"/>
                <w:szCs w:val="12"/>
              </w:rPr>
              <w:t xml:space="preserve"> Clostridium difficile</w:t>
            </w:r>
            <w:r>
              <w:rPr>
                <w:sz w:val="12"/>
                <w:szCs w:val="12"/>
              </w:rPr>
              <w:t xml:space="preserve"> recurrence on haematology patients</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Scappaticci, Perissinotti, Nagel et al (73)</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100</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41</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USA</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Adult (age &gt;18 years) patients with an active haematological malignancy and CDI from June 2010 to December 2014</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Demographic and traditional model: Severe CDI, salvage lymphoma. Longitudinal model: Hospitalised (days), Antibiotic exposure (ceftriaxone, fluoroquinolones, piperacillin/tazobactam, other (daptomycin), other (vancomycin IV), number of antibiotic exposures), Haematological risk factors (neutropenia (days), chemotherapy exposure, decitabine, CHOP, salvage lymphoma)</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i/>
                <w:sz w:val="12"/>
                <w:szCs w:val="12"/>
              </w:rPr>
            </w:pPr>
            <w:r>
              <w:rPr>
                <w:i/>
                <w:sz w:val="12"/>
                <w:szCs w:val="12"/>
              </w:rPr>
              <w:t>Clostridioides difficile</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Medium</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20,5</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40</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The infection outcome is recurring CDI, and there is one model containing demographical and traditional risk factors, and one containing longitudinal risk factors. Data are extracted from the "traditional" model. The authors found that exposure to a number of antibiotics were associated with recurrent CDI.</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2019</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i/>
                <w:sz w:val="12"/>
                <w:szCs w:val="12"/>
              </w:rPr>
              <w:t>Clostridium difficile</w:t>
            </w:r>
            <w:r>
              <w:rPr>
                <w:sz w:val="12"/>
                <w:szCs w:val="12"/>
              </w:rPr>
              <w:t xml:space="preserve"> infection in cancer patients with hospital acquired diarrhea at the teaching hospitals in Iran: Multilocus sequence typing analysis (MLST) and Antimicrobial resistance pattern</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Shoaei, Shojaei, Khorvash et al (130)</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67</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19</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Iran</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Adult (&gt;18 years old) cancer patients with presence of hospital-acquired diarrhea at major teaching hospitals between April 2015 and May 2017</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Chronic renal diseases, Gastroenteritis diseases, Previous surgery</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i/>
                <w:sz w:val="12"/>
                <w:szCs w:val="12"/>
              </w:rPr>
            </w:pPr>
            <w:r>
              <w:rPr>
                <w:i/>
                <w:sz w:val="12"/>
                <w:szCs w:val="12"/>
              </w:rPr>
              <w:t>Clostridioides difficile</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Low</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6,3</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14</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3</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The authors found that patients with gastrointestinal diseases had an association with lower CDI incidence</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2015</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Development of a combination antibiogram for </w:t>
            </w:r>
            <w:r>
              <w:rPr>
                <w:i/>
                <w:sz w:val="12"/>
                <w:szCs w:val="12"/>
              </w:rPr>
              <w:t xml:space="preserve">Pseudomonas aeruginosa </w:t>
            </w:r>
            <w:r>
              <w:rPr>
                <w:sz w:val="12"/>
                <w:szCs w:val="12"/>
              </w:rPr>
              <w:t>bacteremia in an oncology population</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Smith, Tajchman, Dee et al (141)</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123</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36</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USA</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i/>
                <w:sz w:val="12"/>
                <w:szCs w:val="12"/>
              </w:rPr>
              <w:t xml:space="preserve">Pseudomonas aeruginosa </w:t>
            </w:r>
            <w:r>
              <w:rPr>
                <w:sz w:val="12"/>
                <w:szCs w:val="12"/>
              </w:rPr>
              <w:t>isolates from an oncology population at least 18 years of age who were hospitalised between 1 January 2012 and 31 December 2012</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Prophylactic antibiotic (None, Fluoroquinolone, Cefpodoxime, Amoxicillin-clavulanate), LOS prior to culture (&lt;5 days, &gt;5 days), IV antibiotics in previous 90 day, Hemodialysis in previous 30 day</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i/>
                <w:sz w:val="12"/>
                <w:szCs w:val="12"/>
              </w:rPr>
              <w:t xml:space="preserve">Pseudomonas aeruginosa, </w:t>
            </w:r>
            <w:r>
              <w:rPr>
                <w:sz w:val="12"/>
                <w:szCs w:val="12"/>
              </w:rPr>
              <w:t>multidrug resistant</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Low</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9,0</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5</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4</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The authors did develop an antibiogram for multidrug-resistant P. aeruginosa. In multivariable analysis they found that such bacteraemias were associated with receiving IV antibiotics 90 days prior</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2019</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Significance of bile </w:t>
            </w:r>
            <w:r>
              <w:rPr>
                <w:sz w:val="12"/>
                <w:szCs w:val="12"/>
              </w:rPr>
              <w:lastRenderedPageBreak/>
              <w:t>culture surveillance for postoperative management of pancreatoduodenectomy</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 xml:space="preserve">Sugimachi, </w:t>
            </w:r>
            <w:r>
              <w:rPr>
                <w:sz w:val="12"/>
                <w:szCs w:val="12"/>
              </w:rPr>
              <w:lastRenderedPageBreak/>
              <w:t>Iguchi, Mano et al (32)</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69</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43</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Japan</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Patients who </w:t>
            </w:r>
            <w:r>
              <w:rPr>
                <w:sz w:val="12"/>
                <w:szCs w:val="12"/>
              </w:rPr>
              <w:lastRenderedPageBreak/>
              <w:t>underwent pancreatoduodenectomy at a single institute between the years 2014 and 2017</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 xml:space="preserve">Smoking history (+ </w:t>
            </w:r>
            <w:r>
              <w:rPr>
                <w:sz w:val="12"/>
                <w:szCs w:val="12"/>
              </w:rPr>
              <w:lastRenderedPageBreak/>
              <w:t>vs -), Pancreatic texture (soft vs hard)</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i/>
                <w:sz w:val="12"/>
                <w:szCs w:val="12"/>
              </w:rPr>
              <w:lastRenderedPageBreak/>
              <w:t xml:space="preserve">Enterobacter </w:t>
            </w:r>
            <w:r>
              <w:rPr>
                <w:i/>
                <w:sz w:val="12"/>
                <w:szCs w:val="12"/>
              </w:rPr>
              <w:lastRenderedPageBreak/>
              <w:t>spp., Staphylococcus aureus, Pseudomonas spp.,</w:t>
            </w:r>
            <w:r>
              <w:rPr>
                <w:sz w:val="12"/>
                <w:szCs w:val="12"/>
              </w:rPr>
              <w:t xml:space="preserve"> multidrug-resistance</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Mediu</w:t>
            </w:r>
            <w:r>
              <w:rPr>
                <w:sz w:val="12"/>
                <w:szCs w:val="12"/>
              </w:rPr>
              <w:lastRenderedPageBreak/>
              <w:t>m</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21,5</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8</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The authors do not </w:t>
            </w:r>
            <w:r>
              <w:rPr>
                <w:sz w:val="12"/>
                <w:szCs w:val="12"/>
              </w:rPr>
              <w:lastRenderedPageBreak/>
              <w:t>find that having a multidrug-resistant bacteria in the preoperative bile culture was associated with surgical site infection following a pancreatoduodenectomy, and as such did not include it in the multivariable model</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2019</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Risk factors for recurrent percutaneous nephrostomy catheter-related infections</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Szvalb, El Haddad, Rolston et al (21)</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81</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10</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USA</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Patients who had undergone an initial percutaneous nephrostomy catheter placement at the hospital between July 2014 and February 2017</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Concurrent antibiotics use for PCN infection, PCN exchange within 4 days of infection</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Several bacteria</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Medium</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5,0</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10</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The infection outcome here is recurrent catheter-related infection. The authors did not find any association between intrinsically resistant pathogens and recurrent infections</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2019</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Oral Candida colonization in xerostomic postradiotherapy head and neck cancer patients</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Tarapan, Matangkasombut, Trachootham et al (40)</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72</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72</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Thailand</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Xerostomic   post radiotherapy   head   and   neck   cancer  patients,  aged from  30 to 70  years  old,  who  finished  radiotherapy  for  at  least  1  month  and/or  chemotherapy  for  at  least  2  weeks,from 3 Thai institutes</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Sex, denture, antifungals, objective dry mouth scores, NACS (?)</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i/>
                <w:sz w:val="12"/>
                <w:szCs w:val="12"/>
              </w:rPr>
            </w:pPr>
            <w:r>
              <w:rPr>
                <w:i/>
                <w:sz w:val="12"/>
                <w:szCs w:val="12"/>
              </w:rPr>
              <w:t>C. albicans, Candida spp.</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Medium</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14,4</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8</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5</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Authors found that increased signs of dry mouth, female sex and dental prostheses may promote NACS colonization.</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2021</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i/>
                <w:sz w:val="12"/>
                <w:szCs w:val="12"/>
              </w:rPr>
              <w:t>Clostridioides difficile</w:t>
            </w:r>
            <w:r>
              <w:rPr>
                <w:sz w:val="12"/>
                <w:szCs w:val="12"/>
              </w:rPr>
              <w:t xml:space="preserve"> Infections in Inpatient Pediatric Oncology Patients: A Cohort Study Evaluating Risk Factors and Associated Outcomes</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Willis, Huang, Elward et al (131)</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952</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109</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USA</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Paediatric patient with malignancies admitted at St Louis hospital between July 2009 and February 2018</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Model 1 Risk for CDI: Length of stay before CDI, Leukaemia, Lymphoma, Autologous transplant, Allogeneic transplant, CDI exposure, Antibiotic exposure prior to CDI ; Model 2 outcomes linked to CDI : LOS, Chemotherapy delay OR and mean difference. </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i/>
                <w:sz w:val="12"/>
                <w:szCs w:val="12"/>
              </w:rPr>
            </w:pPr>
            <w:r>
              <w:rPr>
                <w:i/>
                <w:sz w:val="12"/>
                <w:szCs w:val="12"/>
              </w:rPr>
              <w:t>Clostridioides difficile</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Low</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15,6</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16</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7</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Leukaemia, Lymphoma, autologous transplant, antibiotic exposure, CDI exposure were associated with CDI. The authors also showed that LOS and chemotherapy delay were outcomes linked to CDI. </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2019</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Intensity of Therapy </w:t>
            </w:r>
            <w:r>
              <w:rPr>
                <w:sz w:val="12"/>
                <w:szCs w:val="12"/>
              </w:rPr>
              <w:lastRenderedPageBreak/>
              <w:t xml:space="preserve">for Malignancy and Risk for Recurrent and Complicated </w:t>
            </w:r>
            <w:r>
              <w:rPr>
                <w:i/>
                <w:sz w:val="12"/>
                <w:szCs w:val="12"/>
              </w:rPr>
              <w:t xml:space="preserve">Clostridium difficile </w:t>
            </w:r>
            <w:r>
              <w:rPr>
                <w:sz w:val="12"/>
                <w:szCs w:val="12"/>
              </w:rPr>
              <w:t>Infection in Children</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 xml:space="preserve">Willis, Nicholson, </w:t>
            </w:r>
            <w:r>
              <w:rPr>
                <w:sz w:val="12"/>
                <w:szCs w:val="12"/>
              </w:rPr>
              <w:lastRenderedPageBreak/>
              <w:t>Esbenshade et al (132)</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122</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122</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USA</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Children &gt;12 </w:t>
            </w:r>
            <w:r>
              <w:rPr>
                <w:sz w:val="12"/>
                <w:szCs w:val="12"/>
              </w:rPr>
              <w:lastRenderedPageBreak/>
              <w:t>months and &lt;18 years of age undergoing treatment for cancer and diagnosed with CDI between August 1st, 2008 and May 1st, 2015</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 xml:space="preserve">Level 2 of patient’s </w:t>
            </w:r>
            <w:r>
              <w:rPr>
                <w:sz w:val="12"/>
                <w:szCs w:val="12"/>
              </w:rPr>
              <w:lastRenderedPageBreak/>
              <w:t>Intensity of Treatment Rating Scale, level 3 with HCST, level 3 without HCST and the HCST status</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i/>
                <w:sz w:val="12"/>
                <w:szCs w:val="12"/>
              </w:rPr>
            </w:pPr>
            <w:r>
              <w:rPr>
                <w:i/>
                <w:sz w:val="12"/>
                <w:szCs w:val="12"/>
              </w:rPr>
              <w:lastRenderedPageBreak/>
              <w:t xml:space="preserve">Clostridioides </w:t>
            </w:r>
            <w:r>
              <w:rPr>
                <w:i/>
                <w:sz w:val="12"/>
                <w:szCs w:val="12"/>
              </w:rPr>
              <w:lastRenderedPageBreak/>
              <w:t>difficile</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Low</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 </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30,5</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Indeterminabl</w:t>
            </w:r>
            <w:r>
              <w:rPr>
                <w:sz w:val="12"/>
                <w:szCs w:val="12"/>
              </w:rPr>
              <w:lastRenderedPageBreak/>
              <w:t>e</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4</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The authors concluded </w:t>
            </w:r>
            <w:r>
              <w:rPr>
                <w:sz w:val="12"/>
                <w:szCs w:val="12"/>
              </w:rPr>
              <w:lastRenderedPageBreak/>
              <w:t>that they did not manage to find which paediatric oncology patients were at increased risk of CDI recurrence.</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2015</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Monitoring antibiotic-resistant enterobacteria</w:t>
            </w:r>
          </w:p>
          <w:p w:rsidR="00AD2232" w:rsidRDefault="00AD2232" w:rsidP="00A624EB">
            <w:pPr>
              <w:widowControl w:val="0"/>
              <w:pBdr>
                <w:top w:val="nil"/>
                <w:left w:val="nil"/>
                <w:bottom w:val="nil"/>
                <w:right w:val="nil"/>
                <w:between w:val="nil"/>
              </w:pBdr>
              <w:rPr>
                <w:sz w:val="12"/>
                <w:szCs w:val="12"/>
              </w:rPr>
            </w:pPr>
            <w:r>
              <w:rPr>
                <w:sz w:val="12"/>
                <w:szCs w:val="12"/>
              </w:rPr>
              <w:t>faecal levels is helpful in predicting antibiotic</w:t>
            </w:r>
          </w:p>
          <w:p w:rsidR="00AD2232" w:rsidRDefault="00AD2232" w:rsidP="00A624EB">
            <w:pPr>
              <w:widowControl w:val="0"/>
              <w:pBdr>
                <w:top w:val="nil"/>
                <w:left w:val="nil"/>
                <w:bottom w:val="nil"/>
                <w:right w:val="nil"/>
                <w:between w:val="nil"/>
              </w:pBdr>
              <w:rPr>
                <w:sz w:val="12"/>
                <w:szCs w:val="12"/>
              </w:rPr>
            </w:pPr>
            <w:r>
              <w:rPr>
                <w:sz w:val="12"/>
                <w:szCs w:val="12"/>
              </w:rPr>
              <w:t>susceptibility of bacteraemia isolates in patients</w:t>
            </w:r>
          </w:p>
          <w:p w:rsidR="00AD2232" w:rsidRDefault="00AD2232" w:rsidP="00A624EB">
            <w:pPr>
              <w:widowControl w:val="0"/>
              <w:pBdr>
                <w:top w:val="nil"/>
                <w:left w:val="nil"/>
                <w:bottom w:val="nil"/>
                <w:right w:val="nil"/>
                <w:between w:val="nil"/>
              </w:pBdr>
              <w:rPr>
                <w:sz w:val="12"/>
                <w:szCs w:val="12"/>
              </w:rPr>
            </w:pPr>
            <w:r>
              <w:rPr>
                <w:sz w:val="12"/>
                <w:szCs w:val="12"/>
              </w:rPr>
              <w:t>with haematological malignancies</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Woerther, Micol, Angebault et al (61)</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104</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16</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France</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Patient with neutropenia, haematological malignancies and  EB-BSI from a probable intestinal origin</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Death during neutropenia, non beta lactam antibiotic previous exposure, Carbapenem previous exposure, empirical treatment of EB-BSI with carbapenems, empirical treatment with antibiotics combination,  presence of BSBL-Resistant EnteroBacteria, ESBL-EB, and non E. coli EB in blood cultures</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Enterobacteria, BSBL or ESBL</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Low</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8</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The authors showed that to have a BSBL-RE carriage increased risk to have BSBL-RE in blood cultures.</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2020</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Clinical Characteristics and Risk Factors for Bloodstream Infection Due to Carbapenem-Resistant </w:t>
            </w:r>
            <w:r>
              <w:rPr>
                <w:i/>
                <w:sz w:val="12"/>
                <w:szCs w:val="12"/>
              </w:rPr>
              <w:t>Klebsiella pneumoniae</w:t>
            </w:r>
            <w:r>
              <w:rPr>
                <w:sz w:val="12"/>
                <w:szCs w:val="12"/>
              </w:rPr>
              <w:t xml:space="preserve"> (CRKP) in Patients with Hematologic Malignancies</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Zhang, Wang, Hu et al (95)</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734</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22</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China</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Patients with haematological malignancies, hospitalised for more than 7 days between January 2017 and January 2018</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CRKP rectal colonisation, Severe neutropenia,IMV. </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i/>
                <w:sz w:val="12"/>
                <w:szCs w:val="12"/>
              </w:rPr>
              <w:t>Klebsiella pneumonia</w:t>
            </w:r>
            <w:r>
              <w:rPr>
                <w:sz w:val="12"/>
                <w:szCs w:val="12"/>
              </w:rPr>
              <w:t>, carbapenem-resistance</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Medium</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 clinically relevant variables)</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7,3</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42</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3</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Variables with p&lt;0.2 in the bivariable screening were included in the multivariable model, but also variables that were "clinically significant", which were not disclosed. The authors concluded that rectal colonisation with carbapenem-resistant </w:t>
            </w:r>
            <w:r>
              <w:rPr>
                <w:i/>
                <w:sz w:val="12"/>
                <w:szCs w:val="12"/>
              </w:rPr>
              <w:t>K. pneumoniae</w:t>
            </w:r>
            <w:r>
              <w:rPr>
                <w:sz w:val="12"/>
                <w:szCs w:val="12"/>
              </w:rPr>
              <w:t xml:space="preserve"> increases the risk of such bloodstream infections.</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2017</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i/>
                <w:sz w:val="12"/>
                <w:szCs w:val="12"/>
              </w:rPr>
              <w:t>Clostridium difficile</w:t>
            </w:r>
            <w:r>
              <w:rPr>
                <w:sz w:val="12"/>
                <w:szCs w:val="12"/>
              </w:rPr>
              <w:t xml:space="preserve"> colonization in preoperative colorectal cancer patients</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Zheng, Luo, Lv et al (37)</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205</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33</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China</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Consecutive preoperative CRC patients who were scheduled to accept radical </w:t>
            </w:r>
            <w:r>
              <w:rPr>
                <w:sz w:val="12"/>
                <w:szCs w:val="12"/>
              </w:rPr>
              <w:lastRenderedPageBreak/>
              <w:t>cancer resection in a hospital in China, October, 2014 and August, 2015.</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 xml:space="preserve">Age (&lt;60 vs &gt;60), Site (Colon vs Rectum), Morphology (Ulcerative vs Exophytic), Differentiation (Poor </w:t>
            </w:r>
            <w:r>
              <w:rPr>
                <w:sz w:val="12"/>
                <w:szCs w:val="12"/>
              </w:rPr>
              <w:lastRenderedPageBreak/>
              <w:t>vs Well), T stage (Non-T4 vs T4), N stage (LNM neg. Vs LN pos.), Albumin (&lt;35 vs &gt;35), FBG (&gt;7 vs &lt;7), BMI, Triglyceride, Total cholesterol, HDL, Haemoglobin, OB</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i/>
                <w:sz w:val="12"/>
                <w:szCs w:val="12"/>
              </w:rPr>
            </w:pPr>
            <w:r>
              <w:rPr>
                <w:i/>
                <w:sz w:val="12"/>
                <w:szCs w:val="12"/>
              </w:rPr>
              <w:lastRenderedPageBreak/>
              <w:t>Clostridioides difficile</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Medium</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2,4</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14</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14</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The authors concluded that colorectal cancer patients in China with large tumours or metastases were associated with a </w:t>
            </w:r>
            <w:r>
              <w:rPr>
                <w:sz w:val="12"/>
                <w:szCs w:val="12"/>
              </w:rPr>
              <w:lastRenderedPageBreak/>
              <w:t xml:space="preserve">higher risk of </w:t>
            </w:r>
            <w:r>
              <w:rPr>
                <w:i/>
                <w:sz w:val="12"/>
                <w:szCs w:val="12"/>
              </w:rPr>
              <w:t>C. difficile</w:t>
            </w:r>
            <w:r>
              <w:rPr>
                <w:sz w:val="12"/>
                <w:szCs w:val="12"/>
              </w:rPr>
              <w:t xml:space="preserve"> infections.</w:t>
            </w:r>
          </w:p>
        </w:tc>
      </w:tr>
      <w:tr w:rsidR="00AD2232" w:rsidTr="00A624EB">
        <w:tc>
          <w:tcPr>
            <w:tcW w:w="4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2020</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Distribution, diagnosis, and analysis of related risk factors of multidrug-resistant organism in patients with malignant neoplasms</w:t>
            </w:r>
          </w:p>
        </w:tc>
        <w:tc>
          <w:tcPr>
            <w:tcW w:w="11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Zhou, Yang, Yang et al (22)</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278</w:t>
            </w:r>
          </w:p>
        </w:tc>
        <w:tc>
          <w:tcPr>
            <w:tcW w:w="7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128</w:t>
            </w:r>
          </w:p>
        </w:tc>
        <w:tc>
          <w:tcPr>
            <w:tcW w:w="8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China</w:t>
            </w:r>
          </w:p>
        </w:tc>
        <w:tc>
          <w:tcPr>
            <w:tcW w:w="11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Patients aged &gt;18 years old  and &lt;75 years old with malignant tumour, positive bacterial culture during hospitalisation at Zhuji Hospital from January 2017 to December 2019</w:t>
            </w:r>
          </w:p>
        </w:tc>
        <w:tc>
          <w:tcPr>
            <w:tcW w:w="13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Length of hospitalisation, Fever days, Invasive operation, Excessive bed rest,  Hypoproteinemia, Procalcitonin, C Reactive Protein, Serum Amyloid</w:t>
            </w:r>
          </w:p>
        </w:tc>
        <w:tc>
          <w:tcPr>
            <w:tcW w:w="10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MDRO, non MDRO</w:t>
            </w:r>
          </w:p>
        </w:tc>
        <w:tc>
          <w:tcPr>
            <w:tcW w:w="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Medium</w:t>
            </w:r>
          </w:p>
        </w:tc>
        <w:tc>
          <w:tcPr>
            <w:tcW w:w="84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16,0</w:t>
            </w:r>
          </w:p>
        </w:tc>
        <w:tc>
          <w:tcPr>
            <w:tcW w:w="9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13</w:t>
            </w:r>
          </w:p>
        </w:tc>
        <w:tc>
          <w:tcPr>
            <w:tcW w:w="6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8</w:t>
            </w:r>
          </w:p>
        </w:tc>
        <w:tc>
          <w:tcPr>
            <w:tcW w:w="142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Variables with p&lt;0.001 in the bivariable screening were included in the multivariable model, except for excessive bedstay (p=0.002). The authors found that invasive operation, excessive bedstay, hypoproteinemia, PCT and SA were associated with MDRO infection in cancer patients. Measurements of such variables should help to prevent MDRO infection. </w:t>
            </w:r>
          </w:p>
        </w:tc>
      </w:tr>
    </w:tbl>
    <w:p w:rsidR="00AD2232" w:rsidRDefault="00AD2232" w:rsidP="00AD2232">
      <w:pPr>
        <w:rPr>
          <w:b/>
        </w:rPr>
      </w:pPr>
      <w:r>
        <w:rPr>
          <w:b/>
        </w:rPr>
        <w:t xml:space="preserve"> </w:t>
      </w:r>
      <w:r>
        <w:br w:type="page"/>
      </w:r>
    </w:p>
    <w:p w:rsidR="00AD2232" w:rsidRDefault="00AD2232" w:rsidP="00AD2232">
      <w:pPr>
        <w:pStyle w:val="Heading1"/>
        <w:widowControl w:val="0"/>
        <w:spacing w:line="240" w:lineRule="auto"/>
      </w:pPr>
      <w:bookmarkStart w:id="4" w:name="_9wt6j1mdknu7" w:colFirst="0" w:colLast="0"/>
      <w:bookmarkEnd w:id="4"/>
      <w:r>
        <w:lastRenderedPageBreak/>
        <w:t>Supplementary material 4</w:t>
      </w:r>
    </w:p>
    <w:p w:rsidR="00AD2232" w:rsidRDefault="00AD2232" w:rsidP="00AD2232"/>
    <w:p w:rsidR="00AD2232" w:rsidRDefault="00AD2232" w:rsidP="00AD2232">
      <w:pPr>
        <w:rPr>
          <w:b/>
        </w:rPr>
      </w:pPr>
      <w:r>
        <w:rPr>
          <w:b/>
        </w:rPr>
        <w:t xml:space="preserve">Table S4 - All included articles in the systematic review with a mortality outcome </w:t>
      </w:r>
    </w:p>
    <w:p w:rsidR="00AD2232" w:rsidRDefault="00AD2232" w:rsidP="00AD2232">
      <w:pPr>
        <w:rPr>
          <w:b/>
        </w:rPr>
      </w:pPr>
    </w:p>
    <w:tbl>
      <w:tblPr>
        <w:tblW w:w="13957" w:type="dxa"/>
        <w:tblBorders>
          <w:top w:val="nil"/>
          <w:left w:val="nil"/>
          <w:bottom w:val="nil"/>
          <w:right w:val="nil"/>
          <w:insideH w:val="nil"/>
          <w:insideV w:val="nil"/>
        </w:tblBorders>
        <w:tblLayout w:type="fixed"/>
        <w:tblLook w:val="0600" w:firstRow="0" w:lastRow="0" w:firstColumn="0" w:lastColumn="0" w:noHBand="1" w:noVBand="1"/>
      </w:tblPr>
      <w:tblGrid>
        <w:gridCol w:w="502"/>
        <w:gridCol w:w="1393"/>
        <w:gridCol w:w="1102"/>
        <w:gridCol w:w="734"/>
        <w:gridCol w:w="734"/>
        <w:gridCol w:w="911"/>
        <w:gridCol w:w="1064"/>
        <w:gridCol w:w="1651"/>
        <w:gridCol w:w="879"/>
        <w:gridCol w:w="608"/>
        <w:gridCol w:w="848"/>
        <w:gridCol w:w="696"/>
        <w:gridCol w:w="968"/>
        <w:gridCol w:w="696"/>
        <w:gridCol w:w="1171"/>
      </w:tblGrid>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b/>
                <w:sz w:val="12"/>
                <w:szCs w:val="12"/>
              </w:rPr>
            </w:pPr>
            <w:r>
              <w:rPr>
                <w:b/>
                <w:sz w:val="12"/>
                <w:szCs w:val="12"/>
              </w:rPr>
              <w:t>Year</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b/>
                <w:sz w:val="12"/>
                <w:szCs w:val="12"/>
              </w:rPr>
            </w:pPr>
            <w:r>
              <w:rPr>
                <w:b/>
                <w:sz w:val="12"/>
                <w:szCs w:val="12"/>
              </w:rPr>
              <w:t>Title</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b/>
                <w:sz w:val="12"/>
                <w:szCs w:val="12"/>
              </w:rPr>
            </w:pPr>
            <w:r>
              <w:rPr>
                <w:b/>
                <w:sz w:val="12"/>
                <w:szCs w:val="12"/>
              </w:rPr>
              <w:t>Authors</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b/>
                <w:sz w:val="12"/>
                <w:szCs w:val="12"/>
              </w:rPr>
            </w:pPr>
            <w:r>
              <w:rPr>
                <w:b/>
                <w:sz w:val="12"/>
                <w:szCs w:val="12"/>
              </w:rPr>
              <w:t>Number of patients</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b/>
                <w:sz w:val="12"/>
                <w:szCs w:val="12"/>
              </w:rPr>
            </w:pPr>
            <w:r>
              <w:rPr>
                <w:b/>
                <w:sz w:val="12"/>
                <w:szCs w:val="12"/>
              </w:rPr>
              <w:t>Number of events in the final (and largest) model</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b/>
                <w:sz w:val="12"/>
                <w:szCs w:val="12"/>
              </w:rPr>
            </w:pPr>
            <w:r>
              <w:rPr>
                <w:b/>
                <w:sz w:val="12"/>
                <w:szCs w:val="12"/>
              </w:rPr>
              <w:t>Country/setting</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b/>
                <w:sz w:val="12"/>
                <w:szCs w:val="12"/>
              </w:rPr>
            </w:pPr>
            <w:r>
              <w:rPr>
                <w:b/>
                <w:sz w:val="12"/>
                <w:szCs w:val="12"/>
              </w:rPr>
              <w:t>Patient population</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b/>
                <w:sz w:val="12"/>
                <w:szCs w:val="12"/>
              </w:rPr>
            </w:pPr>
            <w:r>
              <w:rPr>
                <w:b/>
                <w:sz w:val="12"/>
                <w:szCs w:val="12"/>
              </w:rPr>
              <w:t>Factors included in the final model</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b/>
                <w:sz w:val="12"/>
                <w:szCs w:val="12"/>
              </w:rPr>
            </w:pPr>
            <w:r>
              <w:rPr>
                <w:b/>
                <w:sz w:val="12"/>
                <w:szCs w:val="12"/>
              </w:rPr>
              <w:t>Microbial etiology and resistance</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b/>
                <w:sz w:val="12"/>
                <w:szCs w:val="12"/>
              </w:rPr>
            </w:pPr>
            <w:r>
              <w:rPr>
                <w:b/>
                <w:sz w:val="12"/>
                <w:szCs w:val="12"/>
              </w:rPr>
              <w:t>Risk of bias grading (NIH tool)</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b/>
                <w:sz w:val="12"/>
                <w:szCs w:val="12"/>
              </w:rPr>
            </w:pPr>
            <w:r>
              <w:rPr>
                <w:b/>
                <w:sz w:val="12"/>
                <w:szCs w:val="12"/>
              </w:rPr>
              <w:t>Bivariable screening/stepwise regression</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b/>
                <w:sz w:val="12"/>
                <w:szCs w:val="12"/>
              </w:rPr>
            </w:pPr>
            <w:r>
              <w:rPr>
                <w:b/>
                <w:sz w:val="12"/>
                <w:szCs w:val="12"/>
              </w:rPr>
              <w:t>Events per variable in the final (and largest) model</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b/>
                <w:sz w:val="12"/>
                <w:szCs w:val="12"/>
              </w:rPr>
            </w:pPr>
            <w:r>
              <w:rPr>
                <w:b/>
                <w:sz w:val="12"/>
                <w:szCs w:val="12"/>
              </w:rPr>
              <w:t xml:space="preserve">Number of variables included in the tested/screened/initial model  </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b/>
                <w:sz w:val="12"/>
                <w:szCs w:val="12"/>
              </w:rPr>
            </w:pPr>
            <w:r>
              <w:rPr>
                <w:b/>
                <w:sz w:val="12"/>
                <w:szCs w:val="12"/>
              </w:rPr>
              <w:t>Number of variables included in the final (and largest) model</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b/>
                <w:sz w:val="12"/>
                <w:szCs w:val="12"/>
              </w:rPr>
            </w:pPr>
            <w:r>
              <w:rPr>
                <w:b/>
                <w:sz w:val="12"/>
                <w:szCs w:val="12"/>
              </w:rPr>
              <w:t>Comments</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2016</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Risk factors and clinical outcomes for vancomycin-resistant enterococcus bacteraemia in hospitalised cancer patients in Pakistan: A case-control study</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Akhtar, Sultan, Nizamuddin et al. (144)</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111</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57</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Pakistan</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Cancer patients whose blood culture grew either vancomycin-sensitive or resistant enterococcus (VSE or VRE) from January 2012 to December 2014</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Paediatric (Compared to adults), sex, type of malignancies, location in hospital at onset of bacteraemia, inpatient, others(OPD/ ER), APACHE-II score at onset of bacteraemia, length of hospital stay in days before onset of bacteraemia, shock at onset of bacteraemia),  disseminated Intravascular Coagulation (DIC) score, received vancomycin within 4 weeks prior to bacteraemia</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i/>
                <w:sz w:val="12"/>
                <w:szCs w:val="12"/>
              </w:rPr>
              <w:t>Enterococcus spp</w:t>
            </w:r>
            <w:r>
              <w:rPr>
                <w:sz w:val="12"/>
                <w:szCs w:val="12"/>
              </w:rPr>
              <w:t>., vancomycin-resistance</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Medium</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No</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5.2</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11</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11</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The only risk factor that seems to be of importance for the mortality of patients with VRE vs VSE bacteraemia is shock at onset of bacteraemia.</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2019</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i/>
                <w:sz w:val="12"/>
                <w:szCs w:val="12"/>
              </w:rPr>
              <w:t>Clostridium difficile</w:t>
            </w:r>
            <w:r>
              <w:rPr>
                <w:sz w:val="12"/>
                <w:szCs w:val="12"/>
              </w:rPr>
              <w:t xml:space="preserve"> Infections in patients with AML or MDSundergoing allogeneic hematopoietic stem cell transplantationidentify high risk for adverse outcome</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Amberge, Kramer, Schröttner et al (74)</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727</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Indeterminable</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Germany</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All patients with acute myeloid leukaemia or myelodysplastic syndrome who underwent allo hæmotological cell transplant at the institution between January 1st 2004 and March 31st 2015.</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i/>
                <w:sz w:val="12"/>
                <w:szCs w:val="12"/>
              </w:rPr>
              <w:t>Clostridium difficile</w:t>
            </w:r>
            <w:r>
              <w:rPr>
                <w:sz w:val="12"/>
                <w:szCs w:val="12"/>
              </w:rPr>
              <w:t xml:space="preserve"> status (no infection/asymptomatic/symptomatic), donor type (related/unrelated), human Leukocyte Antigen compatibility (match/mismatch), disease risk (favourable/intermediate/high), age, meropenem exposition (yes/no)</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i/>
                <w:sz w:val="12"/>
                <w:szCs w:val="12"/>
              </w:rPr>
            </w:pPr>
            <w:r>
              <w:rPr>
                <w:i/>
                <w:sz w:val="12"/>
                <w:szCs w:val="12"/>
              </w:rPr>
              <w:t>Clostridioides difficile</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Low</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No</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#VALUE!</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6</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6</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The study indicated symptomatic </w:t>
            </w:r>
            <w:r>
              <w:rPr>
                <w:i/>
                <w:sz w:val="12"/>
                <w:szCs w:val="12"/>
              </w:rPr>
              <w:t>C. difficile</w:t>
            </w:r>
            <w:r>
              <w:rPr>
                <w:sz w:val="12"/>
                <w:szCs w:val="12"/>
              </w:rPr>
              <w:t xml:space="preserve"> infection increases the risk of death</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2015</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Mortality burden </w:t>
            </w:r>
            <w:r>
              <w:rPr>
                <w:sz w:val="12"/>
                <w:szCs w:val="12"/>
              </w:rPr>
              <w:lastRenderedPageBreak/>
              <w:t>related to infection with carbapenem-resistant Gram-negative bacteria among haematological cancer patients: a retrospective cohort study</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 xml:space="preserve">Andria, Henig, </w:t>
            </w:r>
            <w:r>
              <w:rPr>
                <w:sz w:val="12"/>
                <w:szCs w:val="12"/>
              </w:rPr>
              <w:lastRenderedPageBreak/>
              <w:t>Kotler et al (54)</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lastRenderedPageBreak/>
              <w:t>330</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95</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Israel</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Adult patients </w:t>
            </w:r>
            <w:r>
              <w:rPr>
                <w:sz w:val="12"/>
                <w:szCs w:val="12"/>
              </w:rPr>
              <w:lastRenderedPageBreak/>
              <w:t>with Gram-negative aerobic bacteraemia hospitalised in the haemato-oncological/bone marrow transplantation departments actively treated for their malignancy between 2008-2014</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lastRenderedPageBreak/>
              <w:t xml:space="preserve">Dependent functional </w:t>
            </w:r>
            <w:r>
              <w:rPr>
                <w:sz w:val="12"/>
                <w:szCs w:val="12"/>
              </w:rPr>
              <w:lastRenderedPageBreak/>
              <w:t>capacity at baseline, pulmonary disease, liver disease, hæmotologiv stem cell transplant comorbidities index, renal failure, admission-days before bacteraemia, type of the last chemotherapy treatment, functional capacity at bacteraemia onset, urinary catheter, nasogastric tube, type of bacteria, polymicrobial bacteraemia, appropriate empirical antibiotic treatment, CRGNB, systolic blood pressure , diastolic blood pressure, septic shock</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lastRenderedPageBreak/>
              <w:t>Carbapene</w:t>
            </w:r>
            <w:r>
              <w:rPr>
                <w:sz w:val="12"/>
                <w:szCs w:val="12"/>
              </w:rPr>
              <w:lastRenderedPageBreak/>
              <w:t>m-resistant Gram-negative bacteria</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lastRenderedPageBreak/>
              <w:t>Mediu</w:t>
            </w:r>
            <w:r>
              <w:rPr>
                <w:sz w:val="12"/>
                <w:szCs w:val="12"/>
              </w:rPr>
              <w:lastRenderedPageBreak/>
              <w:t>m</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lastRenderedPageBreak/>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5.6</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28</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9</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The authors </w:t>
            </w:r>
            <w:r>
              <w:rPr>
                <w:sz w:val="12"/>
                <w:szCs w:val="12"/>
              </w:rPr>
              <w:lastRenderedPageBreak/>
              <w:t>found that a bacteraemia with a Carbapenem-resistant Gram-negative bacteria increases the risk of death, but the propensity score for resistance did not.</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2019</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Current etiology, clinical features and outcomes of bacteremia in olderpatients with solid tumors</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Antonio, Gudiol, Royo-Cebrecos et al (23)</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217</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77</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Spain</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All consecutive patients with solid tumours hospitalised with one or more episodes of bacteremia from January 2006 to November 2015.</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Age years, lung cancer, prostate cancer, advance neoplasm, comorbidities, current corticosteroid therapy, bacteremia origin (healthcare/nosocomial), clinical manifestations (Low grade fever (&lt;38 °C/Shock at presentation), source of bacteraemia (Urinary tract), inadequate empirical antibiotic therapy</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Multidrug-resistant organisms</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Low</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6.4</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23</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8</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There is both a model for early case-fatality (at 7 days) and 30-day mortality. The risk factors in this table is from the final 30-day mortality model, in which the author did not include resistant pathogens due to automatic variable selection.</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2019</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Colonization with multidrug resistant organisms determines the clinical course of patients with acute myeloid leukemia undergoing intensive induction chemotherapy</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Ballo, Tarazzit, Stratmann et al (41)</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220</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104</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Germany</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All patients with acute myeloid leukaemia who underwent intensive induction chemotherapy between 2007 and 2015.</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Age &gt;60, adverse genetic group acute myeloid leukaemia,  day 15 bone marrow blast clearance, stem cell transplantation as consolidation therapy, colonisation with carbapenem resistant enterococci</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Multidrug-resistant organisms</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Medium</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20.8</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9</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6</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i/>
                <w:sz w:val="12"/>
                <w:szCs w:val="12"/>
              </w:rPr>
            </w:pPr>
            <w:r>
              <w:rPr>
                <w:sz w:val="12"/>
                <w:szCs w:val="12"/>
              </w:rPr>
              <w:t xml:space="preserve">Finds an increased risk of dying for AML patients colonised with carbapenem-resistant </w:t>
            </w:r>
            <w:r>
              <w:rPr>
                <w:i/>
                <w:sz w:val="12"/>
                <w:szCs w:val="12"/>
              </w:rPr>
              <w:t>enterobacteriaceae</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2015</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Emergence of multidrug resistant isolates and mortality predictors in patients with solid tumors or hematological malignancies</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Bastug, Kayaaslan, Kazancioglu et al (106)</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205</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48</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Turkey</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Patients admitted to hemato-oncology wards of the 1,140-bed tertiary care hospital between 2008 </w:t>
            </w:r>
            <w:r>
              <w:rPr>
                <w:sz w:val="12"/>
                <w:szCs w:val="12"/>
              </w:rPr>
              <w:lastRenderedPageBreak/>
              <w:t>and 2013.</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lastRenderedPageBreak/>
              <w:t xml:space="preserve">Age &gt; 65 years, prior hæmatologic stem cell transplant, prolonged neutropenia prior to infection, inadequate initial antibiotic treatment, gram-negative bacterial infection, infection with </w:t>
            </w:r>
            <w:r>
              <w:rPr>
                <w:sz w:val="12"/>
                <w:szCs w:val="12"/>
              </w:rPr>
              <w:lastRenderedPageBreak/>
              <w:t xml:space="preserve">coagulase negative Staphylococci, infection with </w:t>
            </w:r>
            <w:r>
              <w:rPr>
                <w:i/>
                <w:sz w:val="12"/>
                <w:szCs w:val="12"/>
              </w:rPr>
              <w:t>Acinetobacter baumannii,</w:t>
            </w:r>
            <w:r>
              <w:rPr>
                <w:sz w:val="12"/>
                <w:szCs w:val="12"/>
              </w:rPr>
              <w:t xml:space="preserve"> infection with </w:t>
            </w:r>
            <w:r>
              <w:rPr>
                <w:i/>
                <w:sz w:val="12"/>
                <w:szCs w:val="12"/>
              </w:rPr>
              <w:t>Klebsiella  spp.</w:t>
            </w:r>
            <w:r>
              <w:rPr>
                <w:sz w:val="12"/>
                <w:szCs w:val="12"/>
              </w:rPr>
              <w:t xml:space="preserve">, infection with  extended spectrum beta lactamase-producing bacteria, infection with Gram-negative multi drug resistant bacteria </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lastRenderedPageBreak/>
              <w:t>Multidrug-resistant organisms</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Medium</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4.8</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10</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10</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Finds an increased risk of dying among patients with predominantly haematological malignancies when infected </w:t>
            </w:r>
            <w:r>
              <w:rPr>
                <w:sz w:val="12"/>
                <w:szCs w:val="12"/>
              </w:rPr>
              <w:lastRenderedPageBreak/>
              <w:t>with either</w:t>
            </w:r>
            <w:r>
              <w:rPr>
                <w:i/>
                <w:sz w:val="12"/>
                <w:szCs w:val="12"/>
              </w:rPr>
              <w:t xml:space="preserve"> A. baumannii </w:t>
            </w:r>
            <w:r>
              <w:rPr>
                <w:sz w:val="12"/>
                <w:szCs w:val="12"/>
              </w:rPr>
              <w:t xml:space="preserve">or </w:t>
            </w:r>
            <w:r>
              <w:rPr>
                <w:i/>
                <w:sz w:val="12"/>
                <w:szCs w:val="12"/>
              </w:rPr>
              <w:t>Klebsiella spp</w:t>
            </w:r>
            <w:r>
              <w:rPr>
                <w:sz w:val="12"/>
                <w:szCs w:val="12"/>
              </w:rPr>
              <w:t>.</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2018</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The relationship between mortality and microbiological parameters in febrile neutropenic patients with hematological malignancies</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Çalık, Arı Bilgir et al (53)</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106</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58</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Turkey</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Patients diagnosed with hematologic malignancies </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Absolute neutrophil count, duration of neutropenia (days), catheterization focus of infection, central catheterization, isolation of Gram + bacteria in culture, isolation of Gram - bacteria in culture,extended spectrum beta lactamase </w:t>
            </w:r>
            <w:r>
              <w:rPr>
                <w:i/>
                <w:sz w:val="12"/>
                <w:szCs w:val="12"/>
              </w:rPr>
              <w:t>Enterobacteriaceae</w:t>
            </w:r>
            <w:r>
              <w:rPr>
                <w:sz w:val="12"/>
                <w:szCs w:val="12"/>
              </w:rPr>
              <w:t xml:space="preserve">, carbapenem resistance, imipenem empirical antibiotic regimen, bacterial growth during antibiotic treatment, administration of appropriate antibiotic treatment for minimum 72 hours, septic shock </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Several bacterias, tested for sensitivity to all major classes of antibiotics.</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Medium</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4.8</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18</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12</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Does not find an association between the resistant bacteria and mortality.</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2016</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Emerging resistant bacteria strains in bloodstream infections of acute leukaemia patients: results of a prospective study by the Rete Ematologica Lombarda (Rel)</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Cattaneo, Zappasodi, Mancini et al (42)</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433</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37</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Italy</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All febrile/infectious episodes were recorded in patients with acute leukaemia from December 2012 to December 2014</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Complete remission, relapsed/refractory disease, central venous catheter-related bloodstream infection (BSI), multi-resistant Gram-negative BSI, pneumonia</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Several bacteria and fungi, tested for various antibiotics</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Medium</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7.4</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20</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4</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Authors found that multi-resistant Gram-negative bloodstream infections are associated with higher mortality</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2021</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A practical update on the epidemiology and risk factors for the emergence and mortality of bloodstream infections from real-world data of 3014 hematological malignancy patients receiving chemotherapy</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Chen, Lin, Li et al (43)</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725</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171</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China</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Patients with haematological malignancies, between 2013 and 2016</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rFonts w:ascii="Arial Unicode MS" w:eastAsia="Arial Unicode MS" w:hAnsi="Arial Unicode MS" w:cs="Arial Unicode MS"/>
                <w:sz w:val="12"/>
                <w:szCs w:val="12"/>
              </w:rPr>
              <w:t xml:space="preserve">Age&gt;45, Hospital length of stay, Duration of neutropenia before blood culture, Hemograms of bloodstream infections (white blood cell, Haemoglobin, platelet),  Disease status, Use of antibiotics (≥3 agents), Co-infections (respiratory), </w:t>
            </w:r>
            <w:r>
              <w:rPr>
                <w:rFonts w:ascii="Arial Unicode MS" w:eastAsia="Arial Unicode MS" w:hAnsi="Arial Unicode MS" w:cs="Arial Unicode MS"/>
                <w:sz w:val="12"/>
                <w:szCs w:val="12"/>
              </w:rPr>
              <w:lastRenderedPageBreak/>
              <w:t xml:space="preserve">Numbers of co-infected locations, Pathogens for bloodstream infections (among them 11 bacterias, fungi, polymicrobial and other), gram negative organisms, gram positive organisms, polyorganisms, and fungi </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lastRenderedPageBreak/>
              <w:t>Several bacteria and fungi, some intrinsically resistant</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Medium</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6.3</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27</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27</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The authors found that the intrinsically resistant bacteria </w:t>
            </w:r>
            <w:r>
              <w:rPr>
                <w:i/>
                <w:sz w:val="12"/>
                <w:szCs w:val="12"/>
              </w:rPr>
              <w:t>S. maltophilia</w:t>
            </w:r>
            <w:r>
              <w:rPr>
                <w:sz w:val="12"/>
                <w:szCs w:val="12"/>
              </w:rPr>
              <w:t xml:space="preserve"> and </w:t>
            </w:r>
            <w:r>
              <w:rPr>
                <w:i/>
                <w:sz w:val="12"/>
                <w:szCs w:val="12"/>
              </w:rPr>
              <w:t>A. baumannii</w:t>
            </w:r>
            <w:r>
              <w:rPr>
                <w:sz w:val="12"/>
                <w:szCs w:val="12"/>
              </w:rPr>
              <w:t xml:space="preserve"> is associated with an increased hazard for mortality</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2018</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Association Between Positive Cultures During Admission and 1-Year Mortality in Patients With Cancer Receiving Perioperative Intensive Care</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Chiang, Wu, Hsu et al (107)</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638</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134</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Taiwan</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All adult patients who were registered in the hospital cancer registry and had at least one intensive care unit admission to an from 2011 through 2016 following their cancer diagnosis</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Age, male gender, type II diabetes mellitus, cerebrovascular disease, congestive heart failure, metastatic cancer, emergent surgery, APACHE II, mechanical ventilation, positive culture of multi drug resistant organism, positive culture in blood/respiratory tract/urinary tract/skin and soft tissue</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Several bacteria and fungi are studied, including MDROs (methicillin-resistant </w:t>
            </w:r>
            <w:r>
              <w:rPr>
                <w:i/>
                <w:sz w:val="12"/>
                <w:szCs w:val="12"/>
              </w:rPr>
              <w:t>Staphylococcus aureus</w:t>
            </w:r>
            <w:r>
              <w:rPr>
                <w:sz w:val="12"/>
                <w:szCs w:val="12"/>
              </w:rPr>
              <w:t>, vancomycin-resistant Enterococci, and carbapenem-resistant Gram-negative bacilli)</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Medium</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No</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12.2</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11</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11</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After adjusting for other factors, the authors did not find that MDROs were associated with a higher hazard of death.</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2015</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i/>
                <w:sz w:val="12"/>
                <w:szCs w:val="12"/>
              </w:rPr>
              <w:t xml:space="preserve">Stenotrophomonas maltophilia </w:t>
            </w:r>
            <w:r>
              <w:rPr>
                <w:sz w:val="12"/>
                <w:szCs w:val="12"/>
              </w:rPr>
              <w:t>bloodstream infection in patients with hematologic malignancies: a retrospective study and in vitro activities of antimicrobial combinations</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Cho, Lee, Choi et al (83)</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31</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20</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South Korea</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All consecutive episodes of</w:t>
            </w:r>
            <w:r>
              <w:rPr>
                <w:i/>
                <w:sz w:val="12"/>
                <w:szCs w:val="12"/>
              </w:rPr>
              <w:t xml:space="preserve"> S. maltophilia </w:t>
            </w:r>
            <w:r>
              <w:rPr>
                <w:sz w:val="12"/>
                <w:szCs w:val="12"/>
              </w:rPr>
              <w:t>bloodstream infections in adult patients with hematologic malignancies from June 2009 to May 2014.</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Neutropenia at the onset of bloodstream infection, severe neutropenia at the onset of bloodstream infection (&lt;100/mm3), duration of neutropenia &gt;21 days, hospital stay &gt;30 days, SAPS II  score &gt;40, Source of infection (Pneumonia), polymicrobial bloodtream infection, shock</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i/>
                <w:sz w:val="12"/>
                <w:szCs w:val="12"/>
              </w:rPr>
            </w:pPr>
            <w:r>
              <w:rPr>
                <w:i/>
                <w:sz w:val="12"/>
                <w:szCs w:val="12"/>
              </w:rPr>
              <w:t>Stenotrophomonas maltophilia</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Medium</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6.7</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9</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3</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The authors found that shock, neutropenia and combined </w:t>
            </w:r>
            <w:r>
              <w:rPr>
                <w:i/>
                <w:sz w:val="12"/>
                <w:szCs w:val="12"/>
              </w:rPr>
              <w:t>S. maltophilia</w:t>
            </w:r>
            <w:r>
              <w:rPr>
                <w:sz w:val="12"/>
                <w:szCs w:val="12"/>
              </w:rPr>
              <w:t xml:space="preserve"> pneumonia are associated with mortality in these patients. </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2020</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High mortality in an outbreak of multidrug resistant </w:t>
            </w:r>
            <w:r>
              <w:rPr>
                <w:i/>
                <w:sz w:val="12"/>
                <w:szCs w:val="12"/>
              </w:rPr>
              <w:t>Acinetobacter baumannii i</w:t>
            </w:r>
            <w:r>
              <w:rPr>
                <w:sz w:val="12"/>
                <w:szCs w:val="12"/>
              </w:rPr>
              <w:t xml:space="preserve">nfection introduced to an oncological hospital by a patient transferred from a </w:t>
            </w:r>
            <w:r>
              <w:rPr>
                <w:sz w:val="12"/>
                <w:szCs w:val="12"/>
              </w:rPr>
              <w:lastRenderedPageBreak/>
              <w:t>general hospital</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Cornejo-Juarez, Cevallos, Castro-Jaimes et al (137)</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106</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53</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Mexico</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Patients with multi drug resistant </w:t>
            </w:r>
            <w:r>
              <w:rPr>
                <w:i/>
                <w:sz w:val="12"/>
                <w:szCs w:val="12"/>
              </w:rPr>
              <w:t xml:space="preserve">A. baumannii </w:t>
            </w:r>
            <w:r>
              <w:rPr>
                <w:sz w:val="12"/>
                <w:szCs w:val="12"/>
              </w:rPr>
              <w:t>in a tertiary care oncology hospital from January 2011 to December 2015</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Age &lt;60, colonised/Infected, solid tumour/Hematologic malignancy, recent diagnosis (vs relapse), no recent chemotherapy (vs recent), appropriate treatment/Non-appropriate treatment, SOFA score </w:t>
            </w:r>
            <w:r>
              <w:rPr>
                <w:sz w:val="12"/>
                <w:szCs w:val="12"/>
              </w:rPr>
              <w:lastRenderedPageBreak/>
              <w:t>&lt;10/&gt;10</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i/>
                <w:sz w:val="12"/>
                <w:szCs w:val="12"/>
              </w:rPr>
            </w:pPr>
            <w:r>
              <w:rPr>
                <w:sz w:val="12"/>
                <w:szCs w:val="12"/>
              </w:rPr>
              <w:lastRenderedPageBreak/>
              <w:t xml:space="preserve">Multidrug-resistant </w:t>
            </w:r>
            <w:r>
              <w:rPr>
                <w:i/>
                <w:sz w:val="12"/>
                <w:szCs w:val="12"/>
              </w:rPr>
              <w:t>Acinetobacter baumannii</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Low</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7.6</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7</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7</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In this outbreak analysis, the authors found that haematological cancer patients had a higher risk of death than solid tumour patients</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2019</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Fungaemia in haematological malignancies: SEIFEM‐2015 survey</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Criscuolo, Marchesi, Candoni et al (59)</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215</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82</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Italy</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Hospitalised patients with haematological malignancies in which a documented fungaemia was diagnosed between January 2011 and December 2015</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Performance status &gt;2, chronic kidney disease, steroid administration, gastrointestinal symptoms, respiratory symptoms, septic shock, multiorgan failure, concurrent bacterial sepsis, central venous catheter removal, neutrophil recovery, albicans vs non albicans</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Several fungi, including intrinsically resistant</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Low</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9.1</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9</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7</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In a univariate analysis, authors founnd that non-albicans candidaemias had a higher odds of death, but the factor is not retained in the final model</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2020</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Biofilm Production by Carbapenem-Resistant </w:t>
            </w:r>
            <w:r>
              <w:rPr>
                <w:i/>
                <w:sz w:val="12"/>
                <w:szCs w:val="12"/>
              </w:rPr>
              <w:t xml:space="preserve">Klebsiella pneumoniae </w:t>
            </w:r>
            <w:r>
              <w:rPr>
                <w:sz w:val="12"/>
                <w:szCs w:val="12"/>
              </w:rPr>
              <w:t>Significantly Increases the Risk of Death in Oncological Patients</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Di Domenico, Cavallo, Sivori et al (145)</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53</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19</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Italy</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i/>
                <w:sz w:val="12"/>
                <w:szCs w:val="12"/>
              </w:rPr>
            </w:pPr>
            <w:r>
              <w:rPr>
                <w:sz w:val="12"/>
                <w:szCs w:val="12"/>
              </w:rPr>
              <w:t xml:space="preserve">Oncological patients colonised or infected with carbapenem resistant </w:t>
            </w:r>
            <w:r>
              <w:rPr>
                <w:i/>
                <w:sz w:val="12"/>
                <w:szCs w:val="12"/>
              </w:rPr>
              <w:t>K. pneumoniae</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Biofilm (strong vs weak), colistin resistance, fungal infection, phenotype, site (respiratory vs other)</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i/>
                <w:sz w:val="12"/>
                <w:szCs w:val="12"/>
              </w:rPr>
            </w:pPr>
            <w:r>
              <w:rPr>
                <w:sz w:val="12"/>
                <w:szCs w:val="12"/>
              </w:rPr>
              <w:t xml:space="preserve">Carbapenem-resistant </w:t>
            </w:r>
            <w:r>
              <w:rPr>
                <w:i/>
                <w:sz w:val="12"/>
                <w:szCs w:val="12"/>
              </w:rPr>
              <w:t>Klebsiella pneumoniae</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Medium</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No</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3.8</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5</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5</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The authors did find that the production of biofilm in carbapenem-resistant </w:t>
            </w:r>
            <w:r>
              <w:rPr>
                <w:i/>
                <w:sz w:val="12"/>
                <w:szCs w:val="12"/>
              </w:rPr>
              <w:t>K. pneumoniae</w:t>
            </w:r>
            <w:r>
              <w:rPr>
                <w:sz w:val="12"/>
                <w:szCs w:val="12"/>
              </w:rPr>
              <w:t xml:space="preserve"> is associated with a higher hazard of death</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2021</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The Impact of Bacterial Biofilms on End-Organ Disease and Mortality in Patients with Hematologic Malignancies Developing a Bloodstream Infection</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Di Domenico, Marchesi, Cavallo et al (44)</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96</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8</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Italy</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All consecutive adult patients (aged &gt;18 years) affected by haematological malignancies and experiencing a bloodstream infection as detected from April 2016 through April 2019</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Antimicrobial prophylaxis,  multi drug resistant (MDR) vs non-MDR bloodstream infection (BSI), initial antimicrobial failure,  P. aeruginosa  vs other BSI,  strong vs weak biofilm-producer, septic shock, end organ disease</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Several bacteria, including intrinsically resistant tested for resistance towards several antibiotics</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Medium</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1.1</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16</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6</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The authors found that a multidrug-resistant bloodstream infection is associated with a higher hazard of death in these patients</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2021</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Clinical characteristics and outcome of 125 polymicrobial bloodstream infections in hematological patients: an 11‑year epidemiologic survey</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Facchin, Candoni, Lazzarotto et al (45)</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125</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19</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Italy</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Patients affected by haematological neoplasms with a documented polymicrobial bloodstream infection</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Age, infection related mortality, septic shock rate, multi drug resistant-polymicrobial bloodstream infections mortality</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Several bacteria tested for resistance towards several antibiotics</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Medium</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4.8</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13</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4</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The authors found that in these patients, having a multidrug-resistant bacteria as part of a polymicrobial bloodstream infection is associated with a </w:t>
            </w:r>
            <w:r>
              <w:rPr>
                <w:sz w:val="12"/>
                <w:szCs w:val="12"/>
              </w:rPr>
              <w:lastRenderedPageBreak/>
              <w:t>higher odds of death</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2015</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Early initiation of appropriate treatment is associated with increased survival in cancer patients with </w:t>
            </w:r>
            <w:r>
              <w:rPr>
                <w:i/>
                <w:sz w:val="12"/>
                <w:szCs w:val="12"/>
              </w:rPr>
              <w:t>Candida glabrata</w:t>
            </w:r>
            <w:r>
              <w:rPr>
                <w:sz w:val="12"/>
                <w:szCs w:val="12"/>
              </w:rPr>
              <w:t xml:space="preserve"> fungaemia: a potential benefit from infectious disease consultation</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Farmakiotis, Kyvernitakis, Tarr et al (153)</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146</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58</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USA</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Patients with at least one blood culture(s) positive for C.  Glabrata at a cancer centre between March 2005 and September 2013</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Intensive care unit stay, monocytopenia, APACHE II score, mechanical ventilation, septic shock, acute kidney infection or acute renal failure, fever, corticosteroids, catheter-related candidemia, mixed bloodstream infection, caspofungin resistance, echinocandin pre-exposure, central venous catheter removal within 48 h after blood culture collection, appropriate treatment within 48 h after blood culture collection</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i/>
                <w:sz w:val="12"/>
                <w:szCs w:val="12"/>
              </w:rPr>
            </w:pPr>
            <w:r>
              <w:rPr>
                <w:i/>
                <w:sz w:val="12"/>
                <w:szCs w:val="12"/>
              </w:rPr>
              <w:t>Candida glabrata</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Medium</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4.1</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18</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7</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The authors concluded that patients with a blood culture positive for </w:t>
            </w:r>
            <w:r>
              <w:rPr>
                <w:i/>
                <w:sz w:val="12"/>
                <w:szCs w:val="12"/>
              </w:rPr>
              <w:t>C. glabrata</w:t>
            </w:r>
            <w:r>
              <w:rPr>
                <w:sz w:val="12"/>
                <w:szCs w:val="12"/>
              </w:rPr>
              <w:t xml:space="preserve"> should consult an ID specialist within 48 hours</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2021</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Fluoroquinolone treatment as a protective factor for 10‑day mortality in </w:t>
            </w:r>
            <w:r>
              <w:rPr>
                <w:i/>
                <w:sz w:val="12"/>
                <w:szCs w:val="12"/>
              </w:rPr>
              <w:t xml:space="preserve">Streptococcus pneumoniae </w:t>
            </w:r>
            <w:r>
              <w:rPr>
                <w:sz w:val="12"/>
                <w:szCs w:val="12"/>
              </w:rPr>
              <w:t>bacteremia in cancer patients</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Fontana, Ibrahim, Bonazzi et al (161)</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161</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34</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Brazil</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Patients attended between January 2009 and July 2015 at a cancer institute with haematological malignancies and / or solid tumours, over 18 years of age, and who had at least one episode of </w:t>
            </w:r>
            <w:r>
              <w:rPr>
                <w:i/>
                <w:sz w:val="12"/>
                <w:szCs w:val="12"/>
              </w:rPr>
              <w:t xml:space="preserve">S. pneumoniae </w:t>
            </w:r>
            <w:r>
              <w:rPr>
                <w:sz w:val="12"/>
                <w:szCs w:val="12"/>
              </w:rPr>
              <w:t>bacteremia during the referred period</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Ethnicity, diabetes Mellitus, neutropenia past month, current neutropenia, severe neutropenia past month, current severe neutropenia, febrile neutropenia, SOFA score, polymicrobial bacteremia, vaccine serotype VPV23, 3rd and 4th generation cephalosporins, fluoroquinolones. </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i/>
                <w:sz w:val="12"/>
                <w:szCs w:val="12"/>
              </w:rPr>
              <w:t>Streptococcus pneumoniae</w:t>
            </w:r>
            <w:r>
              <w:rPr>
                <w:sz w:val="12"/>
                <w:szCs w:val="12"/>
              </w:rPr>
              <w:t>, tested for resistance against several antibiotics</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Low</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2.8</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53</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21</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While the authors test for association between antimicrobial susceptibility and mortality, they conclude that there is no association and do not include it in the final model </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2016</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Bloodstream infection caused by extensively drug-resistant </w:t>
            </w:r>
            <w:r>
              <w:rPr>
                <w:i/>
                <w:sz w:val="12"/>
                <w:szCs w:val="12"/>
              </w:rPr>
              <w:t>Acinetobacter baumannii</w:t>
            </w:r>
            <w:r>
              <w:rPr>
                <w:sz w:val="12"/>
                <w:szCs w:val="12"/>
              </w:rPr>
              <w:t xml:space="preserve"> in cancer patients: high mortality associated with delayed treatment rather than with the degree of neutropenia</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Freire, de Oliveira Garcia, Garcia et al. (138)</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92</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77</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Brazil</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All patients diagnosed with extensively drug resistant </w:t>
            </w:r>
            <w:r>
              <w:rPr>
                <w:i/>
                <w:sz w:val="12"/>
                <w:szCs w:val="12"/>
              </w:rPr>
              <w:t xml:space="preserve">A. baumannii </w:t>
            </w:r>
            <w:r>
              <w:rPr>
                <w:sz w:val="12"/>
                <w:szCs w:val="12"/>
              </w:rPr>
              <w:t>bacteraemia, acquired during hospitalisation in the intensive care unit at a cancer institute</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Serum albumin, septic shock at diagnosis of XDR-ABC bacteraemia (extended drug resistant), SOFA score at diagnosis, received appropriate therapy for XDR-ABC bacteraemia, combination therapy, days from 1rst positive culture to initial treatment, removal of invasive devices within the first 48 h</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i/>
                <w:sz w:val="12"/>
                <w:szCs w:val="12"/>
              </w:rPr>
              <w:t>Acinetobacter baumannii</w:t>
            </w:r>
            <w:r>
              <w:rPr>
                <w:sz w:val="12"/>
                <w:szCs w:val="12"/>
              </w:rPr>
              <w:t>, extensively drug resistance</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Low</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11.0</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20</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6</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The authors found that 68% of all healthcare-associated bacteraemias are caused by extensively drug resistant </w:t>
            </w:r>
            <w:r>
              <w:rPr>
                <w:i/>
                <w:sz w:val="12"/>
                <w:szCs w:val="12"/>
              </w:rPr>
              <w:t>A. baumannii</w:t>
            </w:r>
            <w:r>
              <w:rPr>
                <w:sz w:val="12"/>
                <w:szCs w:val="12"/>
              </w:rPr>
              <w:t xml:space="preserve">, which is associated with a 30-day mortality of more than 80 %. The authors </w:t>
            </w:r>
            <w:r>
              <w:rPr>
                <w:sz w:val="12"/>
                <w:szCs w:val="12"/>
              </w:rPr>
              <w:lastRenderedPageBreak/>
              <w:t>concluded that the only risk factor of importance was appropriate antibiotic treatment.</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2018</w:t>
            </w:r>
          </w:p>
          <w:p w:rsidR="00AD2232" w:rsidRDefault="00AD2232" w:rsidP="00A624EB">
            <w:pPr>
              <w:widowControl w:val="0"/>
              <w:pBdr>
                <w:top w:val="nil"/>
                <w:left w:val="nil"/>
                <w:bottom w:val="nil"/>
                <w:right w:val="nil"/>
                <w:between w:val="nil"/>
              </w:pBdr>
              <w:rPr>
                <w:sz w:val="12"/>
                <w:szCs w:val="12"/>
              </w:rPr>
            </w:pP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Role of Lock Therapy for Long-Term Catheter-Related Infections by Multidrug-Resistant Bacteria</w:t>
            </w:r>
          </w:p>
          <w:p w:rsidR="00AD2232" w:rsidRDefault="00AD2232" w:rsidP="00A624EB">
            <w:pPr>
              <w:widowControl w:val="0"/>
              <w:pBdr>
                <w:top w:val="nil"/>
                <w:left w:val="nil"/>
                <w:bottom w:val="nil"/>
                <w:right w:val="nil"/>
                <w:between w:val="nil"/>
              </w:pBdr>
              <w:rPr>
                <w:sz w:val="12"/>
                <w:szCs w:val="12"/>
              </w:rPr>
            </w:pPr>
          </w:p>
          <w:p w:rsidR="00AD2232" w:rsidRDefault="00AD2232" w:rsidP="00A624EB">
            <w:pPr>
              <w:widowControl w:val="0"/>
              <w:pBdr>
                <w:top w:val="nil"/>
                <w:left w:val="nil"/>
                <w:bottom w:val="nil"/>
                <w:right w:val="nil"/>
                <w:between w:val="nil"/>
              </w:pBdr>
              <w:rPr>
                <w:sz w:val="12"/>
                <w:szCs w:val="12"/>
              </w:rPr>
            </w:pP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Freire, Pierotti, Zerati et al (108)</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212</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212</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Brazil</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All LTCVC-associated infections diagnosed at the a cancer institute between January 2009 and December 2016</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Haematological malignancies, Palliative care, SOFA score, MDR bacteria, Adherence to protocol, Antibiotic lock therapy</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Several bacteria and fungi, tested for resistance towards several antibiotics</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Low</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15,1</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28</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14</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The authors found that there is an increased hazard of death when the patient is infected by multidrug-resistant bacteria, but that antibiotic lock therapy is associated with a decrease in death.</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2015</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Infection with </w:t>
            </w:r>
            <w:r>
              <w:rPr>
                <w:i/>
                <w:sz w:val="12"/>
                <w:szCs w:val="12"/>
              </w:rPr>
              <w:t>Klebsiella pneumoniae</w:t>
            </w:r>
            <w:r>
              <w:rPr>
                <w:sz w:val="12"/>
                <w:szCs w:val="12"/>
              </w:rPr>
              <w:t xml:space="preserve"> carbapenemase (KPC)-producing </w:t>
            </w:r>
            <w:r>
              <w:rPr>
                <w:i/>
                <w:sz w:val="12"/>
                <w:szCs w:val="12"/>
              </w:rPr>
              <w:t xml:space="preserve">Klebsiella pneumoniae </w:t>
            </w:r>
            <w:r>
              <w:rPr>
                <w:sz w:val="12"/>
                <w:szCs w:val="12"/>
              </w:rPr>
              <w:t>in cancer patients</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Freire, Pierrotti, Filho et al (146)</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83</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49</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Brazil</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All patients diagnosed with an healthcare associated infection due to Klebsiella producing carbapenemase-</w:t>
            </w:r>
            <w:r>
              <w:rPr>
                <w:i/>
                <w:sz w:val="12"/>
                <w:szCs w:val="12"/>
              </w:rPr>
              <w:t>Klebsiella pneumoniae</w:t>
            </w:r>
            <w:r>
              <w:rPr>
                <w:sz w:val="12"/>
                <w:szCs w:val="12"/>
              </w:rPr>
              <w:t xml:space="preserve"> acquired during hospitalisation at a cancer institute between January 2009 and July 2013</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Serum albumin, concomitant infection, bloodstream infection, urinary tract infection, SOFA score at healthcare associated infection (HAI) diagnosis, removal of invasive device or control deep infection, received effective therapy for Klebsiella producing carbapenemase-Kp infection, intensive care unit admission for healthcare associated infection (HAI), mechanical ventilation, acute kidney injury within 30 days after HAI diagnosis</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i/>
                <w:sz w:val="12"/>
                <w:szCs w:val="12"/>
              </w:rPr>
              <w:t>Klebsiella pneumoniae</w:t>
            </w:r>
            <w:r>
              <w:rPr>
                <w:sz w:val="12"/>
                <w:szCs w:val="12"/>
              </w:rPr>
              <w:t>, carbapenemase-producing</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Low</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4.5</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27</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11</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The authors concluded that there is high mortality in patients with KPC-Kp infection, and that mortality is associated with the severity of the infection rather than the underlying disease</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2018</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Risk factors for mortality in patients with acute leukemia and bloodstream infections in the era of multiresistance</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Garcia-Vidal, Cardozo-Espinola, Puerta-Alcalde et al (46)</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589</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87</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Spain</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All consecutive episodes of bloodstream infection occurring in patients with acute leukaemia from July 2004 to February 2016.</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i/>
                <w:sz w:val="12"/>
                <w:szCs w:val="12"/>
              </w:rPr>
            </w:pPr>
            <w:r>
              <w:rPr>
                <w:sz w:val="12"/>
                <w:szCs w:val="12"/>
              </w:rPr>
              <w:t xml:space="preserve">Older age (&gt;65 years old), diabetes mellitus, chronic lung disease, chronic liver disease, prolonged neutropenia, mucositis,  fatal prognosis according to McCabe index, community site of acquisition, catheter as a source of bacteremia, pulmonary source of infection, intra abdominal </w:t>
            </w:r>
            <w:r>
              <w:rPr>
                <w:sz w:val="12"/>
                <w:szCs w:val="12"/>
              </w:rPr>
              <w:lastRenderedPageBreak/>
              <w:t xml:space="preserve">source of infection, cONs, </w:t>
            </w:r>
            <w:r>
              <w:rPr>
                <w:i/>
                <w:sz w:val="12"/>
                <w:szCs w:val="12"/>
              </w:rPr>
              <w:t>E.coli, P.aeruginosa</w:t>
            </w:r>
            <w:r>
              <w:rPr>
                <w:sz w:val="12"/>
                <w:szCs w:val="12"/>
              </w:rPr>
              <w:t xml:space="preserve">,  shock at onset, inappropriate antibiotic therapy for multi drug resistant strains,  inappropriate antibiotic therapy for multi drug resistant </w:t>
            </w:r>
            <w:r>
              <w:rPr>
                <w:i/>
                <w:sz w:val="12"/>
                <w:szCs w:val="12"/>
              </w:rPr>
              <w:t xml:space="preserve">P. aeruginosa </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lastRenderedPageBreak/>
              <w:t xml:space="preserve">Several bacteria and fungi, tested for resistance towards several antibiotics. A special focus on multidrug-resistant </w:t>
            </w:r>
            <w:r>
              <w:rPr>
                <w:i/>
                <w:sz w:val="12"/>
                <w:szCs w:val="12"/>
              </w:rPr>
              <w:lastRenderedPageBreak/>
              <w:t>Pseudomonas aeruginosa</w:t>
            </w:r>
            <w:r>
              <w:rPr>
                <w:sz w:val="12"/>
                <w:szCs w:val="12"/>
              </w:rPr>
              <w:t>.</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lastRenderedPageBreak/>
              <w:t>Low</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5.1</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34</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17</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The authors found an association between multidrug-resistant </w:t>
            </w:r>
            <w:r>
              <w:rPr>
                <w:i/>
                <w:sz w:val="12"/>
                <w:szCs w:val="12"/>
              </w:rPr>
              <w:t>P. aeruginosa</w:t>
            </w:r>
            <w:r>
              <w:rPr>
                <w:sz w:val="12"/>
                <w:szCs w:val="12"/>
              </w:rPr>
              <w:t xml:space="preserve"> and mortality, after adjusting for some other confounders and risk factors. </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2017</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Trends in the Incidence and Outcomes of Hospitalized Cancer Patients With Clostridium difficile Infection: A Nationwide Analysis</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Gupta, Tariq, Frank et al (133)</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20,100,000</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Indeterminable</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USA</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Cancer hospitalizations in a national cancer database from 2001 to 2010.</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i/>
                <w:sz w:val="12"/>
                <w:szCs w:val="12"/>
              </w:rPr>
              <w:t>C. difficile</w:t>
            </w:r>
            <w:r>
              <w:rPr>
                <w:sz w:val="12"/>
                <w:szCs w:val="12"/>
              </w:rPr>
              <w:t xml:space="preserve"> infection, age, sex, admission status, and comorbidities.</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i/>
                <w:sz w:val="12"/>
                <w:szCs w:val="12"/>
              </w:rPr>
            </w:pPr>
            <w:r>
              <w:rPr>
                <w:i/>
                <w:sz w:val="12"/>
                <w:szCs w:val="12"/>
              </w:rPr>
              <w:t>Clostridioides difficile</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Medium</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No</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Indeterminable</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Indeterminable</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Indeterminable</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The authors found that CDI is associated with a higher mortality among cancer patients. It was not clear how many factors variables were included in this model but we assumed 12 confounders and 2 factors (CDI and dismissal to care facility)</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2021</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Colonization with multidrug‑resistant organisms impairs survival in patients with hepatocellular carcinoma</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Himmelsbach, Knabe, Ferstl et al (24)</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954</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476</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Germany</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Patients with confirmed hepatocellular carcinoma presenting between January 2008 and December 2017</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Age, sex, underlying cirhhosis, Child–Pugh class C vs. A or B, BCLC stage C or D vs. A or B, ALBI grade 3 vs. grade 1 or 2, Alpha-fetoprotein &gt; 400 ng/ml, sorafenib treatment,  resection as hepatocellular carcinoma treatment, multi drug resistant organism-colonization</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Several bacteria, tested for resistance towards several antibiotics</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Medium</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95.2</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10</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5</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In this study, the authors concluded that there is an association between colonisation with a multidrug-resistant organism and mortality in patients with hepatocellular carcinoma.</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2018</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Bloodstream infections in cancer patients. Risk factors associated with mortality</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Islas-Muñoz, Volkow-Fernández, Ibanes-Gutiérrez et al (109)</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496</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109</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Mexico</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From August 2016 to July 2017, all positive blood cultures detected at the Microbiology Laboratory at a cancer centre were recorded, and all episodes </w:t>
            </w:r>
            <w:r>
              <w:rPr>
                <w:sz w:val="12"/>
                <w:szCs w:val="12"/>
              </w:rPr>
              <w:lastRenderedPageBreak/>
              <w:t>confirmed as bloodstream infection were included in the study.</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lastRenderedPageBreak/>
              <w:t xml:space="preserve">Age &lt;60 years vs. Age &gt;60 years, Solid tumour vs Haematological, Recent diagnosis or remission vs Progression/relapse, Gram-positive vs Gram-negative, Monomicrobial vs Polymicrobial, Appropriate treatment vs Inappropriate treatment, Non-multidrug resistant (MDR) vs MDR and/or </w:t>
            </w:r>
            <w:r>
              <w:rPr>
                <w:sz w:val="12"/>
                <w:szCs w:val="12"/>
              </w:rPr>
              <w:lastRenderedPageBreak/>
              <w:t>extended spectrum beta lactamase, Neutrophils &gt;500 vs Neutrophils 500</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lastRenderedPageBreak/>
              <w:t>Several bacteria, tested for resistance towards several antibiotics</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Low</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No</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13.6</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8</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8</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Authors included every variable of the univariate in the multivariate despite it being written that inclusion depended on p&lt;0.5. The authors concluded that there was an </w:t>
            </w:r>
            <w:r>
              <w:rPr>
                <w:sz w:val="12"/>
                <w:szCs w:val="12"/>
              </w:rPr>
              <w:lastRenderedPageBreak/>
              <w:t>association in the 30-day mortality among the cancer patients and bloodstream infection with multidrug-resistant Gram-negative bacteria, particularly if it was inappropriately treated.</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2020</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Nosocomial Infections in Gastrointestinal Cancer Patients: Bacterial Profile, Antibiotic Resistance Pattern, and Prognostic Factors</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Jiang, Liu, Said et al (25)</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428</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Indeterminable</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China</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Hospitalised gastrointestinal cancer patients with nosocomial infections at a cancer treatment centre from August 2013 to June 2019</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Gram negative bacteria, </w:t>
            </w:r>
            <w:r>
              <w:rPr>
                <w:i/>
                <w:sz w:val="12"/>
                <w:szCs w:val="12"/>
              </w:rPr>
              <w:t>E.coli, K. pneumoniae, Enterobacter</w:t>
            </w:r>
            <w:r>
              <w:rPr>
                <w:sz w:val="12"/>
                <w:szCs w:val="12"/>
              </w:rPr>
              <w:t xml:space="preserve"> spp, Fungi, </w:t>
            </w:r>
            <w:r>
              <w:rPr>
                <w:i/>
                <w:sz w:val="12"/>
                <w:szCs w:val="12"/>
              </w:rPr>
              <w:t>C. albicans. Candida</w:t>
            </w:r>
            <w:r>
              <w:rPr>
                <w:sz w:val="12"/>
                <w:szCs w:val="12"/>
              </w:rPr>
              <w:t xml:space="preserve"> spp, enterococcus</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Several bacteria and fungi, tested for resistance towards several antimicrobials</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Medium</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Indeterminable</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24</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8</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There are three full multivariable models in this article that all estimate the OR for mortality associated with different factors; a demographic/clinical model, an infection-related model, and a causative pathogens model. Only the causative pathogens model is assessed as the other models don't explicitly include antimicrobial resistance. One is about resistant pathogens. The authors concluded that Gram-negative bacteria were most common.</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2020</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Nosocomial infections due to multidrug-resistant bacteria in cancer patients: a six-year retrospective study of an oncology Center in Western China</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Jiang, Shi, Liu et al (114)</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257</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28</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China</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Cancer patients with nosocomial infections due to multi drug resistant bacteria who received medical care during </w:t>
            </w:r>
            <w:r>
              <w:rPr>
                <w:sz w:val="12"/>
                <w:szCs w:val="12"/>
              </w:rPr>
              <w:lastRenderedPageBreak/>
              <w:t>hospitalisation from August 2013 to May 2019</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rFonts w:ascii="Arial Unicode MS" w:eastAsia="Arial Unicode MS" w:hAnsi="Arial Unicode MS" w:cs="Arial Unicode MS"/>
                <w:sz w:val="12"/>
                <w:szCs w:val="12"/>
              </w:rPr>
              <w:lastRenderedPageBreak/>
              <w:t xml:space="preserve">Clinical model: Demographic data (age), Smoking history (Never smoker/Former smoker/Current smoker), ECOG performance status (0,1/2,3,4), Existence of distant metastasis, </w:t>
            </w:r>
            <w:r>
              <w:rPr>
                <w:rFonts w:ascii="Arial Unicode MS" w:eastAsia="Arial Unicode MS" w:hAnsi="Arial Unicode MS" w:cs="Arial Unicode MS"/>
                <w:sz w:val="12"/>
                <w:szCs w:val="12"/>
              </w:rPr>
              <w:lastRenderedPageBreak/>
              <w:t>Comorbidities (Liver disease), Charlson comorbidity index CCI (1–2), CCI≥3, Surgery, Chemotherapy, Intrapleural/abdominal infusion (within 30 days), Presence of indwelling urinary catheters, presence of Drains postoperative;  Infection-related model: Sample type (Urine/Blood culture), Primary sites of infection (Respiratory tract/Urinary tract/BSI), Length of hospitalisation (≥21.0), Septic shock, Laboratory examination results (Haemoglobin g/L &lt;110.0, Platelet count ×109/L &lt;100.0, Lymphocytes count ×109/L &lt;1.0, PCT ng/mL ≥1.0, Albumin g/L &lt;30.0)</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i/>
                <w:sz w:val="12"/>
                <w:szCs w:val="12"/>
              </w:rPr>
            </w:pPr>
            <w:r>
              <w:rPr>
                <w:sz w:val="12"/>
                <w:szCs w:val="12"/>
              </w:rPr>
              <w:lastRenderedPageBreak/>
              <w:t xml:space="preserve">Methicillin resistant </w:t>
            </w:r>
            <w:r>
              <w:rPr>
                <w:i/>
                <w:sz w:val="12"/>
                <w:szCs w:val="12"/>
              </w:rPr>
              <w:t>S. aureus</w:t>
            </w:r>
            <w:r>
              <w:rPr>
                <w:sz w:val="12"/>
                <w:szCs w:val="12"/>
              </w:rPr>
              <w:t xml:space="preserve"> (MRSA), Extended spectrum beta lactamase producing </w:t>
            </w:r>
            <w:r>
              <w:rPr>
                <w:i/>
                <w:sz w:val="12"/>
                <w:szCs w:val="12"/>
              </w:rPr>
              <w:lastRenderedPageBreak/>
              <w:t xml:space="preserve">Enterobacteriaceae </w:t>
            </w:r>
            <w:r>
              <w:rPr>
                <w:sz w:val="12"/>
                <w:szCs w:val="12"/>
              </w:rPr>
              <w:t xml:space="preserve">(ESBL-PE), multi drug resistant (MDR) </w:t>
            </w:r>
            <w:r>
              <w:rPr>
                <w:i/>
                <w:sz w:val="12"/>
                <w:szCs w:val="12"/>
              </w:rPr>
              <w:t>Pseudomonas  aeruginosa, Acinetobacter baumannii, Stenotrophomonas maltophilia</w:t>
            </w:r>
            <w:r>
              <w:rPr>
                <w:sz w:val="12"/>
                <w:szCs w:val="12"/>
              </w:rPr>
              <w:t xml:space="preserve">, Carbapenem-resistant </w:t>
            </w:r>
            <w:r>
              <w:rPr>
                <w:i/>
                <w:sz w:val="12"/>
                <w:szCs w:val="12"/>
              </w:rPr>
              <w:t>Enterobacteriaceae</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lastRenderedPageBreak/>
              <w:t>Low</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2.5</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40</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11</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There are two full multivariable models in this article that both are assessed, as both have antimicrobial resistance as factors. Numbers </w:t>
            </w:r>
            <w:r>
              <w:rPr>
                <w:sz w:val="12"/>
                <w:szCs w:val="12"/>
              </w:rPr>
              <w:lastRenderedPageBreak/>
              <w:t>are extracted from the nested model with the less variables tested, hence the highest number of events by variable in theory. Authors explained they included variables form univariate in MVA when p&lt;0.1 but they included other factors as well. The most common bacteria were ESBL-PE, and the authors conclude that former smokers, intrapleural/abdominal infusion history within 30 days, presence of indwelling urinary catheters, and anaemia were independent risk factors for in-hospital mortality of nosocomial infections caused by MDR bacteria.</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2020</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Is current initial empirical antibiotherapy appropriate to treat bloodstream infections in short-duration chemo-induced febrile neutropenia?</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Joncour, Puyade, Michaud et al (110)</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27</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13</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France</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Febrile neutropenic patients at a hospital undergoing chemotherapy for solid tumours or malignant haemopathy</w:t>
            </w:r>
            <w:r>
              <w:rPr>
                <w:rFonts w:ascii="Arial Unicode MS" w:eastAsia="Arial Unicode MS" w:hAnsi="Arial Unicode MS" w:cs="Arial Unicode MS"/>
                <w:sz w:val="12"/>
                <w:szCs w:val="12"/>
              </w:rPr>
              <w:t xml:space="preserve"> with expected duration of neutropenia ≤7 days from 1 January 2015 to 31 December 2016.</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rFonts w:ascii="Arial Unicode MS" w:eastAsia="Arial Unicode MS" w:hAnsi="Arial Unicode MS" w:cs="Arial Unicode MS"/>
                <w:sz w:val="12"/>
                <w:szCs w:val="12"/>
              </w:rPr>
              <w:t>Signs of severity, documented clinical source, qSOFA score ≥2</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Several bacteria, tested for resistance towards several antibiotics</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Medium</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4.3</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18</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3</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The authors found that the only risk factor associated with mortality was the qSOFA score, and found no association between mortality and a history of infection/colonisation with MDR </w:t>
            </w:r>
            <w:r>
              <w:rPr>
                <w:i/>
                <w:sz w:val="12"/>
                <w:szCs w:val="12"/>
              </w:rPr>
              <w:t>P. aeruginosa</w:t>
            </w:r>
            <w:r>
              <w:rPr>
                <w:sz w:val="12"/>
                <w:szCs w:val="12"/>
              </w:rPr>
              <w:t>. Numbers are extracted from the model table in Supplementary material</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2015</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Uncommon Candida </w:t>
            </w:r>
            <w:r>
              <w:rPr>
                <w:sz w:val="12"/>
                <w:szCs w:val="12"/>
              </w:rPr>
              <w:lastRenderedPageBreak/>
              <w:t>Species Fungemia among Cancer Patients, Houston, Texas, USA</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 xml:space="preserve">Jung, </w:t>
            </w:r>
            <w:r>
              <w:rPr>
                <w:sz w:val="12"/>
                <w:szCs w:val="12"/>
              </w:rPr>
              <w:lastRenderedPageBreak/>
              <w:t>Farmakiotis, Jiang et al (154)</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lastRenderedPageBreak/>
              <w:t>66</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40</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USA</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rFonts w:ascii="Arial Unicode MS" w:eastAsia="Arial Unicode MS" w:hAnsi="Arial Unicode MS" w:cs="Arial Unicode MS"/>
                <w:sz w:val="12"/>
                <w:szCs w:val="12"/>
              </w:rPr>
              <w:t xml:space="preserve">Patients ≥18 </w:t>
            </w:r>
            <w:r>
              <w:rPr>
                <w:rFonts w:ascii="Arial Unicode MS" w:eastAsia="Arial Unicode MS" w:hAnsi="Arial Unicode MS" w:cs="Arial Unicode MS"/>
                <w:sz w:val="12"/>
                <w:szCs w:val="12"/>
              </w:rPr>
              <w:lastRenderedPageBreak/>
              <w:t xml:space="preserve">years of age </w:t>
            </w:r>
            <w:r>
              <w:rPr>
                <w:sz w:val="12"/>
                <w:szCs w:val="12"/>
              </w:rPr>
              <w:t>hospitalised in the cancer centre during January 1998–September 2013.</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rFonts w:ascii="Arial Unicode MS" w:eastAsia="Arial Unicode MS" w:hAnsi="Arial Unicode MS" w:cs="Arial Unicode MS"/>
                <w:sz w:val="12"/>
                <w:szCs w:val="12"/>
              </w:rPr>
              <w:lastRenderedPageBreak/>
              <w:t xml:space="preserve">Underlying leukaemia, </w:t>
            </w:r>
            <w:r>
              <w:rPr>
                <w:rFonts w:ascii="Arial Unicode MS" w:eastAsia="Arial Unicode MS" w:hAnsi="Arial Unicode MS" w:cs="Arial Unicode MS"/>
                <w:sz w:val="12"/>
                <w:szCs w:val="12"/>
              </w:rPr>
              <w:lastRenderedPageBreak/>
              <w:t>steroid exposure, intensive care unit admission, intubation, persistent neutropenia, APACHE IIscore≥19, hypoalbuminemia, breakthrough fungemia</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i/>
                <w:sz w:val="12"/>
                <w:szCs w:val="12"/>
              </w:rPr>
              <w:lastRenderedPageBreak/>
              <w:t xml:space="preserve">Candida </w:t>
            </w:r>
            <w:r>
              <w:rPr>
                <w:sz w:val="12"/>
                <w:szCs w:val="12"/>
              </w:rPr>
              <w:lastRenderedPageBreak/>
              <w:t>spp.</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lastRenderedPageBreak/>
              <w:t>Mediu</w:t>
            </w:r>
            <w:r>
              <w:rPr>
                <w:sz w:val="12"/>
                <w:szCs w:val="12"/>
              </w:rPr>
              <w:lastRenderedPageBreak/>
              <w:t>m</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lastRenderedPageBreak/>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5.0</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9</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8</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The authors </w:t>
            </w:r>
            <w:r>
              <w:rPr>
                <w:sz w:val="12"/>
                <w:szCs w:val="12"/>
              </w:rPr>
              <w:lastRenderedPageBreak/>
              <w:t>showed that ICU, neutropenia and high APACHE score, were the strongest risk factors for mortality.</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2019</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Impact of empiric treatment for vancomycin-resistant Enterococcus (VRE) in colonized patients early after allogeneic hematopoietic stem cell transplantation</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Kamboj, Cohen, Huang et al (91)</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95</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5</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USA</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Adults 18 years and older who underwent allo-hæmotologic stem cell transplantation and developed vancomycin resistant enterococcus bacteremia between January 1, 2005 and December 31, 2014, at the cancer centre</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T cell depletion,  prior vancomycin resistant enterococcus bacteremia (VREB), hypotension (&lt;90/50), persistent VREB &gt;48 hours</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i/>
                <w:sz w:val="12"/>
                <w:szCs w:val="12"/>
              </w:rPr>
              <w:t xml:space="preserve">Enterococcus </w:t>
            </w:r>
            <w:r>
              <w:rPr>
                <w:sz w:val="12"/>
                <w:szCs w:val="12"/>
              </w:rPr>
              <w:t>spp., vancomycin-resistance</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Medium</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1.3</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13</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4</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The authors found there is no association with higher mortality at day 30 and any of tested variables in VREB cancer patients </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2019</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Contribution of specific pathogens to bloodstream infection mortality in neutropenic patients with hematologic malignancies: Results from a multicentric surveillance cohort study</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Kern, Roth, Bertz et al (50)</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1424</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36</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Germany, Austria, Switzerland</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Patients with bloodstream infection during neutropenia subsequent to  high‐dose chemotherapy for acute leukaemia (HDC) or autologous or allogeneic hematopoietic stem cell transplantation (auto‐HSCT or  allo‐HSCT) from the beginning of 2002 through April 2015</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Mortality 30 days model : Auto hematologic stem cell transplant treatment, CoNS (coagulase negative staphylococci). Mortality 7 days model: coNS</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Several bacteria, tested for resistance towards several antibiotics</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Low</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18.0</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5</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There are 2 mortality models in Annex, and one model about ICU admission which we did not assess. Numbers are extracted from the mortality 30 days model. In this relatively large cohort, the authors found that there is an association between the infecting pathogen and 7 day mortality after BSI - particularly </w:t>
            </w:r>
            <w:r>
              <w:rPr>
                <w:i/>
                <w:sz w:val="12"/>
                <w:szCs w:val="12"/>
              </w:rPr>
              <w:t>Klebsiella, Enterobacter, Serratia</w:t>
            </w:r>
            <w:r>
              <w:rPr>
                <w:sz w:val="12"/>
                <w:szCs w:val="12"/>
              </w:rPr>
              <w:t xml:space="preserve">, and </w:t>
            </w:r>
            <w:r>
              <w:rPr>
                <w:i/>
                <w:sz w:val="12"/>
                <w:szCs w:val="12"/>
              </w:rPr>
              <w:t>Pseudomonas</w:t>
            </w:r>
            <w:r>
              <w:rPr>
                <w:sz w:val="12"/>
                <w:szCs w:val="12"/>
              </w:rPr>
              <w:t>.</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2019</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Pathogenic significance of hemorrhagic </w:t>
            </w:r>
            <w:r>
              <w:rPr>
                <w:sz w:val="12"/>
                <w:szCs w:val="12"/>
              </w:rPr>
              <w:lastRenderedPageBreak/>
              <w:t xml:space="preserve">pneumonia in hematologic malignancy patients with </w:t>
            </w:r>
            <w:r>
              <w:rPr>
                <w:i/>
                <w:sz w:val="12"/>
                <w:szCs w:val="12"/>
              </w:rPr>
              <w:t>Stenotrophomonas maltophilia</w:t>
            </w:r>
            <w:r>
              <w:rPr>
                <w:sz w:val="12"/>
                <w:szCs w:val="12"/>
              </w:rPr>
              <w:t xml:space="preserve"> bacteremia: clinical and microbiological analysis</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Kim, Cha, Kang et al (84)</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118</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72</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South Korea</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rFonts w:ascii="Arial Unicode MS" w:eastAsia="Arial Unicode MS" w:hAnsi="Arial Unicode MS" w:cs="Arial Unicode MS"/>
                <w:sz w:val="12"/>
                <w:szCs w:val="12"/>
              </w:rPr>
              <w:t xml:space="preserve">Patients ≥18 years of age </w:t>
            </w:r>
            <w:r>
              <w:rPr>
                <w:rFonts w:ascii="Arial Unicode MS" w:eastAsia="Arial Unicode MS" w:hAnsi="Arial Unicode MS" w:cs="Arial Unicode MS"/>
                <w:sz w:val="12"/>
                <w:szCs w:val="12"/>
              </w:rPr>
              <w:lastRenderedPageBreak/>
              <w:t xml:space="preserve">with hematologic malignancy who were diagnosed with </w:t>
            </w:r>
            <w:r>
              <w:rPr>
                <w:i/>
                <w:sz w:val="12"/>
                <w:szCs w:val="12"/>
              </w:rPr>
              <w:t>S. maltophilia</w:t>
            </w:r>
            <w:r>
              <w:rPr>
                <w:sz w:val="12"/>
                <w:szCs w:val="12"/>
              </w:rPr>
              <w:t xml:space="preserve"> bacteremia </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lastRenderedPageBreak/>
              <w:t xml:space="preserve">Age, hospital stay, polymicrobial infection, previous isolation of </w:t>
            </w:r>
            <w:r>
              <w:rPr>
                <w:i/>
                <w:sz w:val="12"/>
                <w:szCs w:val="12"/>
              </w:rPr>
              <w:t xml:space="preserve">S. </w:t>
            </w:r>
            <w:r>
              <w:rPr>
                <w:i/>
                <w:sz w:val="12"/>
                <w:szCs w:val="12"/>
              </w:rPr>
              <w:lastRenderedPageBreak/>
              <w:t>maltophilia</w:t>
            </w:r>
            <w:r>
              <w:rPr>
                <w:sz w:val="12"/>
                <w:szCs w:val="12"/>
              </w:rPr>
              <w:t>, Focus of infection catheter related infection (CRI), focus of infection hemorrhagic, CRI non hemorrhagic, leukaemia, lymphoma, refractory or recurrent disease, Charlson comorbidity index I&gt;3, neutropenia, intensive care unit stay, mechanical ventilation, renal Replacement Therapy,  initial SOFA score, platelet count, previous antibiotics &lt;3, early empirical TMP/SMX antibiotic use within 72 h</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i/>
                <w:sz w:val="12"/>
                <w:szCs w:val="12"/>
              </w:rPr>
            </w:pPr>
            <w:r>
              <w:rPr>
                <w:i/>
                <w:sz w:val="12"/>
                <w:szCs w:val="12"/>
              </w:rPr>
              <w:lastRenderedPageBreak/>
              <w:t>Stenotrophomonas maltophilia</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Low</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3.8</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27</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19</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The authors also included clinically relevant variables </w:t>
            </w:r>
            <w:r>
              <w:rPr>
                <w:sz w:val="12"/>
                <w:szCs w:val="12"/>
              </w:rPr>
              <w:lastRenderedPageBreak/>
              <w:t xml:space="preserve">in the MVA. The authors concluded that the mortality of haematological malignancy patients with </w:t>
            </w:r>
            <w:r>
              <w:rPr>
                <w:i/>
                <w:sz w:val="12"/>
                <w:szCs w:val="12"/>
              </w:rPr>
              <w:t>S. maltophilia</w:t>
            </w:r>
            <w:r>
              <w:rPr>
                <w:sz w:val="12"/>
                <w:szCs w:val="12"/>
              </w:rPr>
              <w:t xml:space="preserve"> bacteraemia is high, and that hemorrhagic pneumonia is associated with an increased mortality</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2020</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Vancomycin-resistant enterococci infection and predisposing factors for infection and mortality in patients with acute leukaemia and febrile neutropenia </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Kirkizlar, Akalin, Kirkizlar et al (92)</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179</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17</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Turkey</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Adult acute leukaemia patients with vancomycin resistant enterococcus colonised who had febrile neutropenia</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Age, sex, primary disease acute myeloid leukemia, remission, previous hospitalisation, previous colonization, exposure to empirical antibiotics, mucositis, central venous catheter, invasive procedures,  &lt; 0,5x109/L neutrophil count while vancomycine resistant enterococcus (VRE) +, coinfection, acute kidney injury, &gt;15 days VRE</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i/>
                <w:sz w:val="12"/>
                <w:szCs w:val="12"/>
              </w:rPr>
              <w:t xml:space="preserve">Enterococcus </w:t>
            </w:r>
            <w:r>
              <w:rPr>
                <w:sz w:val="12"/>
                <w:szCs w:val="12"/>
              </w:rPr>
              <w:t>spp. , vancomycin-resistance</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Low</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No</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1.2</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14</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14</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Apart from age and gender, the authors found an association between in-hospital mortality in VRE-colonised patients and low neutrophil count and coinfection</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2017</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Initial Treatment of Cancer Patients with Fluconazole-Susceptible Dose-Dependent Candida glabrata Fungemia: Better Outcome with an Echinocandin or Polyene Compared to an Azole?</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Le, Farmakiotis, Tarrand et al (155)</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68</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26</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USA</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Patients with</w:t>
            </w:r>
            <w:r>
              <w:rPr>
                <w:i/>
                <w:sz w:val="12"/>
                <w:szCs w:val="12"/>
              </w:rPr>
              <w:t xml:space="preserve"> C. glabrata </w:t>
            </w:r>
            <w:r>
              <w:rPr>
                <w:sz w:val="12"/>
                <w:szCs w:val="12"/>
              </w:rPr>
              <w:t>fungemia caused by strains with dose-dependent in vitro susceptibility to fluconazole at a cancer centre between March 2005 and September 2013.</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APACHE II score, absolute monocyte count&lt;100, intensive care unit, azole monotherapy </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i/>
                <w:sz w:val="12"/>
                <w:szCs w:val="12"/>
              </w:rPr>
            </w:pPr>
            <w:r>
              <w:rPr>
                <w:i/>
                <w:sz w:val="12"/>
                <w:szCs w:val="12"/>
              </w:rPr>
              <w:t>Candida glabrata</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Medium</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2.9</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17</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9</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The authors found that azole monotherapy was associated with higher mortality than compared to the addition of an echinocandin or polyene in these patients</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2021</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Epidemiology, Risk Factors, and Clinical Outcomes of Bloodstream Infection </w:t>
            </w:r>
            <w:r>
              <w:rPr>
                <w:sz w:val="12"/>
                <w:szCs w:val="12"/>
              </w:rPr>
              <w:lastRenderedPageBreak/>
              <w:t xml:space="preserve">due to Extended-Spectrum Beta-Lactamase-Producing </w:t>
            </w:r>
            <w:r>
              <w:rPr>
                <w:i/>
                <w:sz w:val="12"/>
                <w:szCs w:val="12"/>
              </w:rPr>
              <w:t xml:space="preserve">Escherichia coli </w:t>
            </w:r>
            <w:r>
              <w:rPr>
                <w:sz w:val="12"/>
                <w:szCs w:val="12"/>
              </w:rPr>
              <w:t>and</w:t>
            </w:r>
            <w:r>
              <w:rPr>
                <w:i/>
                <w:sz w:val="12"/>
                <w:szCs w:val="12"/>
              </w:rPr>
              <w:t xml:space="preserve"> Klebsiella pneumoniae</w:t>
            </w:r>
            <w:r>
              <w:rPr>
                <w:sz w:val="12"/>
                <w:szCs w:val="12"/>
              </w:rPr>
              <w:t xml:space="preserve"> in Hematologic Malignancy: A Retrospective Study from Central South China</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Liang, Xu, Cheng et al (62)</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449</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Indeterminable</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China</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Patients with haematological malignancies who were </w:t>
            </w:r>
            <w:r>
              <w:rPr>
                <w:sz w:val="12"/>
                <w:szCs w:val="12"/>
              </w:rPr>
              <w:lastRenderedPageBreak/>
              <w:t xml:space="preserve">diagnosed with extended spectrum beta lactamase (ESBL)-producing and non-ESBL-producing </w:t>
            </w:r>
            <w:r>
              <w:rPr>
                <w:i/>
                <w:sz w:val="12"/>
                <w:szCs w:val="12"/>
              </w:rPr>
              <w:t xml:space="preserve">E. coli </w:t>
            </w:r>
            <w:r>
              <w:rPr>
                <w:sz w:val="12"/>
                <w:szCs w:val="12"/>
              </w:rPr>
              <w:t xml:space="preserve">and </w:t>
            </w:r>
            <w:r>
              <w:rPr>
                <w:i/>
                <w:sz w:val="12"/>
                <w:szCs w:val="12"/>
              </w:rPr>
              <w:t>K. pneumoniae</w:t>
            </w:r>
            <w:r>
              <w:rPr>
                <w:sz w:val="12"/>
                <w:szCs w:val="12"/>
              </w:rPr>
              <w:t xml:space="preserve"> bacteremia between January 2010 and July 2018</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lastRenderedPageBreak/>
              <w:t>Myelodysplastic syndrome, MASCC score &lt;21, Charlson Comorbidity index&gt;3</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i/>
                <w:sz w:val="12"/>
                <w:szCs w:val="12"/>
              </w:rPr>
              <w:t xml:space="preserve">Escherichia coli </w:t>
            </w:r>
            <w:r>
              <w:rPr>
                <w:sz w:val="12"/>
                <w:szCs w:val="12"/>
              </w:rPr>
              <w:t xml:space="preserve">and </w:t>
            </w:r>
            <w:r>
              <w:rPr>
                <w:i/>
                <w:sz w:val="12"/>
                <w:szCs w:val="12"/>
              </w:rPr>
              <w:t>Klebsiella pneumoniae</w:t>
            </w:r>
            <w:r>
              <w:rPr>
                <w:sz w:val="12"/>
                <w:szCs w:val="12"/>
              </w:rPr>
              <w:lastRenderedPageBreak/>
              <w:t>, ESBL</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lastRenderedPageBreak/>
              <w:t>Medium</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Indeterminable</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Indeterminable</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Indeterminable</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The authors did not find a difference in overall mortality </w:t>
            </w:r>
            <w:r>
              <w:rPr>
                <w:sz w:val="12"/>
                <w:szCs w:val="12"/>
              </w:rPr>
              <w:lastRenderedPageBreak/>
              <w:t xml:space="preserve">between the ESBL and non-ESBL groups, but they do find that the Charlson Comorbidity Index and the MASCC score were associated with an increased mortality in the ESBL-group. Number of deaths extracted from supplementary material. </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2015</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Factors influencing mortality in neutropenic patients with haematologic malignancies or solid tumours with bloodstream infection</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Marin, Gudiol, Ardanuy et al (111)</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510</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61</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Spain</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Hospitalised adult neutropenic cancer patients with at least one episode of bloodstream infection</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Haematological malignancies: age, sex, advanced neoplasm, MASCC score &lt;21, corticosteroid therapy, coagulase-negative staphylococci, multi drug resistant gram negative bacteria, Empirical antibiotic combination therapy, intensive care unit admission. Solid tumours: age, sex, advanced neoplasm, corticosteroid therapy, septic shock.</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Several bacteria, tested for resistance towards several antibiotics</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Low</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Yes </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6.8</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40</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9</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The authors used stepwise regression but also included some clinically relevant variables. The authors stratified the population and made one model for haematological malignancies and one model for solid tumours. The numbers were extracted from the hematologic model, with a higher number of events. They only found an association between antimicrobial resistance and mortality among haematological cancer patients</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2019</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Bloodstream infection in patients with head and neck cancer: a major challenge in the cetuximab era</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Marin, Gudiol, Castet et al (26)</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51</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7</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Spain</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Consecutive episodes of bloodstream infection occurring in patients with </w:t>
            </w:r>
            <w:r>
              <w:rPr>
                <w:sz w:val="12"/>
                <w:szCs w:val="12"/>
              </w:rPr>
              <w:lastRenderedPageBreak/>
              <w:t>head and neck cancer and bloodstream infection from January 2006 to April 2017</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lastRenderedPageBreak/>
              <w:t xml:space="preserve">Early case fatality: age, sex, Charlson scoring system, median albumin level, corticosteroid therapy. Overall case fatality: age, sex, Charlson </w:t>
            </w:r>
            <w:r>
              <w:rPr>
                <w:sz w:val="12"/>
                <w:szCs w:val="12"/>
              </w:rPr>
              <w:lastRenderedPageBreak/>
              <w:t>scoring system, comorbidities, median Albumin level, corticosteroid therapy.</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lastRenderedPageBreak/>
              <w:t xml:space="preserve">Several bacteria and fungi, tested for resistance towards </w:t>
            </w:r>
            <w:r>
              <w:rPr>
                <w:sz w:val="12"/>
                <w:szCs w:val="12"/>
              </w:rPr>
              <w:lastRenderedPageBreak/>
              <w:t>several antimicrobials</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lastRenderedPageBreak/>
              <w:t>Low</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1.2</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39</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6</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The authors used stepwise regression but also included some clinically relevant </w:t>
            </w:r>
            <w:r>
              <w:rPr>
                <w:sz w:val="12"/>
                <w:szCs w:val="12"/>
              </w:rPr>
              <w:lastRenderedPageBreak/>
              <w:t xml:space="preserve">variables. Both models investigating fatality include antimicrobial resistance as a factor, but it is removed after the bivariable screening. Numbers were extracted from the early fatality model. There is also a matched case-control study investigating the risk factors of all BSIs but it does not include any resistance. </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2020</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Inappropriate Empirical Antibiotic Treatment in High-risk Neutropenic Patients With Bacteremia in the Era of Multidrug Resistance</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Martinez-Nadal, Puerta-Alcalde, Gudiol et al (112)</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251</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87</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Spain</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All consecutive episodes of bacteremia in patients with high-risk febrile neutropenia from January 2006 to January 2017</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Inappropriate empirical antibiotic therapy, septic shock at onset, pneumonia</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Several bacteria tested for resistance towards several antibiotics. The model is on </w:t>
            </w:r>
            <w:r>
              <w:rPr>
                <w:i/>
                <w:sz w:val="12"/>
                <w:szCs w:val="12"/>
              </w:rPr>
              <w:t>Pseudomonas aeruginosa</w:t>
            </w:r>
            <w:r>
              <w:rPr>
                <w:sz w:val="12"/>
                <w:szCs w:val="12"/>
              </w:rPr>
              <w:t>.</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Low</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29.0</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Indeterminable</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3</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The authors found that inappropriate empirical antibiotic therapy, septic shock and pneumonia is associated with mortality among patients with </w:t>
            </w:r>
            <w:r>
              <w:rPr>
                <w:i/>
                <w:sz w:val="12"/>
                <w:szCs w:val="12"/>
              </w:rPr>
              <w:t>P. aeruginosa</w:t>
            </w:r>
            <w:r>
              <w:rPr>
                <w:sz w:val="12"/>
                <w:szCs w:val="12"/>
              </w:rPr>
              <w:t xml:space="preserve"> bloodstream infection. The area under the curve of this model is printed.</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2018</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Postoperative empyema following lung cancer surgery</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Matsutani, Yoshiya, Chida et al (27)</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43</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5</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Japan</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Patients who  underwent  thoracic  surgery  to  treat primary  lung cancer  and had empyema between  January,  2008  and  December,  2012, from 9  institutions</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Exacerbation of interstitial pneumonia, bronchial stump fistula, administration of steroid, interstitial pneumonia, histology with or without squamous cells, microbiology with or without non-fermenting Gram(-) bacilli</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Several bacteria, tested for resistance towards several antibiotics</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Medium</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0.8</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35</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6</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The authors used stepwise regression but it is unclear whether they used p-value&lt;0.05 to include factors of the univariate in the final model. they exclude one significant factor with no observation in </w:t>
            </w:r>
            <w:r>
              <w:rPr>
                <w:sz w:val="12"/>
                <w:szCs w:val="12"/>
              </w:rPr>
              <w:lastRenderedPageBreak/>
              <w:t xml:space="preserve">one group. No association with poor prognosis in empyema patients after lung cancer surgery were found through the multivariable model. </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2017</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Fecal Carriage of Extended-Spectrum b-Lactamase-Producing Enterobacteriaceae Strains Is Associated with Worse Outcome in Patients Hospitalized in the Pediatric Oncology Unit of Beni-Messous Hospital in Algiers, Algeria</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Medboua-Benbalagh, Touati, Kermas et al (121)</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171</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28</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Algeria</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Paediatric oncology patients from February 2012 to May 2013</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Age, gender, previous hospital admission,  haematological malignancies, antibiotic treatment for the last 3 months before admission, haematological malignancies, Nephroblastoma, neuroblastoma, sarcomas, extended spectrum beta lactamase enterobacteria (ESBL-E)</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i/>
                <w:sz w:val="12"/>
                <w:szCs w:val="12"/>
              </w:rPr>
              <w:t>Enterobacteriaceae</w:t>
            </w:r>
            <w:r>
              <w:rPr>
                <w:sz w:val="12"/>
                <w:szCs w:val="12"/>
              </w:rPr>
              <w:t>, ESBL</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Medium</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Indeterminable</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Indeterminable</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Indeterminable</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No regression table is printed, but the variables that the authors report to be associated with the two outcomes are reported here. During screening, the authors find that more than half of the patients are carriers of ESBL-producing </w:t>
            </w:r>
            <w:r>
              <w:rPr>
                <w:i/>
                <w:sz w:val="12"/>
                <w:szCs w:val="12"/>
              </w:rPr>
              <w:t>Enterobacteriaceae</w:t>
            </w:r>
            <w:r>
              <w:rPr>
                <w:sz w:val="12"/>
                <w:szCs w:val="12"/>
              </w:rPr>
              <w:t xml:space="preserve">.  </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2021</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Secondary Infections After Diagnosis of SevereRadiation Pneumonitis (SRP) Among Patients With Non-Small Cell Lung Cancer: Pathogen Distributions, Choice of Empirical Antibiotics, and the Value of Empirical Antifungal Treatment</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Mei, Yang, Yu et al (28)</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777</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174</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China</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Patients with severe radiation pneumonitis treated at a hospital between January 2009 and December 2020 with non-small cell lung cancer, who were infected after at least 48 hours of hospitalisation and received at least 1 antibiotic before susceptibility testing. </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Performance status score, chronic obstructive pulmonary disease, diabetes, hypertension, radiotherapy dose in Gy, multiple bacterial infections, bacteria/fungal coinfections, appropriate antibiotic, empirical antifungal</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Several bacteria and fungi, tested for resistance towards several antimicrobials</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Medium</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19.3</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21</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9</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The authors used stepwise regression but it is unclear if the authors used a p-value&lt;0.05 to include the factors tested in the univariate in the final model. The authors did not find that there is any association between intrinsically resistant bacteria and infection-related mortality</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2021</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Predictive factors associated with induction‑related death in acute </w:t>
            </w:r>
            <w:r>
              <w:rPr>
                <w:sz w:val="12"/>
                <w:szCs w:val="12"/>
              </w:rPr>
              <w:lastRenderedPageBreak/>
              <w:t>myeloid leukemia in a resource‑constrained setting</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Mendes, da Silva, da Costa Bandeira de Melo et al (51)</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206</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53</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Brazil</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Patients aged &gt;=16 years  with newly diagnosed </w:t>
            </w:r>
            <w:r>
              <w:rPr>
                <w:sz w:val="12"/>
                <w:szCs w:val="12"/>
              </w:rPr>
              <w:lastRenderedPageBreak/>
              <w:t xml:space="preserve">acute myeloid leukaemia who started any regimen of intensive treatment  </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lastRenderedPageBreak/>
              <w:t xml:space="preserve">ECOG score binary, sex, age, intensive care unit entrance, Charlson comorbidities index (CCI), </w:t>
            </w:r>
            <w:r>
              <w:rPr>
                <w:sz w:val="12"/>
                <w:szCs w:val="12"/>
              </w:rPr>
              <w:lastRenderedPageBreak/>
              <w:t xml:space="preserve">colonisation by </w:t>
            </w:r>
            <w:r>
              <w:rPr>
                <w:i/>
                <w:sz w:val="12"/>
                <w:szCs w:val="12"/>
              </w:rPr>
              <w:t xml:space="preserve">Klebsiella </w:t>
            </w:r>
            <w:r>
              <w:rPr>
                <w:sz w:val="12"/>
                <w:szCs w:val="12"/>
              </w:rPr>
              <w:t xml:space="preserve">producing carbapenemase, colonisation by </w:t>
            </w:r>
            <w:r>
              <w:rPr>
                <w:i/>
                <w:sz w:val="12"/>
                <w:szCs w:val="12"/>
              </w:rPr>
              <w:t>Acinetobacter</w:t>
            </w:r>
            <w:r>
              <w:rPr>
                <w:sz w:val="12"/>
                <w:szCs w:val="12"/>
              </w:rPr>
              <w:t xml:space="preserve">, colonisation by </w:t>
            </w:r>
            <w:r>
              <w:rPr>
                <w:i/>
                <w:sz w:val="12"/>
                <w:szCs w:val="12"/>
              </w:rPr>
              <w:t>Pseudomonas</w:t>
            </w:r>
            <w:r>
              <w:rPr>
                <w:sz w:val="12"/>
                <w:szCs w:val="12"/>
              </w:rPr>
              <w:t xml:space="preserve">, DM, tumor lysis, pre-chemo infection, Albumin to Globulin Ratio, monocytic acute myeloid leukaemia, monocytes, C reactive protein, prothrombine activity, D-Dimer, creatinin, albumin, alkaline phosphatase, total bilirubine, aciclovir, antibiotiv prophylaxis, anthracycline </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lastRenderedPageBreak/>
              <w:t xml:space="preserve">Several bacteria and fungi, tested for </w:t>
            </w:r>
            <w:r>
              <w:rPr>
                <w:sz w:val="12"/>
                <w:szCs w:val="12"/>
              </w:rPr>
              <w:lastRenderedPageBreak/>
              <w:t>resistance towards several antimicrobials</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lastRenderedPageBreak/>
              <w:t>Low</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2.1</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56</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25</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The authors used stepwise regression but excluded ECOG </w:t>
            </w:r>
            <w:r>
              <w:rPr>
                <w:sz w:val="12"/>
                <w:szCs w:val="12"/>
              </w:rPr>
              <w:lastRenderedPageBreak/>
              <w:t>in the stepwise approach due to the high missing rate found during the chart reviewing. The final multivariable model showed that age&gt;60 years,  Gram-negative colonisation, monocytic AML, CRP&gt;15 mg/dL,  and an adverse risk in the genetic stratification were independently associated with early mortality in AML patients</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2021</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i/>
                <w:sz w:val="12"/>
                <w:szCs w:val="12"/>
              </w:rPr>
            </w:pPr>
            <w:r>
              <w:rPr>
                <w:sz w:val="12"/>
                <w:szCs w:val="12"/>
              </w:rPr>
              <w:t>Reduced mortality from KPC-</w:t>
            </w:r>
            <w:r>
              <w:rPr>
                <w:i/>
                <w:sz w:val="12"/>
                <w:szCs w:val="12"/>
              </w:rPr>
              <w:t>K.pneumoniae</w:t>
            </w:r>
            <w:r>
              <w:rPr>
                <w:sz w:val="12"/>
                <w:szCs w:val="12"/>
              </w:rPr>
              <w:t xml:space="preserve"> bloodstream infection in high-risk patients with hematological malignancies colonized by KPC-</w:t>
            </w:r>
            <w:r>
              <w:rPr>
                <w:i/>
                <w:sz w:val="12"/>
                <w:szCs w:val="12"/>
              </w:rPr>
              <w:t>K.pneumoniae</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Micozzi, Gentile, Santilli et al (96)</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34</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10</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Italy</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Patients with haematological malignancies identified as Klebsiella producing carbapenemase -</w:t>
            </w:r>
            <w:r>
              <w:rPr>
                <w:i/>
                <w:sz w:val="12"/>
                <w:szCs w:val="12"/>
              </w:rPr>
              <w:t>K. pneumoniae</w:t>
            </w:r>
            <w:r>
              <w:rPr>
                <w:sz w:val="12"/>
                <w:szCs w:val="12"/>
              </w:rPr>
              <w:t xml:space="preserve"> carriers attending a haematology department between March  2012-December 2013 (Period 1) and January 2017-October 2018 (Period 2).</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Model 1: </w:t>
            </w:r>
            <w:r>
              <w:rPr>
                <w:i/>
                <w:sz w:val="12"/>
                <w:szCs w:val="12"/>
              </w:rPr>
              <w:t xml:space="preserve">Klebsiella </w:t>
            </w:r>
            <w:r>
              <w:rPr>
                <w:sz w:val="12"/>
                <w:szCs w:val="12"/>
              </w:rPr>
              <w:t>producing carbapenemase-</w:t>
            </w:r>
            <w:r>
              <w:rPr>
                <w:i/>
                <w:sz w:val="12"/>
                <w:szCs w:val="12"/>
              </w:rPr>
              <w:t>K. pneumoniae</w:t>
            </w:r>
            <w:r>
              <w:rPr>
                <w:sz w:val="12"/>
                <w:szCs w:val="12"/>
              </w:rPr>
              <w:t xml:space="preserve"> (KPC-KP) bloodstream infection (BSI) developing during inactive antibiotic  treatment, acute myeloid leukaemia, shock, intensive chemotherapy. Model 2: Initial active treatment, KPC-KP BSI developing during inactive antibiotic  treatment, acute myeloid leukaemia, shock, intensive chemotherapy. </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i/>
                <w:sz w:val="12"/>
                <w:szCs w:val="12"/>
              </w:rPr>
              <w:t>Klebsiella pneumoniae</w:t>
            </w:r>
            <w:r>
              <w:rPr>
                <w:sz w:val="12"/>
                <w:szCs w:val="12"/>
              </w:rPr>
              <w:t>, carbapenemase-producing</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Medium</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 Yes </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2.5</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22</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4</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The numbers were extracted from the Model 1. It is unclear if authors used stepwise with p-value&lt;0.05 to include factors of the univariate in the final model, and it is also unclear which factors are included or kept in the model. The authors found that 3 of 10 patients that died were put on initially active treatment</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2015</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Outcomes of critically ill cancer patients with Acinetobacter baumannii infection </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Ñamendys-Silva, Correa-García, García-Guillén et al (139)</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23</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6</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Mexico</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Cancer patients who acquired </w:t>
            </w:r>
            <w:r>
              <w:rPr>
                <w:i/>
                <w:sz w:val="12"/>
                <w:szCs w:val="12"/>
              </w:rPr>
              <w:t>Acinetobacter baumannii</w:t>
            </w:r>
            <w:r>
              <w:rPr>
                <w:sz w:val="12"/>
                <w:szCs w:val="12"/>
              </w:rPr>
              <w:t xml:space="preserve"> infections during their stay at the intensive care unit of a cancer institute</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Length of hospital stay, duration of vasopressors, blood lactate level (mmol/L), number of organ dysfunction, creatinine, </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i/>
                <w:sz w:val="12"/>
                <w:szCs w:val="12"/>
              </w:rPr>
            </w:pPr>
            <w:r>
              <w:rPr>
                <w:i/>
                <w:sz w:val="12"/>
                <w:szCs w:val="12"/>
              </w:rPr>
              <w:t>Acinetobacter baumannii</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Medium</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1.2</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14</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5</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The authors found that the blood lactate level was associated with mortality in these patients</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2020</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Characteristics and </w:t>
            </w:r>
            <w:r>
              <w:rPr>
                <w:sz w:val="12"/>
                <w:szCs w:val="12"/>
              </w:rPr>
              <w:lastRenderedPageBreak/>
              <w:t xml:space="preserve">Clinical Outcomes of Extended-Spectrum beta-lactamase-producing </w:t>
            </w:r>
            <w:r>
              <w:rPr>
                <w:i/>
                <w:sz w:val="12"/>
                <w:szCs w:val="12"/>
              </w:rPr>
              <w:t xml:space="preserve">Klebsiella pneumoniae </w:t>
            </w:r>
            <w:r>
              <w:rPr>
                <w:sz w:val="12"/>
                <w:szCs w:val="12"/>
              </w:rPr>
              <w:t>Bacteremia in Cancer Patients</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 xml:space="preserve">Nham, Huh, Cho </w:t>
            </w:r>
            <w:r>
              <w:rPr>
                <w:sz w:val="12"/>
                <w:szCs w:val="12"/>
              </w:rPr>
              <w:lastRenderedPageBreak/>
              <w:t>et al (147)</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lastRenderedPageBreak/>
              <w:t>267</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46</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South Korea</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Patients above </w:t>
            </w:r>
            <w:r>
              <w:rPr>
                <w:sz w:val="12"/>
                <w:szCs w:val="12"/>
              </w:rPr>
              <w:lastRenderedPageBreak/>
              <w:t xml:space="preserve">the age of eighteen with cancer who had an episode of </w:t>
            </w:r>
            <w:r>
              <w:rPr>
                <w:i/>
                <w:sz w:val="12"/>
                <w:szCs w:val="12"/>
              </w:rPr>
              <w:t xml:space="preserve">K. pneumoniae </w:t>
            </w:r>
            <w:r>
              <w:rPr>
                <w:sz w:val="12"/>
                <w:szCs w:val="12"/>
              </w:rPr>
              <w:t xml:space="preserve">bacteremia between 2010 and 2012 </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lastRenderedPageBreak/>
              <w:t xml:space="preserve">30-day mortality model: </w:t>
            </w:r>
            <w:r>
              <w:rPr>
                <w:sz w:val="12"/>
                <w:szCs w:val="12"/>
              </w:rPr>
              <w:lastRenderedPageBreak/>
              <w:t xml:space="preserve">Neutropenia, foley catheter, nasogastric tube,  mechanical ventilation, hemodialysis, catheter related infection,  14-day mortality model: solid tumour, extended spectrum beta lactamase, chronic liver disease, mechanical ventilation, hemodialysis, catheter related infection, PITT bacteremia score, carbapenem empirical therapy, vancomycin empirical therapy </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i/>
                <w:sz w:val="12"/>
                <w:szCs w:val="12"/>
              </w:rPr>
              <w:lastRenderedPageBreak/>
              <w:t xml:space="preserve">Klebsiella </w:t>
            </w:r>
            <w:r>
              <w:rPr>
                <w:i/>
                <w:sz w:val="12"/>
                <w:szCs w:val="12"/>
              </w:rPr>
              <w:lastRenderedPageBreak/>
              <w:t>pneumoniae</w:t>
            </w:r>
            <w:r>
              <w:rPr>
                <w:sz w:val="12"/>
                <w:szCs w:val="12"/>
              </w:rPr>
              <w:t>, ESBL</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lastRenderedPageBreak/>
              <w:t>Mediu</w:t>
            </w:r>
            <w:r>
              <w:rPr>
                <w:sz w:val="12"/>
                <w:szCs w:val="12"/>
              </w:rPr>
              <w:lastRenderedPageBreak/>
              <w:t>m</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lastRenderedPageBreak/>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7.7</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51</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6</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There are two </w:t>
            </w:r>
            <w:r>
              <w:rPr>
                <w:sz w:val="12"/>
                <w:szCs w:val="12"/>
              </w:rPr>
              <w:lastRenderedPageBreak/>
              <w:t>models, one on 14 days mortality and one about 30 days mortality. Numbers were extracted from the 30 day mortality model. The authors found that in these patients and with this statistical approach, there was an association between ESBL-production and 14-day mortality, but not with 30-day mortality</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2015</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Impact of vancomycin-resistant enterococcal bacteremia on outcome during acute myeloid leukemia induction therapy</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Ornstein, Mukherjee, Keng et al (93)</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350</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84</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USA</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Patients with de novo and secondary acute myeloid leukaemia who received cytarabine-based induction chemotherapy at Cleveland Clinic between 1 January 2000 and 1 April 2008</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Age (&gt;60 vs. &lt;60), cytology Poor vs. Favourable, cytology Poor vs. Intermediate, cytology Poor vs. Unknown, VRE bacteremia, other bloodstream infections, aetiology (secondary vs. de novo), white blood cell at diagnosis, year of diagnosis</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i/>
                <w:sz w:val="12"/>
                <w:szCs w:val="12"/>
              </w:rPr>
              <w:t xml:space="preserve">Enterococcus </w:t>
            </w:r>
            <w:r>
              <w:rPr>
                <w:sz w:val="12"/>
                <w:szCs w:val="12"/>
              </w:rPr>
              <w:t>spp., vancomycin-resistance</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Medium</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9.3</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14</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9</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The authors included factors which were significant in the univariate analysis plus blood cell count, year of diagnosis and non VRE BSI. conclude that the survival is poorer in AML patients who had a VRE bacteraemia.</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2020</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i/>
                <w:sz w:val="12"/>
                <w:szCs w:val="12"/>
              </w:rPr>
              <w:t xml:space="preserve">Candida </w:t>
            </w:r>
            <w:r>
              <w:rPr>
                <w:sz w:val="12"/>
                <w:szCs w:val="12"/>
              </w:rPr>
              <w:t>spp bloodstream infections in a Latin American Pediatric Oncology Reference Center: Epidemiology and associated factors</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Paixao de Sousa da Silva, de Moraes-Pinto, Teofilo Pignati et al (156)</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90</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90</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Brazil</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Paediatric patients admitted to a paediatric oncology institute who presented with </w:t>
            </w:r>
            <w:r>
              <w:rPr>
                <w:i/>
                <w:sz w:val="12"/>
                <w:szCs w:val="12"/>
              </w:rPr>
              <w:t xml:space="preserve">Candida </w:t>
            </w:r>
            <w:r>
              <w:rPr>
                <w:sz w:val="12"/>
                <w:szCs w:val="12"/>
              </w:rPr>
              <w:t>spp. BSI from January 2004 to December 2016.</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Age, Hospitalisation, ICU, Corticosteroid, Prior antifungal use, Skin lesion, Dissemination, </w:t>
            </w:r>
            <w:r>
              <w:rPr>
                <w:i/>
                <w:sz w:val="12"/>
                <w:szCs w:val="12"/>
              </w:rPr>
              <w:t xml:space="preserve">Candida </w:t>
            </w:r>
            <w:r>
              <w:rPr>
                <w:sz w:val="12"/>
                <w:szCs w:val="12"/>
              </w:rPr>
              <w:t>spp Species (</w:t>
            </w:r>
            <w:r>
              <w:rPr>
                <w:i/>
                <w:sz w:val="12"/>
                <w:szCs w:val="12"/>
              </w:rPr>
              <w:t>C parapsilosis, C tropicalis,</w:t>
            </w:r>
            <w:r>
              <w:rPr>
                <w:sz w:val="12"/>
                <w:szCs w:val="12"/>
              </w:rPr>
              <w:t xml:space="preserve"> Others).</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i/>
                <w:sz w:val="12"/>
                <w:szCs w:val="12"/>
              </w:rPr>
              <w:t xml:space="preserve">Candida </w:t>
            </w:r>
            <w:r>
              <w:rPr>
                <w:sz w:val="12"/>
                <w:szCs w:val="12"/>
              </w:rPr>
              <w:t>spp.</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Low</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9,0</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28</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10</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The authors find that a </w:t>
            </w:r>
            <w:r>
              <w:rPr>
                <w:i/>
                <w:sz w:val="12"/>
                <w:szCs w:val="12"/>
              </w:rPr>
              <w:t>Candida parapsilosis</w:t>
            </w:r>
            <w:r>
              <w:rPr>
                <w:sz w:val="12"/>
                <w:szCs w:val="12"/>
              </w:rPr>
              <w:t xml:space="preserve"> infection was associated with a lower mortality, while there was no association between </w:t>
            </w:r>
            <w:r>
              <w:rPr>
                <w:i/>
                <w:sz w:val="12"/>
                <w:szCs w:val="12"/>
              </w:rPr>
              <w:t>Candida tropicalis</w:t>
            </w:r>
            <w:r>
              <w:rPr>
                <w:sz w:val="12"/>
                <w:szCs w:val="12"/>
              </w:rPr>
              <w:t xml:space="preserve"> and mortality.</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2019</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Bloodstream Infection Due to Vancomycin-resistant </w:t>
            </w:r>
            <w:r>
              <w:rPr>
                <w:i/>
                <w:sz w:val="12"/>
                <w:szCs w:val="12"/>
              </w:rPr>
              <w:t>Enterococcus</w:t>
            </w:r>
            <w:r>
              <w:rPr>
                <w:sz w:val="12"/>
                <w:szCs w:val="12"/>
              </w:rPr>
              <w:t xml:space="preserve"> Is </w:t>
            </w:r>
            <w:r>
              <w:rPr>
                <w:sz w:val="12"/>
                <w:szCs w:val="12"/>
              </w:rPr>
              <w:lastRenderedPageBreak/>
              <w:t>Associated With Increased Mortality After Hematopoietic Cell Transplantation for Acute Leukemia and Myelodysplastic Syndrome: A Multicenter, Retrospective Cohort Study</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Papanicolaou, Ustun, Young et al (94)</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7128</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2774</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450 transplant centres worldwide</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Patients who received their first allogeneic hematologic cell </w:t>
            </w:r>
            <w:r>
              <w:rPr>
                <w:sz w:val="12"/>
                <w:szCs w:val="12"/>
              </w:rPr>
              <w:lastRenderedPageBreak/>
              <w:t>transplantation for acute myelogenous leukaemia (AML), acute lymphoblastic  leukaemia (ALL),  or  myelodysplastic  syndrome (MDS) between  January  2008  and  December  2012</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lastRenderedPageBreak/>
              <w:t xml:space="preserve">Vancomycin resistant enterococcus bloodstream infection, age (21-40, 41-50, 51-60, &gt;60), AML/ALL </w:t>
            </w:r>
            <w:r>
              <w:rPr>
                <w:sz w:val="12"/>
                <w:szCs w:val="12"/>
              </w:rPr>
              <w:lastRenderedPageBreak/>
              <w:t>intermediate, AML/ALL/MDS advanced, MDS advanced, Cord blood allograft, Human leukocyte antigen 7/8, Karnofsky performance scale &lt;90, cytomegalovirus donor or receptor positive, hematologic cell transplant during 2010-2012</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i/>
                <w:sz w:val="12"/>
                <w:szCs w:val="12"/>
              </w:rPr>
              <w:lastRenderedPageBreak/>
              <w:t xml:space="preserve">Enterococcus </w:t>
            </w:r>
            <w:r>
              <w:rPr>
                <w:sz w:val="12"/>
                <w:szCs w:val="12"/>
              </w:rPr>
              <w:t>spp. , vancomycin-resistance</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Low</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Indeterminable</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277.4</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Indeterminable</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10</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The overall survival model was examined here. We were </w:t>
            </w:r>
            <w:r>
              <w:rPr>
                <w:sz w:val="12"/>
                <w:szCs w:val="12"/>
              </w:rPr>
              <w:lastRenderedPageBreak/>
              <w:t>unable to determine the method used for variable selection, other than that several variables were "examined" in a multivariable model. The authors conclude that VRE BSI was associated with mortality.</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2019</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Infections Due to Multidrug-Resistant Bacteria in Oncological Patients: Insights from a Five-Year Epidemiological and Clinical Analysis</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Perdikouri, Arvaniti, Lathyris et al (33)</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73</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22</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Greece</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All cancer patients aged 18 years and older who presented an infection due to multi drug resistant bacteria from 1 January 2013 to 31 December 2017.</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Model 1: neutropenia, C reactive protein (CRP). Model 2: creatinine, CRP. Model 3: guided antibiotics, duration of guided antibiotics. Model 4: empirical antibiotics, guided antibiotics. Model 5: CRP, guided antibiotics. Model 6: duration of empirical antibiotics, days of hospitalisation. Model 7: guided antibiotics, effective empirical antibiotics (there are 34 models overall, more models are in the Supplementary table)</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i/>
                <w:sz w:val="12"/>
                <w:szCs w:val="12"/>
              </w:rPr>
              <w:t>E. coli, Pseudomonas aeruginosa, Klebsiella pneumoniae, Acinetobacter baumannii, Enterococcus faecium, Staphylococcus aureus</w:t>
            </w:r>
            <w:r>
              <w:rPr>
                <w:sz w:val="12"/>
                <w:szCs w:val="12"/>
              </w:rPr>
              <w:t>, multidrug-, vancomycin- or oxacillin-resistant</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Low</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11.0</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37</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34 models with each time 2 different variables included  were tested. The authors selected some variables thanks to those significant in the univariate but also based on previous literature. In univariate analyses they found several associations with death, but none of these held up in multivariable analysis.</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2021</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Clinical Characteristics and Outcome of Bloodstream Infections in HIV-Infected Patients with Cancer and Febrile Neutropenia: A Case–Control Study</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Puerta-Alcalde, Ambrosioni, Chumbita et al (115)</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180</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43</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Spain</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All episodes of febrile neutropenia following chemotherapy occurring in patients with cancer and HIV from January 1997 to March 2018.</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Hodgkin’s lymphoma, Myelodysplastic syndrome, Solid neoplasia, Pulmonary source, Abdominal source, Shock, Candidemia, HIV-infection. Adjusted for:  chronic liver disease, diabetes mellitus, chronic renal failure, HIV, corticosteroid use, catheter-related source, inappropriate empirical antibiotic treatment, coagulase-negative staphylococci bacteremia, </w:t>
            </w:r>
            <w:r>
              <w:rPr>
                <w:i/>
                <w:sz w:val="12"/>
                <w:szCs w:val="12"/>
              </w:rPr>
              <w:t xml:space="preserve">S. pneumoniae </w:t>
            </w:r>
            <w:r>
              <w:rPr>
                <w:sz w:val="12"/>
                <w:szCs w:val="12"/>
              </w:rPr>
              <w:t xml:space="preserve">bacteremia, intensive care </w:t>
            </w:r>
            <w:r>
              <w:rPr>
                <w:sz w:val="12"/>
                <w:szCs w:val="12"/>
              </w:rPr>
              <w:lastRenderedPageBreak/>
              <w:t>unit requirement.</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lastRenderedPageBreak/>
              <w:t>Several bacteria and fungi, tested for resistance towards several antimicrobials</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Medium</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5.4</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Indeterminable</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8</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The authors did not find any association between resistant microbes and mortality, other than candidemia, but include CoNS and S. pneumoniae as adjustment factors.</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2017</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Ultrasonography-­driven combination antibiotic therapy with tigecycline significantly increases survival among patients with neutropenic enterocolitis following cytarabine-­containing chemotherapy for the remission induction of acute myeloid leukemia</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Pugliese, Salvatore, Iula et al (52)</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100</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23</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Italy</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Adult  patients  with  newly  diagnosed  with acute myeloid leukaemia  hospitalised at a haematological department from 1 January 2002 to 31 December 2012 in order to receive cytotoxic agent induction courses for haematological remission</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High-dose  cytarabine-containing  chemotherapy, standard dose cytarabine chemotherapy, ultrasonography-driven necrotising enterocolitis NEC therapy with antibiotic regimens including tigecycline.</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i/>
                <w:sz w:val="12"/>
                <w:szCs w:val="12"/>
              </w:rPr>
            </w:pPr>
            <w:r>
              <w:rPr>
                <w:i/>
                <w:sz w:val="12"/>
                <w:szCs w:val="12"/>
              </w:rPr>
              <w:t xml:space="preserve">Escherichia coli, Klebsiella pneumoniae, Enterococcus </w:t>
            </w:r>
            <w:r>
              <w:rPr>
                <w:sz w:val="12"/>
                <w:szCs w:val="12"/>
              </w:rPr>
              <w:t xml:space="preserve">spp., </w:t>
            </w:r>
            <w:r>
              <w:rPr>
                <w:i/>
                <w:sz w:val="12"/>
                <w:szCs w:val="12"/>
              </w:rPr>
              <w:t>Pseudomonas aeruginosa, Candida albicans</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Medium</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7.7</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24</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3</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It was unclear which variables were included in the final model. The authors did not find that mortality was associated with the different microbes</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2015</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Epidemiology and outcome of candidaemia in patients with oncological and haematological malignancies: results from a population-based surveillance in Spain</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Puig-Asensio, Ruiz-Camps, Fernandez-Ruiz et al (157)</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193</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22</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Spain</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i/>
                <w:sz w:val="12"/>
                <w:szCs w:val="12"/>
              </w:rPr>
              <w:t xml:space="preserve">Candida </w:t>
            </w:r>
            <w:r>
              <w:rPr>
                <w:sz w:val="12"/>
                <w:szCs w:val="12"/>
              </w:rPr>
              <w:t>bloodstream infection episodes in adult patients (&gt;16 years) with underlying solid organ tumours or haematological malignancies</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Charlson index, primary source of infection, catheter related source of infection,  septic shock, </w:t>
            </w:r>
            <w:r>
              <w:rPr>
                <w:i/>
                <w:sz w:val="12"/>
                <w:szCs w:val="12"/>
              </w:rPr>
              <w:t>C. tropicalis</w:t>
            </w:r>
            <w:r>
              <w:rPr>
                <w:sz w:val="12"/>
                <w:szCs w:val="12"/>
              </w:rPr>
              <w:t>,  central venous catheter removal within 48 hours, adequate combined treatment within 48 hours</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i/>
                <w:sz w:val="12"/>
                <w:szCs w:val="12"/>
              </w:rPr>
              <w:t xml:space="preserve">Candida </w:t>
            </w:r>
            <w:r>
              <w:rPr>
                <w:sz w:val="12"/>
                <w:szCs w:val="12"/>
              </w:rPr>
              <w:t>spp.</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Low</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3.1</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27</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7</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The authors found that more than 1/4 of all </w:t>
            </w:r>
            <w:r>
              <w:rPr>
                <w:i/>
                <w:sz w:val="12"/>
                <w:szCs w:val="12"/>
              </w:rPr>
              <w:t xml:space="preserve">Candida </w:t>
            </w:r>
            <w:r>
              <w:rPr>
                <w:sz w:val="12"/>
                <w:szCs w:val="12"/>
              </w:rPr>
              <w:t>spp. isolates were non-susceptible to fluconazole, and that removal of the catheter and adequate antifungal treatment were associated with lower mortality.</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2016</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Clinical features and outcomes of Candidaemia in cancer patients: Results from Pakistan</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Raza, Zafar, Mahboob et al (158)</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311</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166</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Pakistan</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Cancer patients with a positive blood culture for </w:t>
            </w:r>
            <w:r>
              <w:rPr>
                <w:i/>
                <w:sz w:val="12"/>
                <w:szCs w:val="12"/>
              </w:rPr>
              <w:t xml:space="preserve">Candida </w:t>
            </w:r>
            <w:r>
              <w:rPr>
                <w:sz w:val="12"/>
                <w:szCs w:val="12"/>
              </w:rPr>
              <w:t>species between January 1995 and December 2013</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Time period (1996-2005, 2006-2009, 2010-2013), Age group (18-59 year, Younger than 18 years, 60 years or older), sex, haematological malignancy (Compared to solid tumours), </w:t>
            </w:r>
            <w:r>
              <w:rPr>
                <w:i/>
                <w:sz w:val="12"/>
                <w:szCs w:val="12"/>
              </w:rPr>
              <w:t>Candida albicans</w:t>
            </w:r>
            <w:r>
              <w:rPr>
                <w:sz w:val="12"/>
                <w:szCs w:val="12"/>
              </w:rPr>
              <w:t xml:space="preserve"> (Compared to non</w:t>
            </w:r>
            <w:r>
              <w:rPr>
                <w:i/>
                <w:sz w:val="12"/>
                <w:szCs w:val="12"/>
              </w:rPr>
              <w:t>-C.albicans</w:t>
            </w:r>
            <w:r>
              <w:rPr>
                <w:sz w:val="12"/>
                <w:szCs w:val="12"/>
              </w:rPr>
              <w:t xml:space="preserve"> or mixed), bacteraemia, shock, receiving chemotherapy, receiving total parenteral nutrition, receiving steroids, absolute neutrophile count 500 or more, duration of stay in </w:t>
            </w:r>
            <w:r>
              <w:rPr>
                <w:sz w:val="12"/>
                <w:szCs w:val="12"/>
              </w:rPr>
              <w:lastRenderedPageBreak/>
              <w:t>hospital, receiving Amphotericin B (Compared to those not receiving), empirically, after positive culture</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i/>
                <w:sz w:val="12"/>
                <w:szCs w:val="12"/>
              </w:rPr>
              <w:lastRenderedPageBreak/>
              <w:t xml:space="preserve">Candida </w:t>
            </w:r>
            <w:r>
              <w:rPr>
                <w:sz w:val="12"/>
                <w:szCs w:val="12"/>
              </w:rPr>
              <w:t>spp.</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Low</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No</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10.4</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16</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16</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The authors wrote that the model was developed through forward selection, but do not report a stop criterion. We were unable to find the number of deaths. The authors did not find an association between death and different </w:t>
            </w:r>
            <w:r>
              <w:rPr>
                <w:i/>
                <w:sz w:val="12"/>
                <w:szCs w:val="12"/>
              </w:rPr>
              <w:t xml:space="preserve">Candida </w:t>
            </w:r>
            <w:r>
              <w:rPr>
                <w:sz w:val="12"/>
                <w:szCs w:val="12"/>
              </w:rPr>
              <w:t>species.</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2017</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A fresh look at polymicrobial bloodstream infection in cancer patients</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Royo-Cebrecos, Gudiol, Ardanuy et al (113)</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194</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62</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Spain</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Consecutive episodes of primary bloodstream infections occurring in patients with cancer, including haematopoietic stem cell transplant recipients, from January 2006 to December 2015</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Sex, age, solid tumor, MASCC risk score&lt; 21, corticosteroid therapy, persistent bacteremia, respiratory source, septic Shock, malignancy-related complications</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Several bacteria and fungi, tested for resistance towards several antimicrobials</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Low</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6.9</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11</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9</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The authors used stepwise regression but also included clinically relevant variables in the final model regardless if they were significant or not in the univariate model. There is  another model in this article with more patients analysing risk factors for polymicrobial bloodstream infections, which we did not consider to be intrinsically resistant. In the mortality model, the authors did not find that multidrug-resistant bacteria factor met the criterion in the univariable analysis to be included in the multivariable model. </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2017</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Characteristics, aetiology, antimicrobial resistance and outcomes of bacteraemic cholangitis in patients with solid tumours: A prospective cohort study</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Royo-Cebrecos, Gudiol, Garcia et al (29)</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170</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45</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Spain</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All consecutive episodes of bacteraemic cholangitis occurring in patients with solid tumours from January 2006 to September 2015</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Sex, age, pancreatic tumour, biliary tumour, corticosteroid therapy, fever &gt;38C, malignancy-related complications</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Several bacteria, tested for resistance towards several antibiotics</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Low</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6.4</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10</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7</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The authors used stepwise regression but also included clinically relevant variables in the final model regardless if they were significant or not in the univariate model. The authors did </w:t>
            </w:r>
            <w:r>
              <w:rPr>
                <w:sz w:val="12"/>
                <w:szCs w:val="12"/>
              </w:rPr>
              <w:lastRenderedPageBreak/>
              <w:t>not find an association between multidrug-resistance and mortality, and do not include it in the final, multivariable model</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2017</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Clinical Impact of Colonization with Multidrug-Resistant Organisms on Outcome after Autologous Stem Cell Transplantation: A Retrospective Single-Center Study</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Scheich, Reinheimer, Brandt et al (47)</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184</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45</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Germany</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Patients admitted to a haematological and oncological department for auto-hæmatopoietic stem cell transplantation between January 2012 and October 2015, screened for multi drug resistant organisms</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multi drug resistant organism colonisation (MDRO), age &gt;55 yr, prior therapies &gt;2, ECOG</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MDRO</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Medium</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No</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11.3</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Indeterminable</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4.0</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The authors find an association between higher mortality and colonisation by multidrug-resistant organisms</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2018</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Bloodstream infections with gram-negative organisms and the impact of multidrug resistance in patients with hematological malignancies</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Scheich, Weber, Reinheimer et al (58)</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109</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25</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Germany</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Patients with haematological malignancies and bloodstream infection with Gram-negative rods between January 2008 and December 2016</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Sex, age &gt; 65 years, multidrug resistant gram negative bloodstream infections (BSI), nonfermenter BSI, ANC &lt; 500/μl duration until BSI (days), antibiotic prophylaxis, ICU admission, Charlson index &gt; 4 points</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Gram-negative bacteria, multidrug-resistance</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Low</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3.1</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18</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8</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The authors used stepwise regression but they also included sex factor in the final model. The authors found that both being infected by a multidrug-resistant Gram-negative bacterium or a non-fermenter is associated with higher mortality</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2018</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Prognosis of Acute Respiratory Distress Syndrome in Patients With Hematological Malignancies</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Seong, Lee, Hong et al (48)</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185</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106</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South Korea</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All adult patients admitted to the Intensive care unit with haematological malignancy and acute respiratory </w:t>
            </w:r>
            <w:r>
              <w:rPr>
                <w:sz w:val="12"/>
                <w:szCs w:val="12"/>
              </w:rPr>
              <w:lastRenderedPageBreak/>
              <w:t>distress syndrome between January 1, 2008, and December 31, 2015</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lastRenderedPageBreak/>
              <w:t xml:space="preserve">Initial low tidal volume ventilation, severe acute respiratory distress syndrome, carbapenem resistant gram negative bacteria (CR - GNB), age, underlying malignancies, status of disease, neutrophil count, platelet </w:t>
            </w:r>
            <w:r>
              <w:rPr>
                <w:sz w:val="12"/>
                <w:szCs w:val="12"/>
              </w:rPr>
              <w:lastRenderedPageBreak/>
              <w:t>count, SOFA score, prone positioning treatment, vasopressors treatment, renal replacement therapy,  gram negative bacteria, blood transfusion, pulmonary aspergillosis</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lastRenderedPageBreak/>
              <w:t>Several bacteria and fungi, tested for resistance towards several antimicrobials</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Medium</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8.8</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33</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12</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The authors used stepwise regression but also included clinically relevant variables in the final model regardless if they were significant or </w:t>
            </w:r>
            <w:r>
              <w:rPr>
                <w:sz w:val="12"/>
                <w:szCs w:val="12"/>
              </w:rPr>
              <w:lastRenderedPageBreak/>
              <w:t>not in the univariate. The authors found that the mortality of patients with haematological malignancies that are moved to the ICU with ARDS was associated with carbapenem-resistant Gram-negative bacteria</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2019</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Risk factors for mortality due to </w:t>
            </w:r>
            <w:r>
              <w:rPr>
                <w:i/>
                <w:sz w:val="12"/>
                <w:szCs w:val="12"/>
              </w:rPr>
              <w:t>Acinetobacter baumannii</w:t>
            </w:r>
            <w:r>
              <w:rPr>
                <w:sz w:val="12"/>
                <w:szCs w:val="12"/>
              </w:rPr>
              <w:t xml:space="preserve"> bacteremia in patients with hematological malignancies – a retrospective study</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Shargian-Alon, Gafter-Gvili, Ben-Zvi et al (78)</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46</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33</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Israel</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Hospitalised adult patients with either active haematological malignancy or past treatment for haematological malignancy in the preceding five years and Acinetobacter baumannii bacteremia between January 2010 and August 2018</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Appropriate empirical antibiotics within 48 h, SOFA score, ventilated at infection onset, urinary catheter at infection onset, duration of hospitalisation prior to bacteremia, absolute neutrophil count, creatinine level</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i/>
                <w:sz w:val="12"/>
                <w:szCs w:val="12"/>
              </w:rPr>
            </w:pPr>
            <w:r>
              <w:rPr>
                <w:i/>
                <w:sz w:val="12"/>
                <w:szCs w:val="12"/>
              </w:rPr>
              <w:t>Acinetobacter baumannii</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Low</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4.7</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25</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7</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The authors found that there was a much lower mortality associated with being put on appropriate empirical antibiotic therapy within 48 hours</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2020</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Colonization with multi-drug-resistant organisms negatively impacts survival in patients with non-small cell lung cancer</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Stratmann, Lacko, Ballo et al (30)</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295</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31</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Germany</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Patients diagnosed with stage 1-4 non-small cell lung cancer between 2012 and 2016 and screened for multi drug resistant organisms</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Multi drug resistant organism colonisation (MDRO), male gender, age at diagnosis, extensive diagnosis, histology: squamous cell carcinoma, histology: others, ECOG 1, ECOG 2, ECOG 3, ECOG 4, diabetes mellitus</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MDRO</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Low</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No</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2.8</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Indeterminable</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11</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The authors concluded that the patients who were colonised by MDROs had a poorer survival than patients without such an infection</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2020</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Inappropriate initial antimicrobial therapy for hematological malignancies patients with Gram‑negative bloodstream infections</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Tang, Wu, Cheng et al (55)</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361</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45</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China</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Patients admitted to three university-affiliated tertiary care hospitals from January 2010 to April 2015</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rFonts w:ascii="Arial Unicode MS" w:eastAsia="Arial Unicode MS" w:hAnsi="Arial Unicode MS" w:cs="Arial Unicode MS"/>
                <w:sz w:val="12"/>
                <w:szCs w:val="12"/>
              </w:rPr>
              <w:t>Age &gt; 60 years, acute respiratory failure, disease relapsed or uncontrolled, platelet  &lt; 10 × 103 mm−3, Pitt  score ≥ 4, 72-h IIAT</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Gram-negative bacteria, tested for resistance towards several antibiotics</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Medium</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Indeterminable</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7.5</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Indeterminable</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6</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The authors did not disclose how they selected the variables to be included in the multivariable model of mortality. The authors did not </w:t>
            </w:r>
            <w:r>
              <w:rPr>
                <w:sz w:val="12"/>
                <w:szCs w:val="12"/>
              </w:rPr>
              <w:lastRenderedPageBreak/>
              <w:t xml:space="preserve">find an association between intrinsically resistant pathogenic species and mortality, but found that inappropriate initial antimicrobial therapy was associated with higher mortality. </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2021</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Gram-Negative Bacteria Bloodstream Infections in Patients with Hematological Malignancies – The Impact of Pathogen Type and Patterns of Antibiotic Resistance: A Retrospective Cohort Study</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Tang, Xu, Xiao et al (56)</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835</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313</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China</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Patients aged &gt;16 years old with haematological malignancies and Gram negative bacteria-bloodstream infection, in 3 hospitals of Hunan province, from January 2010 to May 2018. </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rFonts w:ascii="Arial Unicode MS" w:eastAsia="Arial Unicode MS" w:hAnsi="Arial Unicode MS" w:cs="Arial Unicode MS"/>
                <w:sz w:val="12"/>
                <w:szCs w:val="12"/>
              </w:rPr>
              <w:t>Age &gt;60, sex, relapsed or uncontrolled malignancy, MASCC score&lt;21, urine tube, use of vasopressors, acute respiratory failure, renal insufficiency, prior antimicrobial exposure,  carbapenem resistant gram negative bacteria ,  non fermentative bacteria, inadequate antibiotic treatment, hemoglobin &lt;70g/Dl, platelet &lt;10×103mm−3, albumin &lt;30g/L, AST &gt;120U/L, total bilirubin &gt;34.2μmol/L, prothrombin time &gt;14s</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Gram-negative bacteria, carbapenem resistance</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Medium</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17.4</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18</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18</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The authors used stepwise regression but also included clinically relevant variables in the final model regardless if they were significant or not in the univariate. Authors highlighted that BSI caused by non-fermenting GNB, disease state, presence of acute respiratory failure, use of vasopressors, and inadequate antibiotic treatment were risk factors for a poor prognosis at 7 days.</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2016</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Bloodstream infections caused by </w:t>
            </w:r>
            <w:r>
              <w:rPr>
                <w:i/>
                <w:sz w:val="12"/>
                <w:szCs w:val="12"/>
              </w:rPr>
              <w:t>Klebsiella pneumoniae</w:t>
            </w:r>
            <w:r>
              <w:rPr>
                <w:sz w:val="12"/>
                <w:szCs w:val="12"/>
              </w:rPr>
              <w:t xml:space="preserve"> in onco-hematological patients: clinical impact of carbapenem resistance in a multicentre prospective survey</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Trecarichi, Pagano, Martino et al (97)</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278</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101</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Italy</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All episodes of bloodstream infections caused by </w:t>
            </w:r>
            <w:r>
              <w:rPr>
                <w:i/>
                <w:sz w:val="12"/>
                <w:szCs w:val="12"/>
              </w:rPr>
              <w:t xml:space="preserve">K. pneumoniae </w:t>
            </w:r>
            <w:r>
              <w:rPr>
                <w:sz w:val="12"/>
                <w:szCs w:val="12"/>
              </w:rPr>
              <w:t>that occurred in hospitalised haematological malignancy patients</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Age&gt;55 years old, ANC&lt;100/mmc, ANC&lt;500/mmc, acute myeloid leukaemia, non Hodgkin's lymphoma, Hodgkin's lymphoma, haematological disease newly diagnosed / relapsed after one remission, hematologic stem cell transplant HSCT, </w:t>
            </w:r>
            <w:r>
              <w:rPr>
                <w:sz w:val="12"/>
                <w:szCs w:val="12"/>
              </w:rPr>
              <w:lastRenderedPageBreak/>
              <w:t>autologous HSCT, septic shock, altered state of consciousness, acute renal failure, acute respiratory failure, acute hepatic failure, inadequate initial antimicrobial therapy, carbapenem resistant by Klebsiella pneumoniae</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i/>
                <w:sz w:val="12"/>
                <w:szCs w:val="12"/>
              </w:rPr>
              <w:lastRenderedPageBreak/>
              <w:t>Klebsiella pneumonia</w:t>
            </w:r>
            <w:r>
              <w:rPr>
                <w:sz w:val="12"/>
                <w:szCs w:val="12"/>
              </w:rPr>
              <w:t>, carbapenem-resistance</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Medium</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6.3</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31</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16</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Contains one model for carbapenem-susceptible and one model for carbapenem-resistant </w:t>
            </w:r>
            <w:r>
              <w:rPr>
                <w:i/>
                <w:sz w:val="12"/>
                <w:szCs w:val="12"/>
              </w:rPr>
              <w:t>K. pneumoniae</w:t>
            </w:r>
            <w:r>
              <w:rPr>
                <w:sz w:val="12"/>
                <w:szCs w:val="12"/>
              </w:rPr>
              <w:t xml:space="preserve"> infections. Finds higher mortality among patients </w:t>
            </w:r>
            <w:r>
              <w:rPr>
                <w:sz w:val="12"/>
                <w:szCs w:val="12"/>
              </w:rPr>
              <w:lastRenderedPageBreak/>
              <w:t>with a resistant infection than a susceptible infection.</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2021</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Clinical features and outcome of </w:t>
            </w:r>
            <w:r>
              <w:rPr>
                <w:i/>
                <w:sz w:val="12"/>
                <w:szCs w:val="12"/>
              </w:rPr>
              <w:t>Aeromonas sobria</w:t>
            </w:r>
            <w:r>
              <w:rPr>
                <w:sz w:val="12"/>
                <w:szCs w:val="12"/>
              </w:rPr>
              <w:t xml:space="preserve"> bacteremia in pediatric and adult patients with hematologic malignancies: A single-center retrospective study in Peru</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Valcarcel, De-la-Cruz-Ku, Malpica et al (105)</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37</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10</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Peru</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Adult and paediatric patients with hematologic diseases and </w:t>
            </w:r>
            <w:r>
              <w:rPr>
                <w:i/>
                <w:sz w:val="12"/>
                <w:szCs w:val="12"/>
              </w:rPr>
              <w:t xml:space="preserve">A. sobria </w:t>
            </w:r>
            <w:r>
              <w:rPr>
                <w:sz w:val="12"/>
                <w:szCs w:val="12"/>
              </w:rPr>
              <w:t>bacteremia hospitalised in the National institute of Neoplastic diseases from January 2000 to December 2017</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Age group, comorbidities, qSOFA score, type of bacteremia </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i/>
                <w:sz w:val="12"/>
                <w:szCs w:val="12"/>
              </w:rPr>
              <w:t>A. sobria</w:t>
            </w:r>
            <w:r>
              <w:rPr>
                <w:sz w:val="12"/>
                <w:szCs w:val="12"/>
              </w:rPr>
              <w:t xml:space="preserve"> </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Low</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No</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2.5</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4</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4</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The authors showed that organ failure and community acquired bacteremia increased the risk of mortality</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2018</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i/>
                <w:sz w:val="12"/>
                <w:szCs w:val="12"/>
              </w:rPr>
              <w:t xml:space="preserve">Stenotrophomonas maltophilia </w:t>
            </w:r>
            <w:r>
              <w:rPr>
                <w:sz w:val="12"/>
                <w:szCs w:val="12"/>
              </w:rPr>
              <w:t>bacteremia and pneumonia at a tertiary-care oncology center: a review of 16 years</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Velázquez-Acosta, Zarco-Márquez, Jiménez-Andrade et al (142)</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76</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38</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Mexico</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Patients aged &gt;18 years old with cancer hospitalised in Instituto Nacional de Cancerologia with</w:t>
            </w:r>
            <w:r>
              <w:rPr>
                <w:i/>
                <w:sz w:val="12"/>
                <w:szCs w:val="12"/>
              </w:rPr>
              <w:t xml:space="preserve"> S. maltophilia</w:t>
            </w:r>
            <w:r>
              <w:rPr>
                <w:sz w:val="12"/>
                <w:szCs w:val="12"/>
              </w:rPr>
              <w:t xml:space="preserve"> bloodstream infection or pneumonia, from January 2000 to 31 December 2016</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i/>
                <w:sz w:val="12"/>
                <w:szCs w:val="12"/>
              </w:rPr>
            </w:pPr>
            <w:r>
              <w:rPr>
                <w:sz w:val="12"/>
                <w:szCs w:val="12"/>
              </w:rPr>
              <w:t xml:space="preserve">Model 1 in BSI:  central venous catheter removal; Model 2 in pneumonia:   age &lt;65 years, received antibiotherapy with Sulfamethoxazole / trimethoprim, received appropriate treatment for </w:t>
            </w:r>
            <w:r>
              <w:rPr>
                <w:i/>
                <w:sz w:val="12"/>
                <w:szCs w:val="12"/>
              </w:rPr>
              <w:t xml:space="preserve">S. maltophilia </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i/>
                <w:sz w:val="12"/>
                <w:szCs w:val="12"/>
              </w:rPr>
              <w:t>S. maltophilia</w:t>
            </w:r>
            <w:r>
              <w:rPr>
                <w:sz w:val="12"/>
                <w:szCs w:val="12"/>
              </w:rPr>
              <w:t xml:space="preserve"> </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Medium</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12.7</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5</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3</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This study contains 2 mortality models: one for BSI 30 days mortality and one for pneumonia 30 days mortality. Numbers were extracted from the pneumonia mortality model. The authors showed that for patients with pneumonia by S. maltophilia, age&gt;65 and not having received an appropriate treatment were risk factors for higher mortality within 30 days.</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2015</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The ever-evolving landscape of candidaemia in patients with acute </w:t>
            </w:r>
            <w:r>
              <w:rPr>
                <w:sz w:val="12"/>
                <w:szCs w:val="12"/>
              </w:rPr>
              <w:lastRenderedPageBreak/>
              <w:t>leukaemia: non-susceptibility to caspofungin and multidrug resistance are associated with increased mortality</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Wang, Farmakiotis, Yang et al (103)</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67</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28</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USA</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rFonts w:ascii="Arial Unicode MS" w:eastAsia="Arial Unicode MS" w:hAnsi="Arial Unicode MS" w:cs="Arial Unicode MS"/>
                <w:sz w:val="12"/>
                <w:szCs w:val="12"/>
              </w:rPr>
              <w:t xml:space="preserve">Patients ≥18 years of age with Acute </w:t>
            </w:r>
            <w:r>
              <w:rPr>
                <w:rFonts w:ascii="Arial Unicode MS" w:eastAsia="Arial Unicode MS" w:hAnsi="Arial Unicode MS" w:cs="Arial Unicode MS"/>
                <w:sz w:val="12"/>
                <w:szCs w:val="12"/>
              </w:rPr>
              <w:lastRenderedPageBreak/>
              <w:t>myeloid leukaemia, Acute lymphoid leukaemia or myelodysplastic syndrome, with Candidemia from 1 January 2008 to 31 October 2012</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lastRenderedPageBreak/>
              <w:t xml:space="preserve">14 days mortality models 1 and 2 : age &gt;65 years old, intensive care unit stay, APACHE II score &gt;20, </w:t>
            </w:r>
            <w:r>
              <w:rPr>
                <w:sz w:val="12"/>
                <w:szCs w:val="12"/>
              </w:rPr>
              <w:lastRenderedPageBreak/>
              <w:t>mechanical ventilation, vasopressors, caspofungin non-susceptibility, multidrug resistance ; 30 days mortality models 1 and 2 : sex, age &gt;65 years old, ICU stay, APACHE II score &gt;20, mechanical ventilation, vasopressors, caspofungin non-susceptibility, multidrug resistance</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i/>
                <w:sz w:val="12"/>
                <w:szCs w:val="12"/>
              </w:rPr>
              <w:lastRenderedPageBreak/>
              <w:t xml:space="preserve">Candida </w:t>
            </w:r>
            <w:r>
              <w:rPr>
                <w:sz w:val="12"/>
                <w:szCs w:val="12"/>
              </w:rPr>
              <w:t>spp.</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Medium</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4.0</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7</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7</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There are four models displayed in the study. Numbers were </w:t>
            </w:r>
            <w:r>
              <w:rPr>
                <w:sz w:val="12"/>
                <w:szCs w:val="12"/>
              </w:rPr>
              <w:lastRenderedPageBreak/>
              <w:t xml:space="preserve">extracted from the 14 days mortality model 1: The authors showed, after multivariable analysis, association between 14 or 30 days mortality and </w:t>
            </w:r>
            <w:r>
              <w:rPr>
                <w:i/>
                <w:sz w:val="12"/>
                <w:szCs w:val="12"/>
              </w:rPr>
              <w:t xml:space="preserve">Candida </w:t>
            </w:r>
            <w:r>
              <w:rPr>
                <w:sz w:val="12"/>
                <w:szCs w:val="12"/>
              </w:rPr>
              <w:t xml:space="preserve">spp. BSI that were non-susceptible to caspofungin. However, no statistically significant association was found between mortality and removal of CVC. </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2020</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Infectious Complications in Patients With Multiple Myeloma After High-Dose Chemotherapy Followed by Autologous Stem CellTransplant: Nationwide Study of the Infectious Complications StudyGroup of the Polish Adult Leukemia Group</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Waszczuk-Gajda, Drozd-Sokołowska, Basak et al (49)</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336</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16</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Poland</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Patients with multiple myeloma having received autologous hematopoietic stem cell transplant during the 3 years period from 2012 to 2014, within one of 13 Polish transplant centres. </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Bacterial multi drug resistant infection, coexistence of fungal infection, clinically documented infection</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Several fungi and bacterial species, multidrug resistance</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Medium</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5.3</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9</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3</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The authors highlighted 3 fatal outcome risk factors: MDR infection, fungal coinfection, Clinically documented infection, to adapt infection control in transplants recipients, with small sample size (16 infection related deaths). </w:t>
            </w:r>
          </w:p>
        </w:tc>
      </w:tr>
      <w:tr w:rsidR="00AD2232" w:rsidTr="00A624EB">
        <w:tc>
          <w:tcPr>
            <w:tcW w:w="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2017</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Bacteraemia due to AmpC β-lactamase-producing </w:t>
            </w:r>
            <w:r>
              <w:rPr>
                <w:i/>
                <w:sz w:val="12"/>
                <w:szCs w:val="12"/>
              </w:rPr>
              <w:t>Escherichia coli</w:t>
            </w:r>
            <w:r>
              <w:rPr>
                <w:sz w:val="12"/>
                <w:szCs w:val="12"/>
              </w:rPr>
              <w:t xml:space="preserve"> in hospitalized cancer patients: risk factors, antibiotic therapy, and outcomes</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Zhang, Zhang, Li et al (150)</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248</w:t>
            </w:r>
          </w:p>
        </w:tc>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62</w:t>
            </w:r>
          </w:p>
        </w:tc>
        <w:tc>
          <w:tcPr>
            <w:tcW w:w="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China</w:t>
            </w:r>
          </w:p>
        </w:tc>
        <w:tc>
          <w:tcPr>
            <w:tcW w:w="1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Patients aged &gt;18 years old with solid or haematological tumour, with </w:t>
            </w:r>
            <w:r>
              <w:rPr>
                <w:i/>
                <w:sz w:val="12"/>
                <w:szCs w:val="12"/>
              </w:rPr>
              <w:t xml:space="preserve">E. coli </w:t>
            </w:r>
            <w:r>
              <w:rPr>
                <w:sz w:val="12"/>
                <w:szCs w:val="12"/>
              </w:rPr>
              <w:t>bacteremia between September 2012 and December 2015</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Abdominal infection, Urinary tract infection, unknown origin of infection, intensive care unit stay, invasive procedures, previous blood transfusion, cancer with metastasis, septic shock, organ failure, length of stay, timing of appropriate antibiotherapy</w:t>
            </w:r>
          </w:p>
        </w:tc>
        <w:tc>
          <w:tcPr>
            <w:tcW w:w="8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i/>
                <w:sz w:val="12"/>
                <w:szCs w:val="12"/>
              </w:rPr>
              <w:t>E. coli</w:t>
            </w:r>
            <w:r>
              <w:rPr>
                <w:sz w:val="12"/>
                <w:szCs w:val="12"/>
              </w:rPr>
              <w:t>, AMPc Beta-Lactamase positive or negative</w:t>
            </w:r>
          </w:p>
        </w:tc>
        <w:tc>
          <w:tcPr>
            <w:tcW w:w="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Low</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5.6</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29</w:t>
            </w:r>
          </w:p>
        </w:tc>
        <w:tc>
          <w:tcPr>
            <w:tcW w:w="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11</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The death model includes all bacteremias that were AMPc positive and negative but the study design excludes ESBL </w:t>
            </w:r>
            <w:r>
              <w:rPr>
                <w:i/>
                <w:sz w:val="12"/>
                <w:szCs w:val="12"/>
              </w:rPr>
              <w:t xml:space="preserve">E. coli </w:t>
            </w:r>
            <w:r>
              <w:rPr>
                <w:sz w:val="12"/>
                <w:szCs w:val="12"/>
              </w:rPr>
              <w:t xml:space="preserve">bacteremia. </w:t>
            </w:r>
          </w:p>
        </w:tc>
      </w:tr>
    </w:tbl>
    <w:p w:rsidR="00AD2232" w:rsidRDefault="00AD2232" w:rsidP="00AD2232">
      <w:pPr>
        <w:pStyle w:val="Heading1"/>
        <w:widowControl w:val="0"/>
        <w:spacing w:line="240" w:lineRule="auto"/>
      </w:pPr>
      <w:bookmarkStart w:id="5" w:name="_gegemyxusuns" w:colFirst="0" w:colLast="0"/>
      <w:bookmarkEnd w:id="5"/>
      <w:r>
        <w:lastRenderedPageBreak/>
        <w:t>Supplementary material 5</w:t>
      </w:r>
    </w:p>
    <w:p w:rsidR="00AD2232" w:rsidRDefault="00AD2232" w:rsidP="00AD2232"/>
    <w:p w:rsidR="00AD2232" w:rsidRDefault="00AD2232" w:rsidP="00AD2232">
      <w:pPr>
        <w:rPr>
          <w:b/>
        </w:rPr>
      </w:pPr>
      <w:r>
        <w:rPr>
          <w:b/>
        </w:rPr>
        <w:t xml:space="preserve">Table S5 - All included articles in the systematic review with both an infection outcome and a mortality outcome </w:t>
      </w:r>
    </w:p>
    <w:p w:rsidR="00AD2232" w:rsidRDefault="00AD2232" w:rsidP="00AD2232"/>
    <w:tbl>
      <w:tblPr>
        <w:tblW w:w="13957" w:type="dxa"/>
        <w:tblBorders>
          <w:top w:val="nil"/>
          <w:left w:val="nil"/>
          <w:bottom w:val="nil"/>
          <w:right w:val="nil"/>
          <w:insideH w:val="nil"/>
          <w:insideV w:val="nil"/>
        </w:tblBorders>
        <w:tblLayout w:type="fixed"/>
        <w:tblLook w:val="0600" w:firstRow="0" w:lastRow="0" w:firstColumn="0" w:lastColumn="0" w:noHBand="1" w:noVBand="1"/>
      </w:tblPr>
      <w:tblGrid>
        <w:gridCol w:w="527"/>
        <w:gridCol w:w="1419"/>
        <w:gridCol w:w="1140"/>
        <w:gridCol w:w="785"/>
        <w:gridCol w:w="785"/>
        <w:gridCol w:w="937"/>
        <w:gridCol w:w="1140"/>
        <w:gridCol w:w="1342"/>
        <w:gridCol w:w="880"/>
        <w:gridCol w:w="633"/>
        <w:gridCol w:w="848"/>
        <w:gridCol w:w="697"/>
        <w:gridCol w:w="968"/>
        <w:gridCol w:w="697"/>
        <w:gridCol w:w="1159"/>
      </w:tblGrid>
      <w:tr w:rsidR="00AD2232" w:rsidTr="00A624EB">
        <w:tc>
          <w:tcPr>
            <w:tcW w:w="526" w:type="dxa"/>
            <w:tcBorders>
              <w:top w:val="single" w:sz="4" w:space="0" w:color="000000"/>
              <w:left w:val="single" w:sz="4" w:space="0" w:color="000000"/>
              <w:bottom w:val="single" w:sz="8"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b/>
                <w:sz w:val="12"/>
                <w:szCs w:val="12"/>
              </w:rPr>
            </w:pPr>
            <w:r>
              <w:rPr>
                <w:b/>
                <w:sz w:val="12"/>
                <w:szCs w:val="12"/>
              </w:rPr>
              <w:t>Year</w:t>
            </w:r>
          </w:p>
        </w:tc>
        <w:tc>
          <w:tcPr>
            <w:tcW w:w="1417" w:type="dxa"/>
            <w:tcBorders>
              <w:top w:val="single" w:sz="4" w:space="0" w:color="000000"/>
              <w:left w:val="single" w:sz="4" w:space="0" w:color="000000"/>
              <w:bottom w:val="single" w:sz="8"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b/>
                <w:sz w:val="12"/>
                <w:szCs w:val="12"/>
              </w:rPr>
            </w:pPr>
            <w:r>
              <w:rPr>
                <w:b/>
                <w:sz w:val="12"/>
                <w:szCs w:val="12"/>
              </w:rPr>
              <w:t>Title</w:t>
            </w:r>
          </w:p>
        </w:tc>
        <w:tc>
          <w:tcPr>
            <w:tcW w:w="1139" w:type="dxa"/>
            <w:tcBorders>
              <w:top w:val="single" w:sz="4" w:space="0" w:color="000000"/>
              <w:left w:val="single" w:sz="4" w:space="0" w:color="000000"/>
              <w:bottom w:val="single" w:sz="8"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b/>
                <w:sz w:val="12"/>
                <w:szCs w:val="12"/>
              </w:rPr>
            </w:pPr>
            <w:r>
              <w:rPr>
                <w:b/>
                <w:sz w:val="12"/>
                <w:szCs w:val="12"/>
              </w:rPr>
              <w:t>Authors</w:t>
            </w:r>
          </w:p>
        </w:tc>
        <w:tc>
          <w:tcPr>
            <w:tcW w:w="785" w:type="dxa"/>
            <w:tcBorders>
              <w:top w:val="single" w:sz="4" w:space="0" w:color="000000"/>
              <w:left w:val="single" w:sz="4" w:space="0" w:color="000000"/>
              <w:bottom w:val="single" w:sz="8"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b/>
                <w:sz w:val="12"/>
                <w:szCs w:val="12"/>
              </w:rPr>
            </w:pPr>
            <w:r>
              <w:rPr>
                <w:b/>
                <w:sz w:val="12"/>
                <w:szCs w:val="12"/>
              </w:rPr>
              <w:t>Number of patients</w:t>
            </w:r>
          </w:p>
        </w:tc>
        <w:tc>
          <w:tcPr>
            <w:tcW w:w="785" w:type="dxa"/>
            <w:tcBorders>
              <w:top w:val="single" w:sz="4" w:space="0" w:color="000000"/>
              <w:left w:val="single" w:sz="4" w:space="0" w:color="000000"/>
              <w:bottom w:val="single" w:sz="8"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b/>
                <w:sz w:val="12"/>
                <w:szCs w:val="12"/>
              </w:rPr>
            </w:pPr>
            <w:r>
              <w:rPr>
                <w:b/>
                <w:sz w:val="12"/>
                <w:szCs w:val="12"/>
              </w:rPr>
              <w:t>Number of events in the final (and largest) model</w:t>
            </w:r>
          </w:p>
        </w:tc>
        <w:tc>
          <w:tcPr>
            <w:tcW w:w="937" w:type="dxa"/>
            <w:tcBorders>
              <w:top w:val="single" w:sz="4" w:space="0" w:color="000000"/>
              <w:left w:val="single" w:sz="4" w:space="0" w:color="000000"/>
              <w:bottom w:val="single" w:sz="8"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b/>
                <w:sz w:val="12"/>
                <w:szCs w:val="12"/>
              </w:rPr>
            </w:pPr>
            <w:r>
              <w:rPr>
                <w:b/>
                <w:sz w:val="12"/>
                <w:szCs w:val="12"/>
              </w:rPr>
              <w:t>Country/setting</w:t>
            </w:r>
          </w:p>
        </w:tc>
        <w:tc>
          <w:tcPr>
            <w:tcW w:w="1139" w:type="dxa"/>
            <w:tcBorders>
              <w:top w:val="single" w:sz="4" w:space="0" w:color="000000"/>
              <w:left w:val="single" w:sz="4" w:space="0" w:color="000000"/>
              <w:bottom w:val="single" w:sz="8"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b/>
                <w:sz w:val="12"/>
                <w:szCs w:val="12"/>
              </w:rPr>
            </w:pPr>
            <w:r>
              <w:rPr>
                <w:b/>
                <w:sz w:val="12"/>
                <w:szCs w:val="12"/>
              </w:rPr>
              <w:t>Patient population</w:t>
            </w:r>
          </w:p>
        </w:tc>
        <w:tc>
          <w:tcPr>
            <w:tcW w:w="1341" w:type="dxa"/>
            <w:tcBorders>
              <w:top w:val="single" w:sz="4" w:space="0" w:color="000000"/>
              <w:left w:val="single" w:sz="4" w:space="0" w:color="000000"/>
              <w:bottom w:val="single" w:sz="8"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b/>
                <w:sz w:val="12"/>
                <w:szCs w:val="12"/>
              </w:rPr>
            </w:pPr>
            <w:r>
              <w:rPr>
                <w:b/>
                <w:sz w:val="12"/>
                <w:szCs w:val="12"/>
              </w:rPr>
              <w:t>Factors included in the final model</w:t>
            </w:r>
          </w:p>
        </w:tc>
        <w:tc>
          <w:tcPr>
            <w:tcW w:w="880" w:type="dxa"/>
            <w:tcBorders>
              <w:top w:val="single" w:sz="4" w:space="0" w:color="000000"/>
              <w:left w:val="single" w:sz="4" w:space="0" w:color="000000"/>
              <w:bottom w:val="single" w:sz="8"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b/>
                <w:sz w:val="12"/>
                <w:szCs w:val="12"/>
              </w:rPr>
            </w:pPr>
            <w:r>
              <w:rPr>
                <w:b/>
                <w:sz w:val="12"/>
                <w:szCs w:val="12"/>
              </w:rPr>
              <w:t>Microbial aetiology and resistance</w:t>
            </w:r>
          </w:p>
        </w:tc>
        <w:tc>
          <w:tcPr>
            <w:tcW w:w="633" w:type="dxa"/>
            <w:tcBorders>
              <w:top w:val="single" w:sz="4" w:space="0" w:color="000000"/>
              <w:left w:val="single" w:sz="4" w:space="0" w:color="000000"/>
              <w:bottom w:val="single" w:sz="8"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b/>
                <w:sz w:val="12"/>
                <w:szCs w:val="12"/>
              </w:rPr>
            </w:pPr>
            <w:r>
              <w:rPr>
                <w:b/>
                <w:sz w:val="12"/>
                <w:szCs w:val="12"/>
              </w:rPr>
              <w:t>Risk of bias grading (NIH tool)</w:t>
            </w:r>
          </w:p>
        </w:tc>
        <w:tc>
          <w:tcPr>
            <w:tcW w:w="848" w:type="dxa"/>
            <w:tcBorders>
              <w:top w:val="single" w:sz="4" w:space="0" w:color="000000"/>
              <w:left w:val="single" w:sz="4" w:space="0" w:color="000000"/>
              <w:bottom w:val="single" w:sz="8"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b/>
                <w:sz w:val="12"/>
                <w:szCs w:val="12"/>
              </w:rPr>
            </w:pPr>
            <w:r>
              <w:rPr>
                <w:b/>
                <w:sz w:val="12"/>
                <w:szCs w:val="12"/>
              </w:rPr>
              <w:t>Bivariable screening/stepwise regression</w:t>
            </w:r>
          </w:p>
        </w:tc>
        <w:tc>
          <w:tcPr>
            <w:tcW w:w="697" w:type="dxa"/>
            <w:tcBorders>
              <w:top w:val="single" w:sz="4" w:space="0" w:color="000000"/>
              <w:left w:val="single" w:sz="4" w:space="0" w:color="000000"/>
              <w:bottom w:val="single" w:sz="8"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b/>
                <w:sz w:val="12"/>
                <w:szCs w:val="12"/>
              </w:rPr>
            </w:pPr>
            <w:r>
              <w:rPr>
                <w:b/>
                <w:sz w:val="12"/>
                <w:szCs w:val="12"/>
              </w:rPr>
              <w:t>Events per variable in the final (and largest) model</w:t>
            </w:r>
          </w:p>
        </w:tc>
        <w:tc>
          <w:tcPr>
            <w:tcW w:w="968" w:type="dxa"/>
            <w:tcBorders>
              <w:top w:val="single" w:sz="4" w:space="0" w:color="000000"/>
              <w:left w:val="single" w:sz="4" w:space="0" w:color="000000"/>
              <w:bottom w:val="single" w:sz="8"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b/>
                <w:sz w:val="12"/>
                <w:szCs w:val="12"/>
              </w:rPr>
            </w:pPr>
            <w:r>
              <w:rPr>
                <w:b/>
                <w:sz w:val="12"/>
                <w:szCs w:val="12"/>
              </w:rPr>
              <w:t xml:space="preserve">Number of variables included in the tested/screened/initial model  </w:t>
            </w:r>
          </w:p>
        </w:tc>
        <w:tc>
          <w:tcPr>
            <w:tcW w:w="697" w:type="dxa"/>
            <w:tcBorders>
              <w:top w:val="single" w:sz="4" w:space="0" w:color="000000"/>
              <w:left w:val="single" w:sz="4" w:space="0" w:color="000000"/>
              <w:bottom w:val="single" w:sz="8"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b/>
                <w:sz w:val="12"/>
                <w:szCs w:val="12"/>
              </w:rPr>
            </w:pPr>
            <w:r>
              <w:rPr>
                <w:b/>
                <w:sz w:val="12"/>
                <w:szCs w:val="12"/>
              </w:rPr>
              <w:t>Number of variables included in the final (and largest) model</w:t>
            </w:r>
          </w:p>
        </w:tc>
        <w:tc>
          <w:tcPr>
            <w:tcW w:w="1158" w:type="dxa"/>
            <w:tcBorders>
              <w:top w:val="single" w:sz="4" w:space="0" w:color="000000"/>
              <w:left w:val="single" w:sz="4" w:space="0" w:color="000000"/>
              <w:bottom w:val="single" w:sz="8" w:space="0" w:color="000000"/>
              <w:right w:val="single" w:sz="4"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b/>
                <w:sz w:val="12"/>
                <w:szCs w:val="12"/>
              </w:rPr>
            </w:pPr>
            <w:r>
              <w:rPr>
                <w:b/>
                <w:sz w:val="12"/>
                <w:szCs w:val="12"/>
              </w:rPr>
              <w:t>Comments</w:t>
            </w:r>
          </w:p>
        </w:tc>
      </w:tr>
      <w:tr w:rsidR="00AD2232" w:rsidTr="00A624EB">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2021</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The Impact of Modifying Empirical Antibiotic Therapy Based on Intestinal Colonization Status on Clinical Outcomes of Febrile Neutropenic Patients</w:t>
            </w:r>
          </w:p>
        </w:tc>
        <w:tc>
          <w:tcPr>
            <w:tcW w:w="1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Alrstom, Alsuliman, Daher et al (63)</w:t>
            </w: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201</w:t>
            </w: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68</w:t>
            </w:r>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Syria</w:t>
            </w:r>
          </w:p>
        </w:tc>
        <w:tc>
          <w:tcPr>
            <w:tcW w:w="1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Adults older than 18 years of age with haematological malignancies who received chemotherapy and developed febrile neutropenia</w:t>
            </w:r>
          </w:p>
        </w:tc>
        <w:tc>
          <w:tcPr>
            <w:tcW w:w="13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Infection model: age, gender, prior quinolone use, prior hospitalization during previous month ; Mortality model: age, sex, extended spectrum beta lactamase carriage, carbapenem resistant </w:t>
            </w:r>
            <w:r>
              <w:rPr>
                <w:i/>
                <w:sz w:val="12"/>
                <w:szCs w:val="12"/>
              </w:rPr>
              <w:t xml:space="preserve">Enterobacteriaceae </w:t>
            </w:r>
            <w:r>
              <w:rPr>
                <w:sz w:val="12"/>
                <w:szCs w:val="12"/>
              </w:rPr>
              <w:t>carriage</w:t>
            </w:r>
          </w:p>
        </w:tc>
        <w:tc>
          <w:tcPr>
            <w:tcW w:w="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i/>
                <w:sz w:val="12"/>
                <w:szCs w:val="12"/>
              </w:rPr>
            </w:pPr>
            <w:r>
              <w:rPr>
                <w:sz w:val="12"/>
                <w:szCs w:val="12"/>
              </w:rPr>
              <w:t xml:space="preserve">Extended-spectrum β-lactamase-producing </w:t>
            </w:r>
            <w:r>
              <w:rPr>
                <w:i/>
                <w:sz w:val="12"/>
                <w:szCs w:val="12"/>
              </w:rPr>
              <w:t xml:space="preserve">Eschericia coli </w:t>
            </w:r>
            <w:r>
              <w:rPr>
                <w:sz w:val="12"/>
                <w:szCs w:val="12"/>
              </w:rPr>
              <w:t xml:space="preserve">and Carbapenem-Resistant </w:t>
            </w:r>
            <w:r>
              <w:rPr>
                <w:i/>
                <w:sz w:val="12"/>
                <w:szCs w:val="12"/>
              </w:rPr>
              <w:t>Enterobacteriaceae</w:t>
            </w:r>
          </w:p>
        </w:tc>
        <w:tc>
          <w:tcPr>
            <w:tcW w:w="6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Medium</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17.0</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17</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4</w:t>
            </w:r>
          </w:p>
        </w:tc>
        <w:tc>
          <w:tcPr>
            <w:tcW w:w="11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The stepwise regression also includes the age and sex variables. The authors did not find that carriage of the two resistant microbes increases the risk of dying. Numbers are taken from the infection model.</w:t>
            </w:r>
          </w:p>
        </w:tc>
      </w:tr>
      <w:tr w:rsidR="00AD2232" w:rsidTr="00A624EB">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2018</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Bloodstream infection caused by </w:t>
            </w:r>
            <w:r>
              <w:rPr>
                <w:i/>
                <w:sz w:val="12"/>
                <w:szCs w:val="12"/>
              </w:rPr>
              <w:t>S.aureus</w:t>
            </w:r>
            <w:r>
              <w:rPr>
                <w:sz w:val="12"/>
                <w:szCs w:val="12"/>
              </w:rPr>
              <w:t xml:space="preserve"> in patients with cancer:a 10-year longitudinal single-center study</w:t>
            </w:r>
          </w:p>
        </w:tc>
        <w:tc>
          <w:tcPr>
            <w:tcW w:w="1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Bello-Chavolla, Bahena-Lopez, Garciadiego-Fosass et al (148)</w:t>
            </w: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450</w:t>
            </w: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92</w:t>
            </w:r>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Mexico</w:t>
            </w:r>
          </w:p>
        </w:tc>
        <w:tc>
          <w:tcPr>
            <w:tcW w:w="1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All positive, non-duplicate, blood cultures for S.aureus</w:t>
            </w:r>
          </w:p>
        </w:tc>
        <w:tc>
          <w:tcPr>
            <w:tcW w:w="13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Infection model: hematologic neoplasm, solid neoplasia, healthcare associated bloodstream infections (BSI), hospital acquired BSI, foci as healthcare associated pneumonia, central venous catheter (CVC), neutropenia, gram negative bacteria coinfection, gram positive bacteria coinfection, </w:t>
            </w:r>
            <w:r>
              <w:rPr>
                <w:sz w:val="12"/>
                <w:szCs w:val="12"/>
              </w:rPr>
              <w:lastRenderedPageBreak/>
              <w:t xml:space="preserve">inpatient management, specific anti SA treatment, CVC removal, days from infection to CVC removal, intensive care admission, septic shock, relapse after </w:t>
            </w:r>
            <w:r>
              <w:rPr>
                <w:i/>
                <w:sz w:val="12"/>
                <w:szCs w:val="12"/>
              </w:rPr>
              <w:t>S. aureus</w:t>
            </w:r>
            <w:r>
              <w:rPr>
                <w:sz w:val="12"/>
                <w:szCs w:val="12"/>
              </w:rPr>
              <w:t xml:space="preserve"> bacteremia. Mortality model: abdominal source, hematologic malignancy, Methicillin-resistant </w:t>
            </w:r>
            <w:r>
              <w:rPr>
                <w:i/>
                <w:sz w:val="12"/>
                <w:szCs w:val="12"/>
              </w:rPr>
              <w:t>Staphylococcus aureus</w:t>
            </w:r>
            <w:r>
              <w:rPr>
                <w:sz w:val="12"/>
                <w:szCs w:val="12"/>
              </w:rPr>
              <w:t xml:space="preserve"> (MRSA), glucose &gt; 140 mg/dL, catheter removal, anti-staph treatment &lt; 48 h, infectious endocarditis</w:t>
            </w:r>
          </w:p>
        </w:tc>
        <w:tc>
          <w:tcPr>
            <w:tcW w:w="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i/>
                <w:sz w:val="12"/>
                <w:szCs w:val="12"/>
              </w:rPr>
            </w:pPr>
            <w:r>
              <w:rPr>
                <w:sz w:val="12"/>
                <w:szCs w:val="12"/>
              </w:rPr>
              <w:lastRenderedPageBreak/>
              <w:t xml:space="preserve">Methicillin-resistant </w:t>
            </w:r>
            <w:r>
              <w:rPr>
                <w:i/>
                <w:sz w:val="12"/>
                <w:szCs w:val="12"/>
              </w:rPr>
              <w:t>Staphylococcus aureus</w:t>
            </w:r>
          </w:p>
        </w:tc>
        <w:tc>
          <w:tcPr>
            <w:tcW w:w="6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Medium</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5.8</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28</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16</w:t>
            </w:r>
          </w:p>
        </w:tc>
        <w:tc>
          <w:tcPr>
            <w:tcW w:w="11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Authors created a risk stratification based on the regression coefficients from the mortality model. The final model table can be found in supplementary material. The final model is also adjusted for CCI and glycemia &gt;140 mg/dL.  Numbers extracted from the infection </w:t>
            </w:r>
            <w:r>
              <w:rPr>
                <w:sz w:val="12"/>
                <w:szCs w:val="12"/>
              </w:rPr>
              <w:lastRenderedPageBreak/>
              <w:t>model of MRSA  infection in hematologic malignancies.</w:t>
            </w:r>
          </w:p>
        </w:tc>
      </w:tr>
      <w:tr w:rsidR="00AD2232" w:rsidTr="00A624EB">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2019</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Carbapenem versus Cefepime or Piperacillin-Tazobactam for Empiric Treatment of Bacteremia Due to Extended-Spectrum-β-Lactamase-Producing </w:t>
            </w:r>
            <w:r>
              <w:rPr>
                <w:i/>
                <w:sz w:val="12"/>
                <w:szCs w:val="12"/>
              </w:rPr>
              <w:t xml:space="preserve">Escherichia coli </w:t>
            </w:r>
            <w:r>
              <w:rPr>
                <w:sz w:val="12"/>
                <w:szCs w:val="12"/>
              </w:rPr>
              <w:t>in Patients with Hematologic Malignancy</w:t>
            </w:r>
          </w:p>
        </w:tc>
        <w:tc>
          <w:tcPr>
            <w:tcW w:w="1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Benanti, Brown, Shigle et al (99)</w:t>
            </w: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103</w:t>
            </w: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8</w:t>
            </w:r>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USA</w:t>
            </w:r>
          </w:p>
        </w:tc>
        <w:tc>
          <w:tcPr>
            <w:tcW w:w="1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Patients with hematologic malignancy and a first episode of mono-microbial extended spectrum beta lactamase-producing</w:t>
            </w:r>
            <w:r>
              <w:rPr>
                <w:i/>
                <w:sz w:val="12"/>
                <w:szCs w:val="12"/>
              </w:rPr>
              <w:t xml:space="preserve"> E. coli </w:t>
            </w:r>
            <w:r>
              <w:rPr>
                <w:sz w:val="12"/>
                <w:szCs w:val="12"/>
              </w:rPr>
              <w:t>bacteremia</w:t>
            </w:r>
          </w:p>
        </w:tc>
        <w:tc>
          <w:tcPr>
            <w:tcW w:w="13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Infection model: cefepime treatment, piperacillin-tazobactam treatment (all vs Carbapenem treatment), age. Mortality model: cefepime treatment, Pitt bacteremia score, intensive care unit residence</w:t>
            </w:r>
          </w:p>
        </w:tc>
        <w:tc>
          <w:tcPr>
            <w:tcW w:w="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i/>
                <w:sz w:val="12"/>
                <w:szCs w:val="12"/>
              </w:rPr>
            </w:pPr>
            <w:r>
              <w:rPr>
                <w:sz w:val="12"/>
                <w:szCs w:val="12"/>
              </w:rPr>
              <w:t xml:space="preserve">Extended-Spectrum-β-Lactamase-Producing </w:t>
            </w:r>
            <w:r>
              <w:rPr>
                <w:i/>
                <w:sz w:val="12"/>
                <w:szCs w:val="12"/>
              </w:rPr>
              <w:t>Escherichia coli</w:t>
            </w:r>
          </w:p>
        </w:tc>
        <w:tc>
          <w:tcPr>
            <w:tcW w:w="6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Medium</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4.0</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11</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w:t>
            </w:r>
          </w:p>
        </w:tc>
        <w:tc>
          <w:tcPr>
            <w:tcW w:w="11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The stepwise regression included the cefepime treatment variable. The infection outcome is persistent bacteraemia. Authors found that only Pitt bacteraemia score is associated with an increased mortality. Numbers were extracted from 14 days mortality model</w:t>
            </w:r>
          </w:p>
        </w:tc>
      </w:tr>
      <w:tr w:rsidR="00AD2232" w:rsidTr="00A624EB">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2019</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Associated factors and clinical outcomes of bloodstream infection due to extended-spectrum β-lactamase-producing</w:t>
            </w:r>
            <w:r>
              <w:rPr>
                <w:i/>
                <w:sz w:val="12"/>
                <w:szCs w:val="12"/>
              </w:rPr>
              <w:t xml:space="preserve"> Escherichia coli </w:t>
            </w:r>
            <w:r>
              <w:rPr>
                <w:sz w:val="12"/>
                <w:szCs w:val="12"/>
              </w:rPr>
              <w:t xml:space="preserve">and </w:t>
            </w:r>
            <w:r>
              <w:rPr>
                <w:i/>
                <w:sz w:val="12"/>
                <w:szCs w:val="12"/>
              </w:rPr>
              <w:t xml:space="preserve">Klebsiella pneumoniae </w:t>
            </w:r>
            <w:r>
              <w:rPr>
                <w:sz w:val="12"/>
                <w:szCs w:val="12"/>
              </w:rPr>
              <w:t xml:space="preserve">during febrile </w:t>
            </w:r>
            <w:r>
              <w:rPr>
                <w:sz w:val="12"/>
                <w:szCs w:val="12"/>
              </w:rPr>
              <w:lastRenderedPageBreak/>
              <w:t>neutropenia</w:t>
            </w:r>
          </w:p>
        </w:tc>
        <w:tc>
          <w:tcPr>
            <w:tcW w:w="1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Ben-Chetrit, Eldaim, Bar-Meir et al (122)</w:t>
            </w: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80</w:t>
            </w: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80</w:t>
            </w:r>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Israel</w:t>
            </w:r>
          </w:p>
        </w:tc>
        <w:tc>
          <w:tcPr>
            <w:tcW w:w="1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All patients with hematologic or oncologic (solid tumours) diseases who were diagnosed with extended spectrum beta lactamase  </w:t>
            </w:r>
            <w:r>
              <w:rPr>
                <w:sz w:val="12"/>
                <w:szCs w:val="12"/>
              </w:rPr>
              <w:lastRenderedPageBreak/>
              <w:t xml:space="preserve">(ESBL) -positive and ESBL-negative </w:t>
            </w:r>
            <w:r>
              <w:rPr>
                <w:i/>
                <w:sz w:val="12"/>
                <w:szCs w:val="12"/>
              </w:rPr>
              <w:t>Escherichia coli</w:t>
            </w:r>
            <w:r>
              <w:rPr>
                <w:sz w:val="12"/>
                <w:szCs w:val="12"/>
              </w:rPr>
              <w:t xml:space="preserve"> or </w:t>
            </w:r>
            <w:r>
              <w:rPr>
                <w:i/>
                <w:sz w:val="12"/>
                <w:szCs w:val="12"/>
              </w:rPr>
              <w:t>Klebsiella pneumoniae</w:t>
            </w:r>
            <w:r>
              <w:rPr>
                <w:sz w:val="12"/>
                <w:szCs w:val="12"/>
              </w:rPr>
              <w:t xml:space="preserve"> bacteremia during febrile neutropenia between January 2010 and October 2017</w:t>
            </w:r>
          </w:p>
        </w:tc>
        <w:tc>
          <w:tcPr>
            <w:tcW w:w="13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rFonts w:ascii="Arial Unicode MS" w:eastAsia="Arial Unicode MS" w:hAnsi="Arial Unicode MS" w:cs="Arial Unicode MS"/>
                <w:sz w:val="12"/>
                <w:szCs w:val="12"/>
              </w:rPr>
              <w:lastRenderedPageBreak/>
              <w:t xml:space="preserve">Infection model: pathogene type, fungal infection within 30 days, presence of central venous catheter long term during index culture, admission </w:t>
            </w:r>
            <w:r>
              <w:rPr>
                <w:rFonts w:ascii="Arial Unicode MS" w:eastAsia="Arial Unicode MS" w:hAnsi="Arial Unicode MS" w:cs="Arial Unicode MS"/>
                <w:sz w:val="12"/>
                <w:szCs w:val="12"/>
              </w:rPr>
              <w:lastRenderedPageBreak/>
              <w:t>days prior index culture, index culture &gt;48h, previous antimicrobial therapy (6 months). Mortality model: extended spectrum beta lactamase-positive bacteremia, appropriate empirical antimicrobial therapy, charlson comorbidity index (CCI) &gt;4, Pitt bacteremia score ≥4, underlying disease.</w:t>
            </w:r>
          </w:p>
        </w:tc>
        <w:tc>
          <w:tcPr>
            <w:tcW w:w="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i/>
                <w:sz w:val="12"/>
                <w:szCs w:val="12"/>
              </w:rPr>
            </w:pPr>
            <w:r>
              <w:rPr>
                <w:sz w:val="12"/>
                <w:szCs w:val="12"/>
              </w:rPr>
              <w:lastRenderedPageBreak/>
              <w:t xml:space="preserve">Extended-spectrum β-lactamase-producing </w:t>
            </w:r>
            <w:r>
              <w:rPr>
                <w:i/>
                <w:sz w:val="12"/>
                <w:szCs w:val="12"/>
              </w:rPr>
              <w:t xml:space="preserve">Escherichia coli </w:t>
            </w:r>
            <w:r>
              <w:rPr>
                <w:sz w:val="12"/>
                <w:szCs w:val="12"/>
              </w:rPr>
              <w:t xml:space="preserve">and </w:t>
            </w:r>
            <w:r>
              <w:rPr>
                <w:i/>
                <w:sz w:val="12"/>
                <w:szCs w:val="12"/>
              </w:rPr>
              <w:t>Klebsiella pneumoniae</w:t>
            </w:r>
          </w:p>
        </w:tc>
        <w:tc>
          <w:tcPr>
            <w:tcW w:w="6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Low</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16.0</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25</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5</w:t>
            </w:r>
          </w:p>
        </w:tc>
        <w:tc>
          <w:tcPr>
            <w:tcW w:w="11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Authors found that a central venous catheter and previous antibiotic use is associated with ESBL-positive Gram-negative bacteraemia, but </w:t>
            </w:r>
            <w:r>
              <w:rPr>
                <w:sz w:val="12"/>
                <w:szCs w:val="12"/>
              </w:rPr>
              <w:lastRenderedPageBreak/>
              <w:t>that the ESBL-positivity is not associated with an increase in mortality. Both models are the same size hence we chose the infection model to extract the data : extended-spectrumβ-lactamase(ESBL)-positive Gram-negative bacteremia.</w:t>
            </w:r>
          </w:p>
        </w:tc>
      </w:tr>
      <w:tr w:rsidR="00AD2232" w:rsidTr="00A624EB">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2018</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Risk, Outcomes, and Predictors of </w:t>
            </w:r>
            <w:r>
              <w:rPr>
                <w:i/>
                <w:sz w:val="12"/>
                <w:szCs w:val="12"/>
              </w:rPr>
              <w:t>Clostridium difficile</w:t>
            </w:r>
            <w:r>
              <w:rPr>
                <w:sz w:val="12"/>
                <w:szCs w:val="12"/>
              </w:rPr>
              <w:t xml:space="preserve"> Infection in Lymphoma: A Nationwide Study</w:t>
            </w:r>
          </w:p>
        </w:tc>
        <w:tc>
          <w:tcPr>
            <w:tcW w:w="1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Bhandari, Pandey, Dahal et al (75)</w:t>
            </w: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236312</w:t>
            </w: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19358</w:t>
            </w:r>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USA</w:t>
            </w:r>
          </w:p>
        </w:tc>
        <w:tc>
          <w:tcPr>
            <w:tcW w:w="1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All adult patients aged 18 years or older with the primary diagnosis of lymphoma between 2007 and 2011</w:t>
            </w:r>
          </w:p>
        </w:tc>
        <w:tc>
          <w:tcPr>
            <w:tcW w:w="13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Age, sex, race, Hodgkin lymphoma, hematologic stem cell transplant, chemotherapy, radiotherapy, gastro intestinal surgery, infection, GVHD, IBD, CCI, year of admission. Mortality: </w:t>
            </w:r>
            <w:r>
              <w:rPr>
                <w:i/>
                <w:sz w:val="12"/>
                <w:szCs w:val="12"/>
              </w:rPr>
              <w:t>C. difficile</w:t>
            </w:r>
            <w:r>
              <w:rPr>
                <w:sz w:val="12"/>
                <w:szCs w:val="12"/>
              </w:rPr>
              <w:t xml:space="preserve"> infection.</w:t>
            </w:r>
          </w:p>
        </w:tc>
        <w:tc>
          <w:tcPr>
            <w:tcW w:w="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i/>
                <w:sz w:val="12"/>
                <w:szCs w:val="12"/>
              </w:rPr>
            </w:pPr>
            <w:r>
              <w:rPr>
                <w:i/>
                <w:sz w:val="12"/>
                <w:szCs w:val="12"/>
              </w:rPr>
              <w:t>Clostridioides difficile</w:t>
            </w:r>
          </w:p>
        </w:tc>
        <w:tc>
          <w:tcPr>
            <w:tcW w:w="6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High</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No</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19358.0</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Indeterminable</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w:t>
            </w:r>
          </w:p>
        </w:tc>
        <w:tc>
          <w:tcPr>
            <w:tcW w:w="11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Authors found that HSCT, chemotherapy and surgery in the gut is associated with CDI, which increases the risk of death. Numbers were extracted from the mortality model. Most of the dataset is simulated using weights to create national estimates.</w:t>
            </w:r>
          </w:p>
        </w:tc>
      </w:tr>
      <w:tr w:rsidR="00AD2232" w:rsidTr="00A624EB">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2018</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Risk factors for bloodstream infections due to extended-spectrum β-lactamase producing </w:t>
            </w:r>
            <w:r>
              <w:rPr>
                <w:i/>
                <w:sz w:val="12"/>
                <w:szCs w:val="12"/>
              </w:rPr>
              <w:t xml:space="preserve">Enterobacteriaceae </w:t>
            </w:r>
            <w:r>
              <w:rPr>
                <w:sz w:val="12"/>
                <w:szCs w:val="12"/>
              </w:rPr>
              <w:t>in cancer patients</w:t>
            </w:r>
          </w:p>
        </w:tc>
        <w:tc>
          <w:tcPr>
            <w:tcW w:w="1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Ceken, Iskender, Gedik et al (123)</w:t>
            </w: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122</w:t>
            </w: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31</w:t>
            </w:r>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Turkey</w:t>
            </w:r>
          </w:p>
        </w:tc>
        <w:tc>
          <w:tcPr>
            <w:tcW w:w="1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Haematology/oncology patients with culture positive bloodstream infections with </w:t>
            </w:r>
            <w:r>
              <w:rPr>
                <w:i/>
                <w:sz w:val="12"/>
                <w:szCs w:val="12"/>
              </w:rPr>
              <w:t xml:space="preserve">E. coli </w:t>
            </w:r>
            <w:r>
              <w:rPr>
                <w:sz w:val="12"/>
                <w:szCs w:val="12"/>
              </w:rPr>
              <w:t xml:space="preserve">or </w:t>
            </w:r>
            <w:r>
              <w:rPr>
                <w:i/>
                <w:sz w:val="12"/>
                <w:szCs w:val="12"/>
              </w:rPr>
              <w:t>Klebsiella</w:t>
            </w:r>
            <w:r>
              <w:rPr>
                <w:sz w:val="12"/>
                <w:szCs w:val="12"/>
              </w:rPr>
              <w:t xml:space="preserve"> spp from January 2013 to December 2014</w:t>
            </w:r>
          </w:p>
        </w:tc>
        <w:tc>
          <w:tcPr>
            <w:tcW w:w="13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Infection model: Quinolone prophylaxis, piperacillin-tazobactam previous 90 days, carbapenem previous 90 days, GNB infection previous 3 months and total parenteral nutrition. Mortality model : neutropenia, duration of neutropenia before infection, inappropriate </w:t>
            </w:r>
            <w:r>
              <w:rPr>
                <w:sz w:val="12"/>
                <w:szCs w:val="12"/>
              </w:rPr>
              <w:lastRenderedPageBreak/>
              <w:t xml:space="preserve">treatment, delay for appropriate treatment,  complications (hypoxia, septic shock etc.). </w:t>
            </w:r>
          </w:p>
        </w:tc>
        <w:tc>
          <w:tcPr>
            <w:tcW w:w="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lastRenderedPageBreak/>
              <w:t xml:space="preserve">Extended-spectrum β-lactamase producing </w:t>
            </w:r>
            <w:r>
              <w:rPr>
                <w:i/>
                <w:sz w:val="12"/>
                <w:szCs w:val="12"/>
              </w:rPr>
              <w:t>Eschericia coli</w:t>
            </w:r>
            <w:r>
              <w:rPr>
                <w:sz w:val="12"/>
                <w:szCs w:val="12"/>
              </w:rPr>
              <w:t xml:space="preserve"> and </w:t>
            </w:r>
            <w:r>
              <w:rPr>
                <w:i/>
                <w:sz w:val="12"/>
                <w:szCs w:val="12"/>
              </w:rPr>
              <w:t>Klebsiella</w:t>
            </w:r>
            <w:r>
              <w:rPr>
                <w:sz w:val="12"/>
                <w:szCs w:val="12"/>
              </w:rPr>
              <w:t xml:space="preserve"> spp.</w:t>
            </w:r>
          </w:p>
        </w:tc>
        <w:tc>
          <w:tcPr>
            <w:tcW w:w="6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Medium</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10.3</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4</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3</w:t>
            </w:r>
          </w:p>
        </w:tc>
        <w:tc>
          <w:tcPr>
            <w:tcW w:w="11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It is not clear whether the authors used p&lt;0.05 to include the variables in the multivariable models. Numbers were extracted from the 30 days mortality model. For the infection model, authors found out that quinolone prophylaxis, total parenteral nutrition, </w:t>
            </w:r>
            <w:r>
              <w:rPr>
                <w:sz w:val="12"/>
                <w:szCs w:val="12"/>
              </w:rPr>
              <w:lastRenderedPageBreak/>
              <w:t>piperacillin or carbapenem for the previous 90 days, or previous infection with GNB previous 90 days were risk factors to develop ESBL-P BSIs. Authors found that two factors were associated with an increased mortality in BSI cancer patients - prolonged neutropenia and complications.</w:t>
            </w:r>
          </w:p>
        </w:tc>
      </w:tr>
      <w:tr w:rsidR="00AD2232" w:rsidTr="00A624EB">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2017</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Poorer outcomes among cancer patients diagnosed with </w:t>
            </w:r>
            <w:r>
              <w:rPr>
                <w:i/>
                <w:sz w:val="12"/>
                <w:szCs w:val="12"/>
              </w:rPr>
              <w:t>Clostridium difficile</w:t>
            </w:r>
            <w:r>
              <w:rPr>
                <w:sz w:val="12"/>
                <w:szCs w:val="12"/>
              </w:rPr>
              <w:t xml:space="preserve"> infections in United States community hospitals</w:t>
            </w:r>
          </w:p>
        </w:tc>
        <w:tc>
          <w:tcPr>
            <w:tcW w:w="1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Delgado, Reveles, Cabello et al (134)</w:t>
            </w: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30244426</w:t>
            </w: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Indeterminable</w:t>
            </w:r>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USA</w:t>
            </w:r>
          </w:p>
        </w:tc>
        <w:tc>
          <w:tcPr>
            <w:tcW w:w="1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rFonts w:ascii="Arial Unicode MS" w:eastAsia="Arial Unicode MS" w:hAnsi="Arial Unicode MS" w:cs="Arial Unicode MS"/>
                <w:sz w:val="12"/>
                <w:szCs w:val="12"/>
              </w:rPr>
              <w:t>Patients ≥18 years old with a principal or secondary ICD-9-CM code (discharge diagnosis of cancer)  obtained from the U.S. National Hospital Discharge Surveys from 2001 to 2010</w:t>
            </w:r>
          </w:p>
        </w:tc>
        <w:tc>
          <w:tcPr>
            <w:tcW w:w="13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Indeterminable</w:t>
            </w:r>
          </w:p>
        </w:tc>
        <w:tc>
          <w:tcPr>
            <w:tcW w:w="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i/>
                <w:sz w:val="12"/>
                <w:szCs w:val="12"/>
              </w:rPr>
            </w:pPr>
            <w:r>
              <w:rPr>
                <w:i/>
                <w:sz w:val="12"/>
                <w:szCs w:val="12"/>
              </w:rPr>
              <w:t>Clostridioides difficile</w:t>
            </w:r>
          </w:p>
        </w:tc>
        <w:tc>
          <w:tcPr>
            <w:tcW w:w="6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High</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Indeterminable</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Indeterminable</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Indeterminable</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Indeterminable</w:t>
            </w:r>
          </w:p>
        </w:tc>
        <w:tc>
          <w:tcPr>
            <w:tcW w:w="11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Authors found that CDI significantly increased the risk for mortality and prolonged hospital stays among cancer patients. But overall the authors do not give any details about the model which was computed here.</w:t>
            </w:r>
          </w:p>
        </w:tc>
      </w:tr>
      <w:tr w:rsidR="00AD2232" w:rsidTr="00A624EB">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2018</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Role of Lock Therapy for Long-Term Catheter-Related Infections by Multidrug-Resistant Bacteria</w:t>
            </w:r>
          </w:p>
        </w:tc>
        <w:tc>
          <w:tcPr>
            <w:tcW w:w="1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Freire, Pierotti, Zerati et al (108)</w:t>
            </w: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212</w:t>
            </w: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75</w:t>
            </w:r>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Brazil</w:t>
            </w:r>
          </w:p>
        </w:tc>
        <w:tc>
          <w:tcPr>
            <w:tcW w:w="1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All long-term central venous catheter (LTCVC)-associated infections diagnosed at the a cancer institute between January 2009 and December 2016</w:t>
            </w:r>
          </w:p>
        </w:tc>
        <w:tc>
          <w:tcPr>
            <w:tcW w:w="13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Haematological malignancies, type of CT last 3 months,  palliative care, ICU admission, hemodynamic instability, SOFA score, CVC duration, </w:t>
            </w:r>
            <w:r>
              <w:rPr>
                <w:i/>
                <w:sz w:val="12"/>
                <w:szCs w:val="12"/>
              </w:rPr>
              <w:t>A.baumanii</w:t>
            </w:r>
            <w:r>
              <w:rPr>
                <w:sz w:val="12"/>
                <w:szCs w:val="12"/>
              </w:rPr>
              <w:t>, polymicrobial infection, Nadir WBC count, adherence to protocol, antibiotic lock therapy</w:t>
            </w:r>
          </w:p>
        </w:tc>
        <w:tc>
          <w:tcPr>
            <w:tcW w:w="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Several bacteria and fungi, tested for resistance towards several antibiotics</w:t>
            </w:r>
          </w:p>
        </w:tc>
        <w:tc>
          <w:tcPr>
            <w:tcW w:w="6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Low</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6.3</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28</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12</w:t>
            </w:r>
          </w:p>
        </w:tc>
        <w:tc>
          <w:tcPr>
            <w:tcW w:w="11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Model of relapse and mortality model. Numbers were extracted from the treatment failure or relapse model. The authors found that ALT is a protective factor for relapse risk and that there is an increased hazard of death when the patient is infected by multidrug-resistant bacteria, but that antibiotic </w:t>
            </w:r>
            <w:r>
              <w:rPr>
                <w:sz w:val="12"/>
                <w:szCs w:val="12"/>
              </w:rPr>
              <w:lastRenderedPageBreak/>
              <w:t>lock therapy is associated with a decrease in death.</w:t>
            </w:r>
          </w:p>
        </w:tc>
      </w:tr>
      <w:tr w:rsidR="00AD2232" w:rsidTr="00A624EB">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2018</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Gut Colonization with Carbapenem-resistant Enterobacteriaceae Adversely Impacts</w:t>
            </w:r>
          </w:p>
          <w:p w:rsidR="00AD2232" w:rsidRDefault="00AD2232" w:rsidP="00A624EB">
            <w:pPr>
              <w:widowControl w:val="0"/>
              <w:pBdr>
                <w:top w:val="nil"/>
                <w:left w:val="nil"/>
                <w:bottom w:val="nil"/>
                <w:right w:val="nil"/>
                <w:between w:val="nil"/>
              </w:pBdr>
              <w:rPr>
                <w:sz w:val="12"/>
                <w:szCs w:val="12"/>
              </w:rPr>
            </w:pPr>
            <w:r>
              <w:rPr>
                <w:sz w:val="12"/>
                <w:szCs w:val="12"/>
              </w:rPr>
              <w:t>the Outcome in Patients with Hematological Malignancies: Results of A Prospective</w:t>
            </w:r>
          </w:p>
          <w:p w:rsidR="00AD2232" w:rsidRDefault="00AD2232" w:rsidP="00A624EB">
            <w:pPr>
              <w:widowControl w:val="0"/>
              <w:pBdr>
                <w:top w:val="nil"/>
                <w:left w:val="nil"/>
                <w:bottom w:val="nil"/>
                <w:right w:val="nil"/>
                <w:between w:val="nil"/>
              </w:pBdr>
              <w:rPr>
                <w:sz w:val="12"/>
                <w:szCs w:val="12"/>
              </w:rPr>
            </w:pPr>
            <w:r>
              <w:rPr>
                <w:sz w:val="12"/>
                <w:szCs w:val="12"/>
              </w:rPr>
              <w:t>Surveillance Study</w:t>
            </w:r>
          </w:p>
        </w:tc>
        <w:tc>
          <w:tcPr>
            <w:tcW w:w="1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Jaiswal, Gupta, Kumar et al (64)</w:t>
            </w: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225</w:t>
            </w: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48</w:t>
            </w:r>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India</w:t>
            </w:r>
          </w:p>
        </w:tc>
        <w:tc>
          <w:tcPr>
            <w:tcW w:w="1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Patients with newly diagnosed haematological malignancy admitted from October 2013 to January 2016</w:t>
            </w:r>
          </w:p>
        </w:tc>
        <w:tc>
          <w:tcPr>
            <w:tcW w:w="13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Age, gender, acute leukaemia, acute myeloid leukaemia, Charlson comorbidity  index, performance status</w:t>
            </w:r>
          </w:p>
        </w:tc>
        <w:tc>
          <w:tcPr>
            <w:tcW w:w="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i/>
                <w:sz w:val="12"/>
                <w:szCs w:val="12"/>
              </w:rPr>
              <w:t>Enterobacteriaceae</w:t>
            </w:r>
            <w:r>
              <w:rPr>
                <w:sz w:val="12"/>
                <w:szCs w:val="12"/>
              </w:rPr>
              <w:t>, carbapenem-resistance</w:t>
            </w:r>
          </w:p>
        </w:tc>
        <w:tc>
          <w:tcPr>
            <w:tcW w:w="6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Low</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No</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8.0</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6</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6</w:t>
            </w:r>
          </w:p>
        </w:tc>
        <w:tc>
          <w:tcPr>
            <w:tcW w:w="11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The authors concluded that there is an association between having acute leukaemia and being at risk of both contracting and dying to a CRE infection. Numbers were extracted from the model for risk to be colonised to CRE before hospital admission. </w:t>
            </w:r>
          </w:p>
        </w:tc>
      </w:tr>
      <w:tr w:rsidR="00AD2232" w:rsidTr="00A624EB">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2015</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Outcomes of Clostridium difficile Infection in Hospitalized Leukemia Patients: A Nationwide Analysis</w:t>
            </w:r>
          </w:p>
        </w:tc>
        <w:tc>
          <w:tcPr>
            <w:tcW w:w="1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Luo, Greenberg, Stone (76)</w:t>
            </w: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1243107</w:t>
            </w: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95355</w:t>
            </w:r>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USA</w:t>
            </w:r>
          </w:p>
        </w:tc>
        <w:tc>
          <w:tcPr>
            <w:tcW w:w="1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rFonts w:ascii="Arial Unicode MS" w:eastAsia="Arial Unicode MS" w:hAnsi="Arial Unicode MS" w:cs="Arial Unicode MS"/>
                <w:sz w:val="12"/>
                <w:szCs w:val="12"/>
              </w:rPr>
              <w:t>Adults, aged ≥18 years, with a primary diagnosis code for leukaemia</w:t>
            </w:r>
          </w:p>
        </w:tc>
        <w:tc>
          <w:tcPr>
            <w:tcW w:w="13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rFonts w:ascii="Arial Unicode MS" w:eastAsia="Arial Unicode MS" w:hAnsi="Arial Unicode MS" w:cs="Arial Unicode MS"/>
                <w:sz w:val="12"/>
                <w:szCs w:val="12"/>
              </w:rPr>
              <w:t xml:space="preserve">Infection model: age, gender, race (Caucasian, Black, Hispanic, Asian/Pacific Islander, Native American), length of stay (days: 2, 3–5, 6–10, 11–15, ≥16), hospital teaching status, leukaemia type, complications (several), Charlson index (0, 1, 2, 3, 4, &gt;5). Mortality model: age &lt;65, gender, race, Charlson index score, teaching status sof hospital, the presence of complications or comorbidities (eg, hypertension, diabetes,pneumonia, etc.), and the performance of bone </w:t>
            </w:r>
            <w:r>
              <w:rPr>
                <w:rFonts w:ascii="Arial Unicode MS" w:eastAsia="Arial Unicode MS" w:hAnsi="Arial Unicode MS" w:cs="Arial Unicode MS"/>
                <w:sz w:val="12"/>
                <w:szCs w:val="12"/>
              </w:rPr>
              <w:lastRenderedPageBreak/>
              <w:t>marrow vs stem cell transplant during hospitalisation.</w:t>
            </w:r>
          </w:p>
        </w:tc>
        <w:tc>
          <w:tcPr>
            <w:tcW w:w="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i/>
                <w:sz w:val="12"/>
                <w:szCs w:val="12"/>
              </w:rPr>
            </w:pPr>
            <w:r>
              <w:rPr>
                <w:i/>
                <w:sz w:val="12"/>
                <w:szCs w:val="12"/>
              </w:rPr>
              <w:lastRenderedPageBreak/>
              <w:t>Clostridioides difficile</w:t>
            </w:r>
          </w:p>
        </w:tc>
        <w:tc>
          <w:tcPr>
            <w:tcW w:w="6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High</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No</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13622.1</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7</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7</w:t>
            </w:r>
          </w:p>
        </w:tc>
        <w:tc>
          <w:tcPr>
            <w:tcW w:w="11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The authors found a number of demographic or clinical associations with CDI, and that CDI was also associated with mortality. It is not reported how much of the dataset is individual data or projections based on weights. Numbers were extracted from the mortality model because no details are given concerning the other infection model. </w:t>
            </w:r>
          </w:p>
        </w:tc>
      </w:tr>
      <w:tr w:rsidR="00AD2232" w:rsidTr="00A624EB">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2017</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Carbapenem-resistant </w:t>
            </w:r>
            <w:r>
              <w:rPr>
                <w:i/>
                <w:sz w:val="12"/>
                <w:szCs w:val="12"/>
              </w:rPr>
              <w:t>Klebsiella pneumoniae</w:t>
            </w:r>
            <w:r>
              <w:rPr>
                <w:sz w:val="12"/>
                <w:szCs w:val="12"/>
              </w:rPr>
              <w:t xml:space="preserve"> in high-risk haematological patients: factors favouring spread, risk factors and outcome of carbapenem-resistant </w:t>
            </w:r>
            <w:r>
              <w:rPr>
                <w:i/>
                <w:sz w:val="12"/>
                <w:szCs w:val="12"/>
              </w:rPr>
              <w:t>Klebsiella pneumoniae</w:t>
            </w:r>
            <w:r>
              <w:rPr>
                <w:sz w:val="12"/>
                <w:szCs w:val="12"/>
              </w:rPr>
              <w:t xml:space="preserve"> bacteremias</w:t>
            </w:r>
          </w:p>
        </w:tc>
        <w:tc>
          <w:tcPr>
            <w:tcW w:w="1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Micozzi, Gentile, Minotti et al (98)</w:t>
            </w: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19</w:t>
            </w: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10</w:t>
            </w:r>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Italy</w:t>
            </w:r>
          </w:p>
        </w:tc>
        <w:tc>
          <w:tcPr>
            <w:tcW w:w="1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All patients with haematological malignancies infected or  colonised  with  carbapenem resistant </w:t>
            </w:r>
            <w:r>
              <w:rPr>
                <w:i/>
                <w:sz w:val="12"/>
                <w:szCs w:val="12"/>
              </w:rPr>
              <w:t>K. pneumoniae</w:t>
            </w:r>
            <w:r>
              <w:rPr>
                <w:sz w:val="12"/>
                <w:szCs w:val="12"/>
              </w:rPr>
              <w:t xml:space="preserve"> (CRKP),  hospitalised  between  24 February 2012 and 31 May 2013</w:t>
            </w:r>
          </w:p>
        </w:tc>
        <w:tc>
          <w:tcPr>
            <w:tcW w:w="13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Infection model: underlying disease, age, gender, intensive chemotherapy,  &gt;= 7 days colonised by carbapenem resistant </w:t>
            </w:r>
            <w:r>
              <w:rPr>
                <w:i/>
                <w:sz w:val="12"/>
                <w:szCs w:val="12"/>
              </w:rPr>
              <w:t>K. pneumoniae</w:t>
            </w:r>
            <w:r>
              <w:rPr>
                <w:sz w:val="12"/>
                <w:szCs w:val="12"/>
              </w:rPr>
              <w:t xml:space="preserve">. Mortality model 1: </w:t>
            </w:r>
            <w:r>
              <w:rPr>
                <w:i/>
                <w:sz w:val="12"/>
                <w:szCs w:val="12"/>
              </w:rPr>
              <w:t xml:space="preserve">Klebsiella </w:t>
            </w:r>
            <w:r>
              <w:rPr>
                <w:sz w:val="12"/>
                <w:szCs w:val="12"/>
              </w:rPr>
              <w:t>producing carbapenemase-</w:t>
            </w:r>
            <w:r>
              <w:rPr>
                <w:i/>
                <w:sz w:val="12"/>
                <w:szCs w:val="12"/>
              </w:rPr>
              <w:t>K.pneumoniae</w:t>
            </w:r>
            <w:r>
              <w:rPr>
                <w:sz w:val="12"/>
                <w:szCs w:val="12"/>
              </w:rPr>
              <w:t xml:space="preserve"> bloodstream infection developing during inactive antibiotic  treatment. Mortality model 2 and 3: initial adequate therapy, breakthrough bacteremia occurrence within 48 h of ongoing antibiotics, intensive Chemotherapy.</w:t>
            </w:r>
          </w:p>
        </w:tc>
        <w:tc>
          <w:tcPr>
            <w:tcW w:w="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i/>
                <w:sz w:val="12"/>
                <w:szCs w:val="12"/>
              </w:rPr>
              <w:t>Klebsiella pneumoniae</w:t>
            </w:r>
            <w:r>
              <w:rPr>
                <w:sz w:val="12"/>
                <w:szCs w:val="12"/>
              </w:rPr>
              <w:t>, carbapenem-resistance</w:t>
            </w:r>
          </w:p>
        </w:tc>
        <w:tc>
          <w:tcPr>
            <w:tcW w:w="6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Low</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3.3</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19</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3</w:t>
            </w:r>
          </w:p>
        </w:tc>
        <w:tc>
          <w:tcPr>
            <w:tcW w:w="11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The infection outcome is bacteraemia. The authors found an association between AML and CRKP bacteraemia, and further that there was an association between survival and initial adequate therapy. Data was extracted from the final mortality model.</w:t>
            </w:r>
          </w:p>
        </w:tc>
      </w:tr>
      <w:tr w:rsidR="00AD2232" w:rsidTr="00A624EB">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2015</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Bacteraemia caused by </w:t>
            </w:r>
            <w:r>
              <w:rPr>
                <w:i/>
                <w:sz w:val="12"/>
                <w:szCs w:val="12"/>
              </w:rPr>
              <w:t>Escherichia coli</w:t>
            </w:r>
            <w:r>
              <w:rPr>
                <w:sz w:val="12"/>
                <w:szCs w:val="12"/>
              </w:rPr>
              <w:t xml:space="preserve"> in cancer patients at a specialist center in Pakistan</w:t>
            </w:r>
          </w:p>
        </w:tc>
        <w:tc>
          <w:tcPr>
            <w:tcW w:w="1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Parveen, Sultan, Raza et al (151)</w:t>
            </w: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227</w:t>
            </w: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80</w:t>
            </w:r>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Pakistan</w:t>
            </w:r>
          </w:p>
        </w:tc>
        <w:tc>
          <w:tcPr>
            <w:tcW w:w="1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Cancer patients with </w:t>
            </w:r>
            <w:r>
              <w:rPr>
                <w:i/>
                <w:sz w:val="12"/>
                <w:szCs w:val="12"/>
              </w:rPr>
              <w:t xml:space="preserve">E.coli </w:t>
            </w:r>
            <w:r>
              <w:rPr>
                <w:sz w:val="12"/>
                <w:szCs w:val="12"/>
              </w:rPr>
              <w:t xml:space="preserve">bacteraemia during the 12 months from December 2012 to November 2013. </w:t>
            </w:r>
          </w:p>
        </w:tc>
        <w:tc>
          <w:tcPr>
            <w:tcW w:w="13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Infection model: sex, age less than 18 years, haematological malignancy, hospitalization within 30 days prior to infection, intensive care unit admission, Charlson score, central venous catheter use, previous chemotherapy within 30 days, previous surgery within 30 days, previous radiation within 30 days, absolute neutrophil count  (ANC)less than 100 cells/mm3, use of quinolones within 90 days of index </w:t>
            </w:r>
            <w:r>
              <w:rPr>
                <w:sz w:val="12"/>
                <w:szCs w:val="12"/>
              </w:rPr>
              <w:lastRenderedPageBreak/>
              <w:t xml:space="preserve">sampling, use of third generation cephalosporins within 90 days of index sampling, use of Piperacilin/Tazobactam within 90 days of index sampling, use of carbapenems within 90 days of index sampling. Mortality model: sex, age less than 18 years, haematological malignancy, hospitalisation within 30 days prior to infection, admission to intensive care unit, previous chemotherapy within 30 days, previous surgery within 30 days, previous radiation within 30 days, ANC less than 100 cells/mm³, Charlson score, multi drug resistant </w:t>
            </w:r>
            <w:r>
              <w:rPr>
                <w:i/>
                <w:sz w:val="12"/>
                <w:szCs w:val="12"/>
              </w:rPr>
              <w:t>E.coli</w:t>
            </w:r>
            <w:r>
              <w:rPr>
                <w:sz w:val="12"/>
                <w:szCs w:val="12"/>
              </w:rPr>
              <w:t>, inappropriate empiric antibiotic therapy.</w:t>
            </w:r>
          </w:p>
        </w:tc>
        <w:tc>
          <w:tcPr>
            <w:tcW w:w="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i/>
                <w:sz w:val="12"/>
                <w:szCs w:val="12"/>
              </w:rPr>
              <w:lastRenderedPageBreak/>
              <w:t>Escherichia coli</w:t>
            </w:r>
            <w:r>
              <w:rPr>
                <w:sz w:val="12"/>
                <w:szCs w:val="12"/>
              </w:rPr>
              <w:t>, multidrug-resistant</w:t>
            </w:r>
          </w:p>
        </w:tc>
        <w:tc>
          <w:tcPr>
            <w:tcW w:w="6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Low</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No</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6.7</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12</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12</w:t>
            </w:r>
          </w:p>
        </w:tc>
        <w:tc>
          <w:tcPr>
            <w:tcW w:w="11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The infection outcome is MDR in </w:t>
            </w:r>
            <w:r>
              <w:rPr>
                <w:i/>
                <w:sz w:val="12"/>
                <w:szCs w:val="12"/>
              </w:rPr>
              <w:t xml:space="preserve">E. coli </w:t>
            </w:r>
            <w:r>
              <w:rPr>
                <w:sz w:val="12"/>
                <w:szCs w:val="12"/>
              </w:rPr>
              <w:t xml:space="preserve">bacteraemia. The authors concluded that MDR </w:t>
            </w:r>
            <w:r>
              <w:rPr>
                <w:i/>
                <w:sz w:val="12"/>
                <w:szCs w:val="12"/>
              </w:rPr>
              <w:t xml:space="preserve">E. coli </w:t>
            </w:r>
            <w:r>
              <w:rPr>
                <w:sz w:val="12"/>
                <w:szCs w:val="12"/>
              </w:rPr>
              <w:t xml:space="preserve">is not associated with an increase in mortality. Numbers were extracted from the mortality model. </w:t>
            </w:r>
          </w:p>
        </w:tc>
      </w:tr>
      <w:tr w:rsidR="00AD2232" w:rsidTr="00A624EB">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2020</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i/>
                <w:sz w:val="12"/>
                <w:szCs w:val="12"/>
              </w:rPr>
              <w:t xml:space="preserve">Candida </w:t>
            </w:r>
            <w:r>
              <w:rPr>
                <w:sz w:val="12"/>
                <w:szCs w:val="12"/>
              </w:rPr>
              <w:t>spp bloodstream infections in a Latin American Pediatric Oncology Reference Center: Epidemiology and associated factors</w:t>
            </w:r>
          </w:p>
        </w:tc>
        <w:tc>
          <w:tcPr>
            <w:tcW w:w="1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Paixao de Sousa da Silva, de Moraes-Pinto, Teofilo Pignati et al (156)</w:t>
            </w: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90</w:t>
            </w: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90</w:t>
            </w:r>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Brazil</w:t>
            </w:r>
          </w:p>
        </w:tc>
        <w:tc>
          <w:tcPr>
            <w:tcW w:w="1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Paediatric patients admitted to a paediatric oncology institute who presented with </w:t>
            </w:r>
            <w:r>
              <w:rPr>
                <w:i/>
                <w:sz w:val="12"/>
                <w:szCs w:val="12"/>
              </w:rPr>
              <w:t xml:space="preserve">Candida </w:t>
            </w:r>
            <w:r>
              <w:rPr>
                <w:sz w:val="12"/>
                <w:szCs w:val="12"/>
              </w:rPr>
              <w:t>spp. BSI from January 2004 to December 2016.</w:t>
            </w:r>
          </w:p>
        </w:tc>
        <w:tc>
          <w:tcPr>
            <w:tcW w:w="13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i/>
                <w:sz w:val="12"/>
                <w:szCs w:val="12"/>
              </w:rPr>
            </w:pPr>
            <w:r>
              <w:rPr>
                <w:sz w:val="12"/>
                <w:szCs w:val="12"/>
              </w:rPr>
              <w:t xml:space="preserve">Model of treatment failure or infection model: age, hospitalisation, corticosteroid, prior antifungal use, skin lesion, dissemination, </w:t>
            </w:r>
            <w:r>
              <w:rPr>
                <w:i/>
                <w:sz w:val="12"/>
                <w:szCs w:val="12"/>
              </w:rPr>
              <w:t xml:space="preserve">Candida </w:t>
            </w:r>
            <w:r>
              <w:rPr>
                <w:sz w:val="12"/>
                <w:szCs w:val="12"/>
              </w:rPr>
              <w:t xml:space="preserve">spp Species, </w:t>
            </w:r>
            <w:r>
              <w:rPr>
                <w:i/>
                <w:sz w:val="12"/>
                <w:szCs w:val="12"/>
              </w:rPr>
              <w:t>C. tropicalis</w:t>
            </w:r>
            <w:r>
              <w:rPr>
                <w:sz w:val="12"/>
                <w:szCs w:val="12"/>
              </w:rPr>
              <w:t xml:space="preserve">, treatment. 30 days Mortality model:  Age, Hospitalisation, intensive care unit, corticosteroid, prior antifungal use, skin lesion, dissemination, </w:t>
            </w:r>
            <w:r>
              <w:rPr>
                <w:i/>
                <w:sz w:val="12"/>
                <w:szCs w:val="12"/>
              </w:rPr>
              <w:t xml:space="preserve">Candida </w:t>
            </w:r>
            <w:r>
              <w:rPr>
                <w:sz w:val="12"/>
                <w:szCs w:val="12"/>
              </w:rPr>
              <w:t xml:space="preserve">spp </w:t>
            </w:r>
            <w:r>
              <w:rPr>
                <w:sz w:val="12"/>
                <w:szCs w:val="12"/>
              </w:rPr>
              <w:lastRenderedPageBreak/>
              <w:t xml:space="preserve">Species, </w:t>
            </w:r>
            <w:r>
              <w:rPr>
                <w:i/>
                <w:sz w:val="12"/>
                <w:szCs w:val="12"/>
              </w:rPr>
              <w:t>C. parapsilosis</w:t>
            </w:r>
          </w:p>
        </w:tc>
        <w:tc>
          <w:tcPr>
            <w:tcW w:w="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i/>
                <w:sz w:val="12"/>
                <w:szCs w:val="12"/>
              </w:rPr>
              <w:lastRenderedPageBreak/>
              <w:t xml:space="preserve">Candida </w:t>
            </w:r>
            <w:r>
              <w:rPr>
                <w:sz w:val="12"/>
                <w:szCs w:val="12"/>
              </w:rPr>
              <w:t>spp.</w:t>
            </w:r>
          </w:p>
        </w:tc>
        <w:tc>
          <w:tcPr>
            <w:tcW w:w="6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Low</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10.0</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31</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9</w:t>
            </w:r>
          </w:p>
        </w:tc>
        <w:tc>
          <w:tcPr>
            <w:tcW w:w="11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There are 2 models in this study, one for antifungal treatment failure (then an infection model), the other one for 30 days mortality. Numbers were extracted from the infection model. The authors found that older  age  and  thrombocytopenia  were  good  independent predictors of </w:t>
            </w:r>
            <w:r>
              <w:rPr>
                <w:sz w:val="12"/>
                <w:szCs w:val="12"/>
              </w:rPr>
              <w:lastRenderedPageBreak/>
              <w:t xml:space="preserve">therapeutic failure and that </w:t>
            </w:r>
            <w:r>
              <w:rPr>
                <w:i/>
                <w:sz w:val="12"/>
                <w:szCs w:val="12"/>
              </w:rPr>
              <w:t>Candida parapsilosis</w:t>
            </w:r>
            <w:r>
              <w:rPr>
                <w:sz w:val="12"/>
                <w:szCs w:val="12"/>
              </w:rPr>
              <w:t xml:space="preserve"> infection was associated with a lower mortality, while there was no association between </w:t>
            </w:r>
            <w:r>
              <w:rPr>
                <w:i/>
                <w:sz w:val="12"/>
                <w:szCs w:val="12"/>
              </w:rPr>
              <w:t>Candida tropicalis</w:t>
            </w:r>
            <w:r>
              <w:rPr>
                <w:sz w:val="12"/>
                <w:szCs w:val="12"/>
              </w:rPr>
              <w:t xml:space="preserve"> and mortality.</w:t>
            </w:r>
          </w:p>
        </w:tc>
      </w:tr>
      <w:tr w:rsidR="00AD2232" w:rsidTr="00A624EB">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2017</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Epidemiology, risk factors, and outcomes of infections in patients undergoing liver transplantation for hilar cholangiocarcinoma</w:t>
            </w:r>
          </w:p>
        </w:tc>
        <w:tc>
          <w:tcPr>
            <w:tcW w:w="1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Ramanan, Cummins, Wilhelm et al (31)</w:t>
            </w: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124</w:t>
            </w: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255</w:t>
            </w:r>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USA</w:t>
            </w:r>
          </w:p>
        </w:tc>
        <w:tc>
          <w:tcPr>
            <w:tcW w:w="1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Adult patients who underwent liver transplantation for biopsy-proven hilar cholangiocarcinoma at a clinic between January 2004 and March 2013</w:t>
            </w:r>
          </w:p>
        </w:tc>
        <w:tc>
          <w:tcPr>
            <w:tcW w:w="13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Infection model: vancomycin resistant enterococcus (VRE) colonisation pre-transplant, living donor transplant, cold ischemia time, cytomegalovirus donor seropositivity, hepatic artery thrombosis post- transplant, biliary stricture post- transplant, intra-abdominal fluid collection post-transplant, number of re- operations in 1st month post- transplant. Mortality model: abdominal infection, recurrent Hilar  cholangiocarcinoma , Post-transplant</w:t>
            </w:r>
            <w:r>
              <w:rPr>
                <w:i/>
                <w:sz w:val="12"/>
                <w:szCs w:val="12"/>
              </w:rPr>
              <w:t xml:space="preserve"> C. difficile</w:t>
            </w:r>
            <w:r>
              <w:rPr>
                <w:sz w:val="12"/>
                <w:szCs w:val="12"/>
              </w:rPr>
              <w:t xml:space="preserve"> infection, Bloodstream infection</w:t>
            </w:r>
          </w:p>
        </w:tc>
        <w:tc>
          <w:tcPr>
            <w:tcW w:w="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Several bacteria and fungi, tested for resistance towards several antimicrobials</w:t>
            </w:r>
          </w:p>
        </w:tc>
        <w:tc>
          <w:tcPr>
            <w:tcW w:w="6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Medium</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No</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15.9</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16</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16</w:t>
            </w:r>
          </w:p>
        </w:tc>
        <w:tc>
          <w:tcPr>
            <w:tcW w:w="11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There are two more models with an infection outcome in the article, of abdominal infection and bloodstream infection, but the model of any post-transplant infection is included here. The authors modelled subsets of 10 variables for infections and 2 variables for death and selected the best model based on score. They found that infections are associated with increased mortality, and that VRE colonisation pre-transplant is associated with infection post-transplant. Numbers were extracted from the infection model. </w:t>
            </w:r>
          </w:p>
        </w:tc>
      </w:tr>
      <w:tr w:rsidR="00AD2232" w:rsidTr="00A624EB">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2016</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i/>
                <w:sz w:val="12"/>
                <w:szCs w:val="12"/>
              </w:rPr>
              <w:t>Clostridium difficile</w:t>
            </w:r>
            <w:r>
              <w:rPr>
                <w:sz w:val="12"/>
                <w:szCs w:val="12"/>
              </w:rPr>
              <w:t xml:space="preserve"> Infections amongst Patients with Haematological Malignancies: A Data </w:t>
            </w:r>
            <w:r>
              <w:rPr>
                <w:sz w:val="12"/>
                <w:szCs w:val="12"/>
              </w:rPr>
              <w:lastRenderedPageBreak/>
              <w:t>Linkage Study</w:t>
            </w:r>
          </w:p>
        </w:tc>
        <w:tc>
          <w:tcPr>
            <w:tcW w:w="1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Selvey, Slimings, Joske et al (77)</w:t>
            </w: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2085</w:t>
            </w: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65</w:t>
            </w:r>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Australia</w:t>
            </w:r>
          </w:p>
        </w:tc>
        <w:tc>
          <w:tcPr>
            <w:tcW w:w="1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Patients admitted at least once to any hospital in the region for treatment or </w:t>
            </w:r>
            <w:r>
              <w:rPr>
                <w:sz w:val="12"/>
                <w:szCs w:val="12"/>
              </w:rPr>
              <w:lastRenderedPageBreak/>
              <w:t>management of a haematological malignancy in the period 1 July 2011 to 30 June 2012</w:t>
            </w:r>
          </w:p>
        </w:tc>
        <w:tc>
          <w:tcPr>
            <w:tcW w:w="13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lastRenderedPageBreak/>
              <w:t xml:space="preserve">Infection model: acute lymphocytic leukaemia not in remission, neutropenia at any </w:t>
            </w:r>
            <w:r>
              <w:rPr>
                <w:sz w:val="12"/>
                <w:szCs w:val="12"/>
              </w:rPr>
              <w:lastRenderedPageBreak/>
              <w:t xml:space="preserve">time, any bacterial pneumonia, other bacterial infection, any bacterial pneumonia and neutropenia at any time. Mortality model: acute myeloid leukaemia not in remission, </w:t>
            </w:r>
            <w:r>
              <w:rPr>
                <w:i/>
                <w:sz w:val="12"/>
                <w:szCs w:val="12"/>
              </w:rPr>
              <w:t>C. difficile</w:t>
            </w:r>
            <w:r>
              <w:rPr>
                <w:sz w:val="12"/>
                <w:szCs w:val="12"/>
              </w:rPr>
              <w:t xml:space="preserve"> infection, age 65 and over, cerebrovascular disease, dementia, neutropenia at any time.</w:t>
            </w:r>
          </w:p>
        </w:tc>
        <w:tc>
          <w:tcPr>
            <w:tcW w:w="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i/>
                <w:sz w:val="12"/>
                <w:szCs w:val="12"/>
              </w:rPr>
            </w:pPr>
            <w:r>
              <w:rPr>
                <w:i/>
                <w:sz w:val="12"/>
                <w:szCs w:val="12"/>
              </w:rPr>
              <w:lastRenderedPageBreak/>
              <w:t>Clostridioides difficile</w:t>
            </w:r>
          </w:p>
        </w:tc>
        <w:tc>
          <w:tcPr>
            <w:tcW w:w="6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Low</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4.1</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30</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16</w:t>
            </w:r>
          </w:p>
        </w:tc>
        <w:tc>
          <w:tcPr>
            <w:tcW w:w="11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There are two infection models, one with all patients and one with patients from </w:t>
            </w:r>
            <w:r>
              <w:rPr>
                <w:sz w:val="12"/>
                <w:szCs w:val="12"/>
              </w:rPr>
              <w:lastRenderedPageBreak/>
              <w:t xml:space="preserve">October 2011. There are also two mortality models, one with death within 60 days and one with death within 90 days. The authors found that a </w:t>
            </w:r>
            <w:r>
              <w:rPr>
                <w:i/>
                <w:sz w:val="12"/>
                <w:szCs w:val="12"/>
              </w:rPr>
              <w:t>C. difficile</w:t>
            </w:r>
            <w:r>
              <w:rPr>
                <w:sz w:val="12"/>
                <w:szCs w:val="12"/>
              </w:rPr>
              <w:t xml:space="preserve"> infection is associated with an increased mortality. Univariate analysis included both table 1 and 2. It is unclear where the dementia variable was taken from, but it is included in the mortality model. Numbers were extracted from the CDI model in all patients</w:t>
            </w:r>
          </w:p>
        </w:tc>
      </w:tr>
      <w:tr w:rsidR="00AD2232" w:rsidTr="00A624EB">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2020</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Risk factors for and clinical outcomes of carbapenem non-susceptible gram negative bacilli bacteremia in patients with acute myelogenous leukemia</w:t>
            </w:r>
          </w:p>
        </w:tc>
        <w:tc>
          <w:tcPr>
            <w:tcW w:w="1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Shin, Shin, Kang et al (57)</w:t>
            </w: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489</w:t>
            </w: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63</w:t>
            </w:r>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South Korea</w:t>
            </w:r>
          </w:p>
        </w:tc>
        <w:tc>
          <w:tcPr>
            <w:tcW w:w="1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rFonts w:ascii="Arial Unicode MS" w:eastAsia="Arial Unicode MS" w:hAnsi="Arial Unicode MS" w:cs="Arial Unicode MS"/>
                <w:sz w:val="12"/>
                <w:szCs w:val="12"/>
              </w:rPr>
              <w:t>Adult patients (aged ≥18 years) with acute myeloid leukaemia that contracted gram negative bacteremia during induction or consolidation chemotherapy, from January 2000 to December 2015</w:t>
            </w:r>
          </w:p>
        </w:tc>
        <w:tc>
          <w:tcPr>
            <w:tcW w:w="13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Infection model: age, chemotherapy,  isolation of VRE in the prior 1 year, isolation of ESBL in the prior 1 year,  isolation of carbapenem resistant </w:t>
            </w:r>
            <w:r>
              <w:rPr>
                <w:i/>
                <w:sz w:val="12"/>
                <w:szCs w:val="12"/>
              </w:rPr>
              <w:t>A. baumanii</w:t>
            </w:r>
            <w:r>
              <w:rPr>
                <w:sz w:val="12"/>
                <w:szCs w:val="12"/>
              </w:rPr>
              <w:t xml:space="preserve">  (CRAB)  in the prior 1 year, presence of preceding bacteremia during the hospitalisation, central line associated infection, </w:t>
            </w:r>
            <w:r>
              <w:rPr>
                <w:i/>
                <w:sz w:val="12"/>
                <w:szCs w:val="12"/>
              </w:rPr>
              <w:t>E.coli</w:t>
            </w:r>
            <w:r>
              <w:rPr>
                <w:sz w:val="12"/>
                <w:szCs w:val="12"/>
              </w:rPr>
              <w:t>,</w:t>
            </w:r>
            <w:r>
              <w:rPr>
                <w:i/>
                <w:sz w:val="12"/>
                <w:szCs w:val="12"/>
              </w:rPr>
              <w:t xml:space="preserve"> Klebsiella</w:t>
            </w:r>
            <w:r>
              <w:rPr>
                <w:sz w:val="12"/>
                <w:szCs w:val="12"/>
              </w:rPr>
              <w:t xml:space="preserve"> spp., </w:t>
            </w:r>
            <w:r>
              <w:rPr>
                <w:i/>
                <w:sz w:val="12"/>
                <w:szCs w:val="12"/>
              </w:rPr>
              <w:t xml:space="preserve"> Pseudomonas</w:t>
            </w:r>
            <w:r>
              <w:rPr>
                <w:sz w:val="12"/>
                <w:szCs w:val="12"/>
              </w:rPr>
              <w:t xml:space="preserve"> spp,  </w:t>
            </w:r>
            <w:r>
              <w:rPr>
                <w:i/>
                <w:sz w:val="12"/>
                <w:szCs w:val="12"/>
              </w:rPr>
              <w:t>S.  maltophilia</w:t>
            </w:r>
            <w:r>
              <w:rPr>
                <w:sz w:val="12"/>
                <w:szCs w:val="12"/>
              </w:rPr>
              <w:t xml:space="preserve">, </w:t>
            </w:r>
            <w:r>
              <w:rPr>
                <w:i/>
                <w:sz w:val="12"/>
                <w:szCs w:val="12"/>
              </w:rPr>
              <w:t>Acinetobacter</w:t>
            </w:r>
            <w:r>
              <w:rPr>
                <w:sz w:val="12"/>
                <w:szCs w:val="12"/>
              </w:rPr>
              <w:t xml:space="preserve"> spp, antibiotics at the onset of  gram negative bacteria (GNB) bacteremia, inappropriate empiric </w:t>
            </w:r>
            <w:r>
              <w:rPr>
                <w:sz w:val="12"/>
                <w:szCs w:val="12"/>
              </w:rPr>
              <w:lastRenderedPageBreak/>
              <w:t xml:space="preserve">antibiotics, days from chemotherapy to GNB bacteremia, hospital days to GNB bacteremia.   Mortality model:  age, mean (± SD), induction or re-induction chemotherapy,  isolation of vancomycin resistant enterobacteriaceae  (VRE)in the prior 1 year, isolation of extended spectrum beta lactamase  (ESBL) in the prior 1 year, isolation of CRAB in the prior 1 year, history of GNB bacteremia in the prior 1 year,  presence of preceding bacteremia during the hospitalisation, pneumonia, Pitt score, septic shock, carba-non sensitive, inappropriate empiric antibiotics,  days from chemotherapy to GNB bacteremia, hospital days to GNB bacteremia.                                                                                                                                                                                                                                                              </w:t>
            </w:r>
          </w:p>
        </w:tc>
        <w:tc>
          <w:tcPr>
            <w:tcW w:w="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lastRenderedPageBreak/>
              <w:t>Gram-negative bacilli, carbapenem-resistant</w:t>
            </w:r>
          </w:p>
        </w:tc>
        <w:tc>
          <w:tcPr>
            <w:tcW w:w="6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Medium</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4.5</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22</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14</w:t>
            </w:r>
          </w:p>
        </w:tc>
        <w:tc>
          <w:tcPr>
            <w:tcW w:w="11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The authors found that carbapenem treatment at the onset of Gram-negative bacteraemia and infection with carbapenem-resistant </w:t>
            </w:r>
            <w:r>
              <w:rPr>
                <w:i/>
                <w:sz w:val="12"/>
                <w:szCs w:val="12"/>
              </w:rPr>
              <w:t>Acinetobacter baumannii</w:t>
            </w:r>
            <w:r>
              <w:rPr>
                <w:sz w:val="12"/>
                <w:szCs w:val="12"/>
              </w:rPr>
              <w:t xml:space="preserve"> was associated with a carbapenem-resistant Gram-negative bacteraemia, and also that infection with VRE the previous year and carbapenem-resistance was associated with an increased mortality in </w:t>
            </w:r>
            <w:r>
              <w:rPr>
                <w:sz w:val="12"/>
                <w:szCs w:val="12"/>
              </w:rPr>
              <w:lastRenderedPageBreak/>
              <w:t xml:space="preserve">patients with Gram-negative bacteraemia. Numbers were extracted from the mortality model. </w:t>
            </w:r>
          </w:p>
        </w:tc>
      </w:tr>
      <w:tr w:rsidR="00AD2232" w:rsidTr="00A624EB">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2019</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Trends in Incidence and Outcomes of </w:t>
            </w:r>
            <w:r>
              <w:rPr>
                <w:i/>
                <w:sz w:val="12"/>
                <w:szCs w:val="12"/>
              </w:rPr>
              <w:t>Clostridium  difficile</w:t>
            </w:r>
            <w:r>
              <w:rPr>
                <w:sz w:val="12"/>
                <w:szCs w:val="12"/>
              </w:rPr>
              <w:t xml:space="preserve"> Colitis in Hospitalized Patients of Febrile Neutropenia A  Nationwide  Analysis</w:t>
            </w:r>
          </w:p>
        </w:tc>
        <w:tc>
          <w:tcPr>
            <w:tcW w:w="1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Siddiqui, Khan, Khan et al (135)</w:t>
            </w: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394987</w:t>
            </w: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Indeterminable</w:t>
            </w:r>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USA</w:t>
            </w:r>
          </w:p>
        </w:tc>
        <w:tc>
          <w:tcPr>
            <w:tcW w:w="1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All patients with primary and secondary diagnosis of febrile neutropenia, with and without </w:t>
            </w:r>
            <w:r>
              <w:rPr>
                <w:i/>
                <w:sz w:val="12"/>
                <w:szCs w:val="12"/>
              </w:rPr>
              <w:t>C. difficile</w:t>
            </w:r>
            <w:r>
              <w:rPr>
                <w:sz w:val="12"/>
                <w:szCs w:val="12"/>
              </w:rPr>
              <w:t xml:space="preserve"> infection from years 2008 to 2014, according to the Nationwide Inpatient Sample (NIS)</w:t>
            </w:r>
          </w:p>
        </w:tc>
        <w:tc>
          <w:tcPr>
            <w:tcW w:w="13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Age, race, gender, Charleston Comorbidity Index, malignancy type, admission days, hospital region,  hospital location, sepsis</w:t>
            </w:r>
          </w:p>
        </w:tc>
        <w:tc>
          <w:tcPr>
            <w:tcW w:w="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i/>
                <w:sz w:val="12"/>
                <w:szCs w:val="12"/>
              </w:rPr>
            </w:pPr>
            <w:r>
              <w:rPr>
                <w:i/>
                <w:sz w:val="12"/>
                <w:szCs w:val="12"/>
              </w:rPr>
              <w:t>Clostridioides difficile</w:t>
            </w:r>
          </w:p>
        </w:tc>
        <w:tc>
          <w:tcPr>
            <w:tcW w:w="6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High</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No</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Indeterminable</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23</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23</w:t>
            </w:r>
          </w:p>
        </w:tc>
        <w:tc>
          <w:tcPr>
            <w:tcW w:w="11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Authors showed that patients older than 65 years old,Hispanic race, and presence of sepsis were associated with increased risk of mortality in cancer patients with FN. In addition, Hispanic  race,  haematological  malignancies, and sepsis were significant risk </w:t>
            </w:r>
            <w:r>
              <w:rPr>
                <w:sz w:val="12"/>
                <w:szCs w:val="12"/>
              </w:rPr>
              <w:lastRenderedPageBreak/>
              <w:t>factors for development of CDI in these patients.  Both models are the same size.</w:t>
            </w:r>
          </w:p>
        </w:tc>
      </w:tr>
      <w:tr w:rsidR="00AD2232" w:rsidTr="00A624EB">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2019</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Increase in</w:t>
            </w:r>
            <w:r>
              <w:rPr>
                <w:i/>
                <w:sz w:val="12"/>
                <w:szCs w:val="12"/>
              </w:rPr>
              <w:t xml:space="preserve"> Candida Parapsilosis</w:t>
            </w:r>
            <w:r>
              <w:rPr>
                <w:sz w:val="12"/>
                <w:szCs w:val="12"/>
              </w:rPr>
              <w:t xml:space="preserve"> Candidemia in Cancer Patients</w:t>
            </w:r>
          </w:p>
        </w:tc>
        <w:tc>
          <w:tcPr>
            <w:tcW w:w="1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Sun, Chen, Xiao et al (159)</w:t>
            </w: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323</w:t>
            </w: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47</w:t>
            </w:r>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China</w:t>
            </w:r>
          </w:p>
        </w:tc>
        <w:tc>
          <w:tcPr>
            <w:tcW w:w="1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All patients with positive blood culture for </w:t>
            </w:r>
            <w:r>
              <w:rPr>
                <w:i/>
                <w:sz w:val="12"/>
                <w:szCs w:val="12"/>
              </w:rPr>
              <w:t xml:space="preserve">Candida </w:t>
            </w:r>
            <w:r>
              <w:rPr>
                <w:sz w:val="12"/>
                <w:szCs w:val="12"/>
              </w:rPr>
              <w:t>species at a cancer hospital from 1 March 2012 to 28 February 2018</w:t>
            </w:r>
          </w:p>
        </w:tc>
        <w:tc>
          <w:tcPr>
            <w:tcW w:w="13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Infection by </w:t>
            </w:r>
            <w:r>
              <w:rPr>
                <w:i/>
                <w:sz w:val="12"/>
                <w:szCs w:val="12"/>
              </w:rPr>
              <w:t>C. parapsilosis</w:t>
            </w:r>
            <w:r>
              <w:rPr>
                <w:sz w:val="12"/>
                <w:szCs w:val="12"/>
              </w:rPr>
              <w:t xml:space="preserve"> model: age, hematologic malignancy, in intensive care unit (ICU) at diagnosis, parenteral nutrition, neutropenia, previous surgery last 3 months, abdominal surgery, chemotherapy, previous antifungal use, duration of antifungal;   Infection by </w:t>
            </w:r>
            <w:r>
              <w:rPr>
                <w:i/>
                <w:sz w:val="12"/>
                <w:szCs w:val="12"/>
              </w:rPr>
              <w:t>C. albican</w:t>
            </w:r>
            <w:r>
              <w:rPr>
                <w:sz w:val="12"/>
                <w:szCs w:val="12"/>
              </w:rPr>
              <w:t xml:space="preserve">s model: age, hematologic malignancy, ICU at diagnosis, neutropenia, abdominal surgery, central venous catheter (CVC) related candidemia, chemotherapy,   previous antifungal use, duration of antifungal;  Mortality model: age, ICU at diagnosis, mechanical ventilation, CVC related candidemia, removal of CVC. </w:t>
            </w:r>
          </w:p>
        </w:tc>
        <w:tc>
          <w:tcPr>
            <w:tcW w:w="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i/>
                <w:sz w:val="12"/>
                <w:szCs w:val="12"/>
              </w:rPr>
              <w:t>Candida</w:t>
            </w:r>
            <w:r>
              <w:rPr>
                <w:sz w:val="12"/>
                <w:szCs w:val="12"/>
              </w:rPr>
              <w:t xml:space="preserve"> spp.</w:t>
            </w:r>
          </w:p>
        </w:tc>
        <w:tc>
          <w:tcPr>
            <w:tcW w:w="6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Medium</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5.2</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23</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9</w:t>
            </w:r>
          </w:p>
        </w:tc>
        <w:tc>
          <w:tcPr>
            <w:tcW w:w="11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The authors concluded that there are several risk factors associated with a </w:t>
            </w:r>
            <w:r>
              <w:rPr>
                <w:i/>
                <w:sz w:val="12"/>
                <w:szCs w:val="12"/>
              </w:rPr>
              <w:t>Candida</w:t>
            </w:r>
            <w:r>
              <w:rPr>
                <w:sz w:val="12"/>
                <w:szCs w:val="12"/>
              </w:rPr>
              <w:t xml:space="preserve"> non-albicans infection, but did not model the role of these infections in the mortality of patients. To compute the number of events per variable we chose the infection model by </w:t>
            </w:r>
            <w:r>
              <w:rPr>
                <w:i/>
                <w:sz w:val="12"/>
                <w:szCs w:val="12"/>
              </w:rPr>
              <w:t>C. parapsilosis</w:t>
            </w:r>
            <w:r>
              <w:rPr>
                <w:sz w:val="12"/>
                <w:szCs w:val="12"/>
              </w:rPr>
              <w:t xml:space="preserve">. </w:t>
            </w:r>
          </w:p>
        </w:tc>
      </w:tr>
      <w:tr w:rsidR="00AD2232" w:rsidTr="00A624EB">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2017</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i/>
                <w:sz w:val="12"/>
                <w:szCs w:val="12"/>
              </w:rPr>
              <w:t>Pseudomonas aeruginosa</w:t>
            </w:r>
            <w:r>
              <w:rPr>
                <w:sz w:val="12"/>
                <w:szCs w:val="12"/>
              </w:rPr>
              <w:t xml:space="preserve"> bacteraemia in patients with hematologic malignancies: risk factors, treatment and outcome</w:t>
            </w:r>
          </w:p>
        </w:tc>
        <w:tc>
          <w:tcPr>
            <w:tcW w:w="1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Tofas, Samarkos, Piperaki et al (79)</w:t>
            </w: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64</w:t>
            </w: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23</w:t>
            </w:r>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Greece</w:t>
            </w:r>
          </w:p>
        </w:tc>
        <w:tc>
          <w:tcPr>
            <w:tcW w:w="1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Cases: Consecutive patients with hematologic malignancy who developed </w:t>
            </w:r>
            <w:r>
              <w:rPr>
                <w:i/>
                <w:sz w:val="12"/>
                <w:szCs w:val="12"/>
              </w:rPr>
              <w:t>P. aeruginosa</w:t>
            </w:r>
            <w:r>
              <w:rPr>
                <w:sz w:val="12"/>
                <w:szCs w:val="12"/>
              </w:rPr>
              <w:t xml:space="preserve"> (PA) bloodstream infection (BSI) between January 2012 and </w:t>
            </w:r>
            <w:r>
              <w:rPr>
                <w:sz w:val="12"/>
                <w:szCs w:val="12"/>
              </w:rPr>
              <w:lastRenderedPageBreak/>
              <w:t>December 2014. Controls: Patients with hematologic malignancies without PA infection.</w:t>
            </w:r>
          </w:p>
        </w:tc>
        <w:tc>
          <w:tcPr>
            <w:tcW w:w="13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lastRenderedPageBreak/>
              <w:t xml:space="preserve">Infection with </w:t>
            </w:r>
            <w:r>
              <w:rPr>
                <w:i/>
                <w:sz w:val="12"/>
                <w:szCs w:val="12"/>
              </w:rPr>
              <w:t>P. aeruginosa</w:t>
            </w:r>
            <w:r>
              <w:rPr>
                <w:sz w:val="12"/>
                <w:szCs w:val="12"/>
              </w:rPr>
              <w:t xml:space="preserve"> model: severity of underlying disease (Ultimately fatal, Rapidly fatal), hospitalisation in preceding 3 months, surgery in preceding 3 months, neutropenia, use of steroids, Prior use of </w:t>
            </w:r>
            <w:r>
              <w:rPr>
                <w:sz w:val="12"/>
                <w:szCs w:val="12"/>
              </w:rPr>
              <w:lastRenderedPageBreak/>
              <w:t xml:space="preserve">any antimicrobial, prior use of anti-pseudomonal lactams including carbapenems, prior use of Aminoglycoside, prior use of Fluoroquinolones. Infection with carbapenem-resistant PA model: hospitalization in preceding 3 months, anti-pseudomonal lactams, carbapenems, aminoglycoside, fluoroquinolones. Mortality model : severity of sepsis (Sepsis, Severe sepsis or septic shock), empirical treatment (No active drug, At least one active drug), definitive treatment (One active drug, More than one active drugs). </w:t>
            </w:r>
          </w:p>
        </w:tc>
        <w:tc>
          <w:tcPr>
            <w:tcW w:w="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i/>
                <w:sz w:val="12"/>
                <w:szCs w:val="12"/>
              </w:rPr>
              <w:lastRenderedPageBreak/>
              <w:t>Pseudomonas aeruginosa</w:t>
            </w:r>
            <w:r>
              <w:rPr>
                <w:sz w:val="12"/>
                <w:szCs w:val="12"/>
              </w:rPr>
              <w:t xml:space="preserve">, carbapenem resistant </w:t>
            </w:r>
          </w:p>
        </w:tc>
        <w:tc>
          <w:tcPr>
            <w:tcW w:w="6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Low</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7.7</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19</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3</w:t>
            </w:r>
          </w:p>
        </w:tc>
        <w:tc>
          <w:tcPr>
            <w:tcW w:w="11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There are three models here, one for PA BSI, one for carbapenem-resistant PA BSI and one for mortality in patients with PA BSI. All numbers are extracted from the 28 days </w:t>
            </w:r>
            <w:r>
              <w:rPr>
                <w:sz w:val="12"/>
                <w:szCs w:val="12"/>
              </w:rPr>
              <w:lastRenderedPageBreak/>
              <w:t>mortality model. The authors found that prior use of antibiotics were associated with PA BSI, and that prior hospitalisation was associated with carbapenem-resistance.</w:t>
            </w:r>
          </w:p>
        </w:tc>
      </w:tr>
      <w:tr w:rsidR="00AD2232" w:rsidTr="00A624EB">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2021</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Oral fluoroquinolones for definitive treatment of gram-negative bacteremia in cancer patients</w:t>
            </w:r>
          </w:p>
        </w:tc>
        <w:tc>
          <w:tcPr>
            <w:tcW w:w="1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Tossey, El Boghdadly, Reed et al (118)</w:t>
            </w: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211</w:t>
            </w: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39</w:t>
            </w:r>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USA</w:t>
            </w:r>
          </w:p>
        </w:tc>
        <w:tc>
          <w:tcPr>
            <w:tcW w:w="1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Patients at a cancer centre with positive blood cultures for gram-negative organisms during the study period from November 1, 2011, to September 30, 2017</w:t>
            </w:r>
          </w:p>
        </w:tc>
        <w:tc>
          <w:tcPr>
            <w:tcW w:w="13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Intravenous group, hematologic malignancy, neutropenia, </w:t>
            </w:r>
            <w:r>
              <w:rPr>
                <w:i/>
                <w:sz w:val="12"/>
                <w:szCs w:val="12"/>
              </w:rPr>
              <w:t>P. aeruginosa</w:t>
            </w:r>
            <w:r>
              <w:rPr>
                <w:sz w:val="12"/>
                <w:szCs w:val="12"/>
              </w:rPr>
              <w:t xml:space="preserve"> infection, history of hematologic stem cell transplantation, Pitt bacteremia score, intensive care unit admission</w:t>
            </w:r>
          </w:p>
        </w:tc>
        <w:tc>
          <w:tcPr>
            <w:tcW w:w="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Gram-negative bacteria</w:t>
            </w:r>
          </w:p>
        </w:tc>
        <w:tc>
          <w:tcPr>
            <w:tcW w:w="6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Medium</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Indeterminable</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5.6</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Indeterminable</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7</w:t>
            </w:r>
          </w:p>
        </w:tc>
        <w:tc>
          <w:tcPr>
            <w:tcW w:w="11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The authors modelled both infection recurrence and mortality as a composite outcome "treatment failure". No method for variable selection is disclosed. They found that having a </w:t>
            </w:r>
            <w:r>
              <w:rPr>
                <w:i/>
                <w:sz w:val="12"/>
                <w:szCs w:val="12"/>
              </w:rPr>
              <w:t>P. aeruginosa</w:t>
            </w:r>
            <w:r>
              <w:rPr>
                <w:sz w:val="12"/>
                <w:szCs w:val="12"/>
              </w:rPr>
              <w:t xml:space="preserve"> infection is associated with this composite outcome.</w:t>
            </w:r>
          </w:p>
        </w:tc>
      </w:tr>
      <w:tr w:rsidR="00AD2232" w:rsidTr="00A624EB">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2019</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Bloodstream infections caused by Escherichia coli in onco-</w:t>
            </w:r>
            <w:r>
              <w:rPr>
                <w:sz w:val="12"/>
                <w:szCs w:val="12"/>
              </w:rPr>
              <w:lastRenderedPageBreak/>
              <w:t>haematological patients: Risk factors and mortality in an Italian prospective survey</w:t>
            </w:r>
          </w:p>
        </w:tc>
        <w:tc>
          <w:tcPr>
            <w:tcW w:w="1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 xml:space="preserve">Trecarichi, Giuliano, Cattaneo et al </w:t>
            </w:r>
            <w:r>
              <w:rPr>
                <w:sz w:val="12"/>
                <w:szCs w:val="12"/>
              </w:rPr>
              <w:lastRenderedPageBreak/>
              <w:t>(100)</w:t>
            </w: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lastRenderedPageBreak/>
              <w:t>342</w:t>
            </w: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24</w:t>
            </w:r>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Italy</w:t>
            </w:r>
          </w:p>
        </w:tc>
        <w:tc>
          <w:tcPr>
            <w:tcW w:w="1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All episodes of bloodstream infection caused </w:t>
            </w:r>
            <w:r>
              <w:rPr>
                <w:sz w:val="12"/>
                <w:szCs w:val="12"/>
              </w:rPr>
              <w:lastRenderedPageBreak/>
              <w:t>by E. coli (EC BSI) occurring in hospitalised haematologic malignancies adult patients from January 2016 to December 2017 in 15 haematology wards</w:t>
            </w:r>
          </w:p>
        </w:tc>
        <w:tc>
          <w:tcPr>
            <w:tcW w:w="13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lastRenderedPageBreak/>
              <w:t xml:space="preserve">Infection model: recent endoscopic procedures, </w:t>
            </w:r>
            <w:r>
              <w:rPr>
                <w:sz w:val="12"/>
                <w:szCs w:val="12"/>
              </w:rPr>
              <w:lastRenderedPageBreak/>
              <w:t xml:space="preserve">parenteral nutrition, polymorphonuclear leukocytes &lt; 500/mmc for at least 10 days, previous antibiotic therapy, multiple myeloma, allogeneic matched unrelated transplant, multi drug resistant bacteria culture-positive surveillance rectal swabs, antibiotic prophylaxis with fluoroquinolones. Mortality model: sex, complete remission, autologous transplant, septic shock, altered consciousness, acute renal failure, avute respiratory failure, acute hepatic failure, 3rd generation cephalosporins resistance by </w:t>
            </w:r>
            <w:r>
              <w:rPr>
                <w:i/>
                <w:sz w:val="12"/>
                <w:szCs w:val="12"/>
              </w:rPr>
              <w:t>E. coli</w:t>
            </w:r>
            <w:r>
              <w:rPr>
                <w:sz w:val="12"/>
                <w:szCs w:val="12"/>
              </w:rPr>
              <w:t xml:space="preserve"> isolate.</w:t>
            </w:r>
          </w:p>
        </w:tc>
        <w:tc>
          <w:tcPr>
            <w:tcW w:w="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i/>
                <w:sz w:val="12"/>
                <w:szCs w:val="12"/>
              </w:rPr>
              <w:lastRenderedPageBreak/>
              <w:t>Escherichia coli</w:t>
            </w:r>
            <w:r>
              <w:rPr>
                <w:sz w:val="12"/>
                <w:szCs w:val="12"/>
              </w:rPr>
              <w:t xml:space="preserve">, 3rd generation </w:t>
            </w:r>
            <w:r>
              <w:rPr>
                <w:sz w:val="12"/>
                <w:szCs w:val="12"/>
              </w:rPr>
              <w:lastRenderedPageBreak/>
              <w:t>cephalosporin-resistant</w:t>
            </w:r>
          </w:p>
        </w:tc>
        <w:tc>
          <w:tcPr>
            <w:tcW w:w="6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lastRenderedPageBreak/>
              <w:t>Medium</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2.7</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34</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9</w:t>
            </w:r>
          </w:p>
        </w:tc>
        <w:tc>
          <w:tcPr>
            <w:tcW w:w="11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The infection outcome here is resistance </w:t>
            </w:r>
            <w:r>
              <w:rPr>
                <w:sz w:val="12"/>
                <w:szCs w:val="12"/>
              </w:rPr>
              <w:lastRenderedPageBreak/>
              <w:t xml:space="preserve">towards 3rd generation cephalosporins in </w:t>
            </w:r>
            <w:r>
              <w:rPr>
                <w:i/>
                <w:sz w:val="12"/>
                <w:szCs w:val="12"/>
              </w:rPr>
              <w:t>E. coli</w:t>
            </w:r>
            <w:r>
              <w:rPr>
                <w:sz w:val="12"/>
                <w:szCs w:val="12"/>
              </w:rPr>
              <w:t xml:space="preserve"> bacteraemia. The authors found that such infections are associated with an increased mortality in these patients. All the numbers were extracted from the mortality model</w:t>
            </w:r>
          </w:p>
        </w:tc>
      </w:tr>
      <w:tr w:rsidR="00AD2232" w:rsidTr="00A624EB">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lastRenderedPageBreak/>
              <w:t>2019</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Clinical outcome of Escherichia coli bloodstream</w:t>
            </w:r>
          </w:p>
          <w:p w:rsidR="00AD2232" w:rsidRDefault="00AD2232" w:rsidP="00A624EB">
            <w:pPr>
              <w:widowControl w:val="0"/>
              <w:pBdr>
                <w:top w:val="nil"/>
                <w:left w:val="nil"/>
                <w:bottom w:val="nil"/>
                <w:right w:val="nil"/>
                <w:between w:val="nil"/>
              </w:pBdr>
              <w:rPr>
                <w:sz w:val="12"/>
                <w:szCs w:val="12"/>
              </w:rPr>
            </w:pPr>
            <w:r>
              <w:rPr>
                <w:sz w:val="12"/>
                <w:szCs w:val="12"/>
              </w:rPr>
              <w:t>infection in cancer patients with/without biofilm</w:t>
            </w:r>
          </w:p>
          <w:p w:rsidR="00AD2232" w:rsidRDefault="00AD2232" w:rsidP="00A624EB">
            <w:pPr>
              <w:widowControl w:val="0"/>
              <w:pBdr>
                <w:top w:val="nil"/>
                <w:left w:val="nil"/>
                <w:bottom w:val="nil"/>
                <w:right w:val="nil"/>
                <w:between w:val="nil"/>
              </w:pBdr>
              <w:rPr>
                <w:sz w:val="12"/>
                <w:szCs w:val="12"/>
              </w:rPr>
            </w:pPr>
            <w:r>
              <w:rPr>
                <w:sz w:val="12"/>
                <w:szCs w:val="12"/>
              </w:rPr>
              <w:t>formation: a single-center retrospective study</w:t>
            </w:r>
          </w:p>
        </w:tc>
        <w:tc>
          <w:tcPr>
            <w:tcW w:w="1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Zhang, Gao, Li et al (152)</w:t>
            </w: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324</w:t>
            </w: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71</w:t>
            </w:r>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China</w:t>
            </w:r>
          </w:p>
        </w:tc>
        <w:tc>
          <w:tcPr>
            <w:tcW w:w="1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rFonts w:ascii="Arial Unicode MS" w:eastAsia="Arial Unicode MS" w:hAnsi="Arial Unicode MS" w:cs="Arial Unicode MS"/>
                <w:sz w:val="12"/>
                <w:szCs w:val="12"/>
              </w:rPr>
              <w:t>Adult patients (aged ≥18 years) with cancer and first episode of  E. coli bloodstream infection hospitalised at Tianjin Cancer Institute from January 2013 to September 2017</w:t>
            </w:r>
          </w:p>
        </w:tc>
        <w:tc>
          <w:tcPr>
            <w:tcW w:w="13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 xml:space="preserve">Infection models 1 (extended spectrum beta lactamase yes no) and 2 (biofilm formation yes no) : sex, age, hypertension, chronic heart disease, diabetes mellitus, solid tumor, hematological cancer, abdominal infection, urinary tract infection, biliary infection, pulmonary infection, catheter-related infection, unknown origin infection, others, C3G (or cephalosporin (model1) exposure previous month, </w:t>
            </w:r>
            <w:r>
              <w:rPr>
                <w:sz w:val="12"/>
                <w:szCs w:val="12"/>
              </w:rPr>
              <w:lastRenderedPageBreak/>
              <w:t>betalactam with or without inhibitor of betalactamase exposure previous month, carbapanems exposure previous month, combined exposure previous month, aminoglycoside exposure previous month, invasive procedure, surgery previous month, chemotherapy, ESBL, LOS (model 1). Mortality model: sex, age, hypertension, chronic heart disease, diabetes mellitus, solid tumor, hematological cancer, LOS, ICU, invasive procedure, mechanical ventilation, metastasis, chemotherapy, surgery, previous blood transfusion, ESBL, BF, organ failure and sepsis shock</w:t>
            </w:r>
          </w:p>
        </w:tc>
        <w:tc>
          <w:tcPr>
            <w:tcW w:w="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i/>
                <w:sz w:val="12"/>
                <w:szCs w:val="12"/>
              </w:rPr>
            </w:pPr>
            <w:r>
              <w:rPr>
                <w:sz w:val="12"/>
                <w:szCs w:val="12"/>
              </w:rPr>
              <w:lastRenderedPageBreak/>
              <w:t xml:space="preserve">ESBL-producing </w:t>
            </w:r>
            <w:r>
              <w:rPr>
                <w:i/>
                <w:sz w:val="12"/>
                <w:szCs w:val="12"/>
              </w:rPr>
              <w:t>Escherichia coli</w:t>
            </w:r>
            <w:r>
              <w:rPr>
                <w:sz w:val="12"/>
                <w:szCs w:val="12"/>
              </w:rPr>
              <w:t xml:space="preserve"> or biofilm-producer </w:t>
            </w:r>
            <w:r>
              <w:rPr>
                <w:i/>
                <w:sz w:val="12"/>
                <w:szCs w:val="12"/>
              </w:rPr>
              <w:t>Escherichia coli</w:t>
            </w:r>
          </w:p>
        </w:tc>
        <w:tc>
          <w:tcPr>
            <w:tcW w:w="6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Low</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Yes</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8.9</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18</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8</w:t>
            </w:r>
          </w:p>
        </w:tc>
        <w:tc>
          <w:tcPr>
            <w:tcW w:w="11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rPr>
                <w:sz w:val="12"/>
                <w:szCs w:val="12"/>
              </w:rPr>
            </w:pPr>
            <w:r>
              <w:rPr>
                <w:sz w:val="12"/>
                <w:szCs w:val="12"/>
              </w:rPr>
              <w:t>The authors concluded biofilm is a risk factor for mortality , and also to be ESBL or not (and vice versa). No clear association between infection with biofilm-producer and antibiotics used. Numbers were extracted from the mortality model.</w:t>
            </w:r>
          </w:p>
        </w:tc>
      </w:tr>
      <w:tr w:rsidR="00AD2232" w:rsidTr="00A624EB">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2020</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Risk Factors and Outcomes of Antibiotic-resistant</w:t>
            </w:r>
          </w:p>
          <w:p w:rsidR="00AD2232" w:rsidRDefault="00AD2232" w:rsidP="00A624EB">
            <w:pPr>
              <w:widowControl w:val="0"/>
              <w:pBdr>
                <w:top w:val="nil"/>
                <w:left w:val="nil"/>
                <w:bottom w:val="nil"/>
                <w:right w:val="nil"/>
                <w:between w:val="nil"/>
              </w:pBdr>
              <w:rPr>
                <w:sz w:val="12"/>
                <w:szCs w:val="12"/>
              </w:rPr>
            </w:pPr>
            <w:r>
              <w:rPr>
                <w:sz w:val="12"/>
                <w:szCs w:val="12"/>
              </w:rPr>
              <w:t>Pseudomonas aeruginosa Bloodstream Infection in Adult</w:t>
            </w:r>
          </w:p>
          <w:p w:rsidR="00AD2232" w:rsidRDefault="00AD2232" w:rsidP="00A624EB">
            <w:pPr>
              <w:widowControl w:val="0"/>
              <w:pBdr>
                <w:top w:val="nil"/>
                <w:left w:val="nil"/>
                <w:bottom w:val="nil"/>
                <w:right w:val="nil"/>
                <w:between w:val="nil"/>
              </w:pBdr>
              <w:rPr>
                <w:sz w:val="12"/>
                <w:szCs w:val="12"/>
              </w:rPr>
            </w:pPr>
            <w:r>
              <w:rPr>
                <w:sz w:val="12"/>
                <w:szCs w:val="12"/>
              </w:rPr>
              <w:t>Patients With Acute Leukemia</w:t>
            </w:r>
          </w:p>
        </w:tc>
        <w:tc>
          <w:tcPr>
            <w:tcW w:w="1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Zhao, Lin, Liu et al (80)</w:t>
            </w: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293</w:t>
            </w:r>
          </w:p>
        </w:tc>
        <w:tc>
          <w:tcPr>
            <w:tcW w:w="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293</w:t>
            </w:r>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China</w:t>
            </w:r>
          </w:p>
        </w:tc>
        <w:tc>
          <w:tcPr>
            <w:tcW w:w="1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Adult patients hospitalised with Acute Leukaemia and P. aeruginosa bloodstream infection from January 2014 to December 2019</w:t>
            </w:r>
          </w:p>
        </w:tc>
        <w:tc>
          <w:tcPr>
            <w:tcW w:w="13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Infection model 1 : Previous use of fluoroquinolones, previous use of piperacillin- tazobactam, previous use of carbapenems, HSCT. Infection model 2 : Previous use of fluoroquinolones, previous use of piperacillin- tazobactam. Death model : Age&gt;55, Perianal infection, Pulmonary infection, MDR-PA</w:t>
            </w:r>
          </w:p>
        </w:tc>
        <w:tc>
          <w:tcPr>
            <w:tcW w:w="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i/>
                <w:sz w:val="12"/>
                <w:szCs w:val="12"/>
              </w:rPr>
              <w:t>P. aeruginosa</w:t>
            </w:r>
            <w:r>
              <w:rPr>
                <w:sz w:val="12"/>
                <w:szCs w:val="12"/>
              </w:rPr>
              <w:t>, carbapenem resistant or MDR</w:t>
            </w:r>
          </w:p>
        </w:tc>
        <w:tc>
          <w:tcPr>
            <w:tcW w:w="6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Medium</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48,8</w:t>
            </w:r>
          </w:p>
        </w:tc>
        <w:tc>
          <w:tcPr>
            <w:tcW w:w="9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14</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6</w:t>
            </w:r>
          </w:p>
        </w:tc>
        <w:tc>
          <w:tcPr>
            <w:tcW w:w="11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2232" w:rsidRDefault="00AD2232" w:rsidP="00A624EB">
            <w:pPr>
              <w:widowControl w:val="0"/>
              <w:pBdr>
                <w:top w:val="nil"/>
                <w:left w:val="nil"/>
                <w:bottom w:val="nil"/>
                <w:right w:val="nil"/>
                <w:between w:val="nil"/>
              </w:pBdr>
              <w:rPr>
                <w:sz w:val="12"/>
                <w:szCs w:val="12"/>
              </w:rPr>
            </w:pPr>
            <w:r>
              <w:rPr>
                <w:sz w:val="12"/>
                <w:szCs w:val="12"/>
              </w:rPr>
              <w:t xml:space="preserve">Outcomes for infection are 1) Carbapenem-resistant </w:t>
            </w:r>
            <w:r>
              <w:rPr>
                <w:i/>
                <w:sz w:val="12"/>
                <w:szCs w:val="12"/>
              </w:rPr>
              <w:t>P. aeruginosa</w:t>
            </w:r>
            <w:r>
              <w:rPr>
                <w:sz w:val="12"/>
                <w:szCs w:val="12"/>
              </w:rPr>
              <w:t xml:space="preserve"> infection or 2) MDR </w:t>
            </w:r>
            <w:r>
              <w:rPr>
                <w:i/>
                <w:sz w:val="12"/>
                <w:szCs w:val="12"/>
              </w:rPr>
              <w:t>P. aeruginosa</w:t>
            </w:r>
            <w:r>
              <w:rPr>
                <w:sz w:val="12"/>
                <w:szCs w:val="12"/>
              </w:rPr>
              <w:t xml:space="preserve"> infection. Variables with p&lt;0.1 in the univariate analysis were included in the multivariable model. The authors found that MDR is associated with </w:t>
            </w:r>
            <w:r>
              <w:rPr>
                <w:sz w:val="12"/>
                <w:szCs w:val="12"/>
              </w:rPr>
              <w:lastRenderedPageBreak/>
              <w:t xml:space="preserve">bad prognosis in BSI </w:t>
            </w:r>
            <w:r>
              <w:rPr>
                <w:i/>
                <w:sz w:val="12"/>
                <w:szCs w:val="12"/>
              </w:rPr>
              <w:t>P. aeruginosa</w:t>
            </w:r>
            <w:r>
              <w:rPr>
                <w:sz w:val="12"/>
                <w:szCs w:val="12"/>
              </w:rPr>
              <w:t xml:space="preserve"> patients, and they have tried to show as well that exposure to certain classes of antibiotics could lead to developing MDR </w:t>
            </w:r>
            <w:r>
              <w:rPr>
                <w:i/>
                <w:sz w:val="12"/>
                <w:szCs w:val="12"/>
              </w:rPr>
              <w:t>P. aeruginosa</w:t>
            </w:r>
            <w:r>
              <w:rPr>
                <w:sz w:val="12"/>
                <w:szCs w:val="12"/>
              </w:rPr>
              <w:t xml:space="preserve"> BSI in these patients. They aimed to enhance the role of an appropriate antibioprophylaxis in acute leukaemia patients. Numbers were taken from infection model MDR PA BSI. </w:t>
            </w:r>
          </w:p>
        </w:tc>
      </w:tr>
    </w:tbl>
    <w:p w:rsidR="00AD2232" w:rsidRDefault="00AD2232" w:rsidP="00AD2232">
      <w:pPr>
        <w:pStyle w:val="Heading1"/>
        <w:sectPr w:rsidR="00AD2232">
          <w:pgSz w:w="16834" w:h="11909" w:orient="landscape"/>
          <w:pgMar w:top="1440" w:right="1440" w:bottom="1440" w:left="1440" w:header="720" w:footer="720" w:gutter="0"/>
          <w:cols w:space="720"/>
        </w:sectPr>
      </w:pPr>
      <w:bookmarkStart w:id="6" w:name="_rvscretajpgy" w:colFirst="0" w:colLast="0"/>
      <w:bookmarkEnd w:id="6"/>
    </w:p>
    <w:p w:rsidR="00AD2232" w:rsidRDefault="00AD2232" w:rsidP="00AD2232">
      <w:pPr>
        <w:pStyle w:val="Heading1"/>
      </w:pPr>
      <w:bookmarkStart w:id="7" w:name="_7gglkrp1yfdf" w:colFirst="0" w:colLast="0"/>
      <w:bookmarkEnd w:id="7"/>
      <w:r>
        <w:lastRenderedPageBreak/>
        <w:t>Supplementary material 6</w:t>
      </w:r>
    </w:p>
    <w:p w:rsidR="00AD2232" w:rsidRDefault="00AD2232" w:rsidP="00AD2232">
      <w:pPr>
        <w:pStyle w:val="Heading3"/>
        <w:keepNext w:val="0"/>
        <w:keepLines w:val="0"/>
        <w:spacing w:before="480"/>
      </w:pPr>
      <w:bookmarkStart w:id="8" w:name="_2uss895r5ni4" w:colFirst="0" w:colLast="0"/>
      <w:bookmarkEnd w:id="8"/>
      <w:r>
        <w:t>PRISMA 2020 Main Checklist</w:t>
      </w:r>
    </w:p>
    <w:tbl>
      <w:tblPr>
        <w:tblW w:w="9650" w:type="dxa"/>
        <w:tblBorders>
          <w:top w:val="single" w:sz="4" w:space="0" w:color="0A0905"/>
          <w:left w:val="single" w:sz="4" w:space="0" w:color="0A0905"/>
          <w:bottom w:val="single" w:sz="4" w:space="0" w:color="0A0905"/>
          <w:right w:val="single" w:sz="4" w:space="0" w:color="0A0905"/>
          <w:insideH w:val="single" w:sz="4" w:space="0" w:color="0A0905"/>
          <w:insideV w:val="single" w:sz="4" w:space="0" w:color="0A0905"/>
        </w:tblBorders>
        <w:tblLayout w:type="fixed"/>
        <w:tblLook w:val="0600" w:firstRow="0" w:lastRow="0" w:firstColumn="0" w:lastColumn="0" w:noHBand="1" w:noVBand="1"/>
      </w:tblPr>
      <w:tblGrid>
        <w:gridCol w:w="2210"/>
        <w:gridCol w:w="665"/>
        <w:gridCol w:w="5360"/>
        <w:gridCol w:w="1415"/>
      </w:tblGrid>
      <w:tr w:rsidR="00AD2232" w:rsidTr="00A624EB">
        <w:trPr>
          <w:trHeight w:val="1100"/>
        </w:trPr>
        <w:tc>
          <w:tcPr>
            <w:tcW w:w="2210" w:type="dxa"/>
            <w:tcBorders>
              <w:top w:val="single" w:sz="4" w:space="0" w:color="0A0905"/>
              <w:left w:val="single" w:sz="4" w:space="0" w:color="0A0905"/>
              <w:bottom w:val="single" w:sz="4" w:space="0" w:color="0A0905"/>
              <w:right w:val="single" w:sz="4" w:space="0" w:color="0A0905"/>
            </w:tcBorders>
            <w:shd w:val="clear" w:color="auto" w:fill="63639A"/>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color w:val="FFFFFF"/>
                <w:sz w:val="18"/>
                <w:szCs w:val="18"/>
              </w:rPr>
            </w:pPr>
            <w:r>
              <w:rPr>
                <w:rFonts w:ascii="Times New Roman" w:eastAsia="Times New Roman" w:hAnsi="Times New Roman" w:cs="Times New Roman"/>
                <w:b/>
                <w:color w:val="FFFFFF"/>
                <w:sz w:val="18"/>
                <w:szCs w:val="18"/>
              </w:rPr>
              <w:t>Topic</w:t>
            </w:r>
          </w:p>
        </w:tc>
        <w:tc>
          <w:tcPr>
            <w:tcW w:w="665" w:type="dxa"/>
            <w:tcBorders>
              <w:top w:val="single" w:sz="4" w:space="0" w:color="0A0905"/>
              <w:left w:val="single" w:sz="4" w:space="0" w:color="0A0905"/>
              <w:bottom w:val="single" w:sz="4" w:space="0" w:color="0A0905"/>
              <w:right w:val="single" w:sz="4" w:space="0" w:color="0A0905"/>
            </w:tcBorders>
            <w:shd w:val="clear" w:color="auto" w:fill="63639A"/>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b/>
                <w:color w:val="FFFFFF"/>
                <w:sz w:val="18"/>
                <w:szCs w:val="18"/>
              </w:rPr>
            </w:pPr>
            <w:r>
              <w:rPr>
                <w:rFonts w:ascii="Times New Roman" w:eastAsia="Times New Roman" w:hAnsi="Times New Roman" w:cs="Times New Roman"/>
                <w:b/>
                <w:color w:val="FFFFFF"/>
                <w:sz w:val="18"/>
                <w:szCs w:val="18"/>
              </w:rPr>
              <w:t>No.</w:t>
            </w:r>
          </w:p>
        </w:tc>
        <w:tc>
          <w:tcPr>
            <w:tcW w:w="5360" w:type="dxa"/>
            <w:tcBorders>
              <w:top w:val="single" w:sz="4" w:space="0" w:color="0A0905"/>
              <w:left w:val="single" w:sz="4" w:space="0" w:color="0A0905"/>
              <w:bottom w:val="single" w:sz="4" w:space="0" w:color="0A0905"/>
              <w:right w:val="single" w:sz="4" w:space="0" w:color="0A0905"/>
            </w:tcBorders>
            <w:shd w:val="clear" w:color="auto" w:fill="63639A"/>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color w:val="FFFFFF"/>
                <w:sz w:val="18"/>
                <w:szCs w:val="18"/>
              </w:rPr>
            </w:pPr>
            <w:r>
              <w:rPr>
                <w:rFonts w:ascii="Times New Roman" w:eastAsia="Times New Roman" w:hAnsi="Times New Roman" w:cs="Times New Roman"/>
                <w:b/>
                <w:color w:val="FFFFFF"/>
                <w:sz w:val="18"/>
                <w:szCs w:val="18"/>
              </w:rPr>
              <w:t>Item</w:t>
            </w:r>
          </w:p>
        </w:tc>
        <w:tc>
          <w:tcPr>
            <w:tcW w:w="1415" w:type="dxa"/>
            <w:tcBorders>
              <w:top w:val="single" w:sz="4" w:space="0" w:color="0A0905"/>
              <w:left w:val="single" w:sz="4" w:space="0" w:color="0A0905"/>
              <w:bottom w:val="single" w:sz="4" w:space="0" w:color="0A0905"/>
              <w:right w:val="single" w:sz="4" w:space="0" w:color="0A0905"/>
            </w:tcBorders>
            <w:shd w:val="clear" w:color="auto" w:fill="63639A"/>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b/>
                <w:color w:val="FFFFFF"/>
                <w:sz w:val="18"/>
                <w:szCs w:val="18"/>
              </w:rPr>
            </w:pPr>
            <w:r>
              <w:rPr>
                <w:rFonts w:ascii="Times New Roman" w:eastAsia="Times New Roman" w:hAnsi="Times New Roman" w:cs="Times New Roman"/>
                <w:b/>
                <w:color w:val="FFFFFF"/>
                <w:sz w:val="18"/>
                <w:szCs w:val="18"/>
              </w:rPr>
              <w:t>Location where item is reported</w:t>
            </w:r>
          </w:p>
        </w:tc>
      </w:tr>
      <w:tr w:rsidR="00AD2232" w:rsidTr="00A624EB">
        <w:trPr>
          <w:trHeight w:val="680"/>
        </w:trPr>
        <w:tc>
          <w:tcPr>
            <w:tcW w:w="2210" w:type="dxa"/>
            <w:tcBorders>
              <w:top w:val="single" w:sz="4" w:space="0" w:color="0A0905"/>
              <w:left w:val="single" w:sz="4" w:space="0" w:color="0A0905"/>
              <w:bottom w:val="single" w:sz="4" w:space="0" w:color="0A0905"/>
              <w:right w:val="single" w:sz="4" w:space="0" w:color="0A0905"/>
            </w:tcBorders>
            <w:shd w:val="clear" w:color="auto" w:fill="FFFFCC"/>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t>TITLE</w:t>
            </w:r>
          </w:p>
        </w:tc>
        <w:tc>
          <w:tcPr>
            <w:tcW w:w="665" w:type="dxa"/>
            <w:tcBorders>
              <w:top w:val="single" w:sz="4" w:space="0" w:color="0A0905"/>
              <w:left w:val="single" w:sz="4" w:space="0" w:color="0A0905"/>
              <w:bottom w:val="single" w:sz="4" w:space="0" w:color="0A0905"/>
              <w:right w:val="single" w:sz="4" w:space="0" w:color="0A0905"/>
            </w:tcBorders>
            <w:shd w:val="clear" w:color="auto" w:fill="FFFFCC"/>
            <w:tcMar>
              <w:top w:w="100" w:type="dxa"/>
              <w:left w:w="100" w:type="dxa"/>
              <w:bottom w:w="100" w:type="dxa"/>
              <w:right w:w="100" w:type="dxa"/>
            </w:tcMar>
          </w:tcPr>
          <w:p w:rsidR="00AD2232" w:rsidRDefault="00AD2232" w:rsidP="00A624EB">
            <w:pPr>
              <w:spacing w:before="100" w:after="100"/>
              <w:ind w:left="100" w:right="100"/>
              <w:jc w:val="center"/>
            </w:pPr>
            <w:r>
              <w:t xml:space="preserve"> </w:t>
            </w:r>
          </w:p>
        </w:tc>
        <w:tc>
          <w:tcPr>
            <w:tcW w:w="5360" w:type="dxa"/>
            <w:tcBorders>
              <w:top w:val="single" w:sz="4" w:space="0" w:color="0A0905"/>
              <w:left w:val="single" w:sz="4" w:space="0" w:color="0A0905"/>
              <w:bottom w:val="single" w:sz="4" w:space="0" w:color="0A0905"/>
              <w:right w:val="single" w:sz="4" w:space="0" w:color="0A0905"/>
            </w:tcBorders>
            <w:shd w:val="clear" w:color="auto" w:fill="FFFFCC"/>
            <w:tcMar>
              <w:top w:w="100" w:type="dxa"/>
              <w:left w:w="100" w:type="dxa"/>
              <w:bottom w:w="100" w:type="dxa"/>
              <w:right w:w="100" w:type="dxa"/>
            </w:tcMar>
          </w:tcPr>
          <w:p w:rsidR="00AD2232" w:rsidRDefault="00AD2232" w:rsidP="00A624EB">
            <w:pPr>
              <w:spacing w:before="100" w:after="100"/>
              <w:ind w:left="100" w:right="100"/>
            </w:pPr>
            <w:r>
              <w:t xml:space="preserve"> </w:t>
            </w:r>
          </w:p>
        </w:tc>
        <w:tc>
          <w:tcPr>
            <w:tcW w:w="1415" w:type="dxa"/>
            <w:tcBorders>
              <w:top w:val="single" w:sz="4" w:space="0" w:color="0A0905"/>
              <w:left w:val="single" w:sz="4" w:space="0" w:color="0A0905"/>
              <w:bottom w:val="single" w:sz="4" w:space="0" w:color="0A0905"/>
              <w:right w:val="single" w:sz="4" w:space="0" w:color="0A0905"/>
            </w:tcBorders>
            <w:shd w:val="clear" w:color="auto" w:fill="FFFFCC"/>
            <w:tcMar>
              <w:top w:w="100" w:type="dxa"/>
              <w:left w:w="100" w:type="dxa"/>
              <w:bottom w:w="100" w:type="dxa"/>
              <w:right w:w="100" w:type="dxa"/>
            </w:tcMar>
          </w:tcPr>
          <w:p w:rsidR="00AD2232" w:rsidRDefault="00AD2232" w:rsidP="00A624EB">
            <w:pPr>
              <w:spacing w:before="100" w:after="100"/>
              <w:ind w:left="100" w:right="100"/>
              <w:jc w:val="center"/>
            </w:pPr>
            <w:r>
              <w:t xml:space="preserve"> </w:t>
            </w:r>
          </w:p>
        </w:tc>
      </w:tr>
      <w:tr w:rsidR="00AD2232" w:rsidTr="00A624EB">
        <w:trPr>
          <w:trHeight w:val="620"/>
        </w:trPr>
        <w:tc>
          <w:tcPr>
            <w:tcW w:w="221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t>Title</w:t>
            </w:r>
          </w:p>
        </w:tc>
        <w:tc>
          <w:tcPr>
            <w:tcW w:w="66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36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Identify the report as a systematic review.</w:t>
            </w:r>
          </w:p>
        </w:tc>
        <w:tc>
          <w:tcPr>
            <w:tcW w:w="141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pp. 1</w:t>
            </w:r>
          </w:p>
        </w:tc>
      </w:tr>
      <w:tr w:rsidR="00AD2232" w:rsidTr="00A624EB">
        <w:trPr>
          <w:trHeight w:val="665"/>
        </w:trPr>
        <w:tc>
          <w:tcPr>
            <w:tcW w:w="2210" w:type="dxa"/>
            <w:tcBorders>
              <w:top w:val="single" w:sz="4" w:space="0" w:color="0A0905"/>
              <w:left w:val="single" w:sz="4" w:space="0" w:color="0A0905"/>
              <w:bottom w:val="single" w:sz="4" w:space="0" w:color="0A0905"/>
              <w:right w:val="single" w:sz="4" w:space="0" w:color="0A0905"/>
            </w:tcBorders>
            <w:shd w:val="clear" w:color="auto" w:fill="FFFFCC"/>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t>ABSTRACT</w:t>
            </w:r>
          </w:p>
        </w:tc>
        <w:tc>
          <w:tcPr>
            <w:tcW w:w="665" w:type="dxa"/>
            <w:tcBorders>
              <w:top w:val="single" w:sz="4" w:space="0" w:color="0A0905"/>
              <w:left w:val="single" w:sz="4" w:space="0" w:color="0A0905"/>
              <w:bottom w:val="single" w:sz="4" w:space="0" w:color="0A0905"/>
              <w:right w:val="single" w:sz="4" w:space="0" w:color="0A0905"/>
            </w:tcBorders>
            <w:shd w:val="clear" w:color="auto" w:fill="FFFFCC"/>
            <w:tcMar>
              <w:top w:w="100" w:type="dxa"/>
              <w:left w:w="100" w:type="dxa"/>
              <w:bottom w:w="100" w:type="dxa"/>
              <w:right w:w="100" w:type="dxa"/>
            </w:tcMar>
          </w:tcPr>
          <w:p w:rsidR="00AD2232" w:rsidRDefault="00AD2232" w:rsidP="00A624EB">
            <w:pPr>
              <w:spacing w:before="100" w:after="100"/>
              <w:ind w:left="100" w:right="100"/>
              <w:jc w:val="center"/>
            </w:pPr>
            <w:r>
              <w:t xml:space="preserve"> </w:t>
            </w:r>
          </w:p>
        </w:tc>
        <w:tc>
          <w:tcPr>
            <w:tcW w:w="5360" w:type="dxa"/>
            <w:tcBorders>
              <w:top w:val="single" w:sz="4" w:space="0" w:color="0A0905"/>
              <w:left w:val="single" w:sz="4" w:space="0" w:color="0A0905"/>
              <w:bottom w:val="single" w:sz="4" w:space="0" w:color="0A0905"/>
              <w:right w:val="single" w:sz="4" w:space="0" w:color="0A0905"/>
            </w:tcBorders>
            <w:shd w:val="clear" w:color="auto" w:fill="FFFFCC"/>
            <w:tcMar>
              <w:top w:w="100" w:type="dxa"/>
              <w:left w:w="100" w:type="dxa"/>
              <w:bottom w:w="100" w:type="dxa"/>
              <w:right w:w="100" w:type="dxa"/>
            </w:tcMar>
          </w:tcPr>
          <w:p w:rsidR="00AD2232" w:rsidRDefault="00AD2232" w:rsidP="00A624EB">
            <w:pPr>
              <w:spacing w:before="100" w:after="100"/>
              <w:ind w:left="100" w:right="100"/>
            </w:pPr>
            <w:r>
              <w:t xml:space="preserve"> </w:t>
            </w:r>
          </w:p>
        </w:tc>
        <w:tc>
          <w:tcPr>
            <w:tcW w:w="1415" w:type="dxa"/>
            <w:tcBorders>
              <w:top w:val="single" w:sz="4" w:space="0" w:color="0A0905"/>
              <w:left w:val="single" w:sz="4" w:space="0" w:color="0A0905"/>
              <w:bottom w:val="single" w:sz="4" w:space="0" w:color="0A0905"/>
              <w:right w:val="single" w:sz="4" w:space="0" w:color="0A0905"/>
            </w:tcBorders>
            <w:shd w:val="clear" w:color="auto" w:fill="FFFFCC"/>
            <w:tcMar>
              <w:top w:w="100" w:type="dxa"/>
              <w:left w:w="100" w:type="dxa"/>
              <w:bottom w:w="100" w:type="dxa"/>
              <w:right w:w="100" w:type="dxa"/>
            </w:tcMar>
          </w:tcPr>
          <w:p w:rsidR="00AD2232" w:rsidRDefault="00AD2232" w:rsidP="00A624EB">
            <w:pPr>
              <w:spacing w:before="100" w:after="100"/>
              <w:ind w:left="100" w:right="100"/>
              <w:jc w:val="center"/>
            </w:pPr>
            <w:r>
              <w:t xml:space="preserve"> </w:t>
            </w:r>
          </w:p>
        </w:tc>
      </w:tr>
      <w:tr w:rsidR="00AD2232" w:rsidTr="00A624EB">
        <w:trPr>
          <w:trHeight w:val="665"/>
        </w:trPr>
        <w:tc>
          <w:tcPr>
            <w:tcW w:w="221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t>Abstract</w:t>
            </w:r>
          </w:p>
        </w:tc>
        <w:tc>
          <w:tcPr>
            <w:tcW w:w="66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536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See the PRISMA 2020 for Abstracts checklist</w:t>
            </w:r>
          </w:p>
        </w:tc>
        <w:tc>
          <w:tcPr>
            <w:tcW w:w="141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pPr>
            <w:r>
              <w:t xml:space="preserve"> </w:t>
            </w:r>
          </w:p>
        </w:tc>
      </w:tr>
      <w:tr w:rsidR="00AD2232" w:rsidTr="00A624EB">
        <w:trPr>
          <w:trHeight w:val="665"/>
        </w:trPr>
        <w:tc>
          <w:tcPr>
            <w:tcW w:w="2210" w:type="dxa"/>
            <w:tcBorders>
              <w:top w:val="single" w:sz="4" w:space="0" w:color="0A0905"/>
              <w:left w:val="single" w:sz="4" w:space="0" w:color="0A0905"/>
              <w:bottom w:val="single" w:sz="4" w:space="0" w:color="0A0905"/>
              <w:right w:val="single" w:sz="4" w:space="0" w:color="0A0905"/>
            </w:tcBorders>
            <w:shd w:val="clear" w:color="auto" w:fill="FFFFCC"/>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t>INTRODUCTION</w:t>
            </w:r>
          </w:p>
        </w:tc>
        <w:tc>
          <w:tcPr>
            <w:tcW w:w="665" w:type="dxa"/>
            <w:tcBorders>
              <w:top w:val="single" w:sz="4" w:space="0" w:color="0A0905"/>
              <w:left w:val="single" w:sz="4" w:space="0" w:color="0A0905"/>
              <w:bottom w:val="single" w:sz="4" w:space="0" w:color="0A0905"/>
              <w:right w:val="single" w:sz="4" w:space="0" w:color="0A0905"/>
            </w:tcBorders>
            <w:shd w:val="clear" w:color="auto" w:fill="FFFFCC"/>
            <w:tcMar>
              <w:top w:w="100" w:type="dxa"/>
              <w:left w:w="100" w:type="dxa"/>
              <w:bottom w:w="100" w:type="dxa"/>
              <w:right w:w="100" w:type="dxa"/>
            </w:tcMar>
          </w:tcPr>
          <w:p w:rsidR="00AD2232" w:rsidRDefault="00AD2232" w:rsidP="00A624EB">
            <w:pPr>
              <w:spacing w:before="100" w:after="100"/>
              <w:ind w:left="100" w:right="100"/>
              <w:jc w:val="center"/>
            </w:pPr>
            <w:r>
              <w:t xml:space="preserve"> </w:t>
            </w:r>
          </w:p>
        </w:tc>
        <w:tc>
          <w:tcPr>
            <w:tcW w:w="5360" w:type="dxa"/>
            <w:tcBorders>
              <w:top w:val="single" w:sz="4" w:space="0" w:color="0A0905"/>
              <w:left w:val="single" w:sz="4" w:space="0" w:color="0A0905"/>
              <w:bottom w:val="single" w:sz="4" w:space="0" w:color="0A0905"/>
              <w:right w:val="single" w:sz="4" w:space="0" w:color="0A0905"/>
            </w:tcBorders>
            <w:shd w:val="clear" w:color="auto" w:fill="FFFFCC"/>
            <w:tcMar>
              <w:top w:w="100" w:type="dxa"/>
              <w:left w:w="100" w:type="dxa"/>
              <w:bottom w:w="100" w:type="dxa"/>
              <w:right w:w="100" w:type="dxa"/>
            </w:tcMar>
          </w:tcPr>
          <w:p w:rsidR="00AD2232" w:rsidRDefault="00AD2232" w:rsidP="00A624EB">
            <w:pPr>
              <w:spacing w:before="100" w:after="100"/>
              <w:ind w:left="100" w:right="100"/>
            </w:pPr>
            <w:r>
              <w:t xml:space="preserve"> </w:t>
            </w:r>
          </w:p>
        </w:tc>
        <w:tc>
          <w:tcPr>
            <w:tcW w:w="1415" w:type="dxa"/>
            <w:tcBorders>
              <w:top w:val="single" w:sz="4" w:space="0" w:color="0A0905"/>
              <w:left w:val="single" w:sz="4" w:space="0" w:color="0A0905"/>
              <w:bottom w:val="single" w:sz="4" w:space="0" w:color="0A0905"/>
              <w:right w:val="single" w:sz="4" w:space="0" w:color="0A0905"/>
            </w:tcBorders>
            <w:shd w:val="clear" w:color="auto" w:fill="FFFFCC"/>
            <w:tcMar>
              <w:top w:w="100" w:type="dxa"/>
              <w:left w:w="100" w:type="dxa"/>
              <w:bottom w:w="100" w:type="dxa"/>
              <w:right w:w="100" w:type="dxa"/>
            </w:tcMar>
          </w:tcPr>
          <w:p w:rsidR="00AD2232" w:rsidRDefault="00AD2232" w:rsidP="00A624EB">
            <w:pPr>
              <w:spacing w:before="100" w:after="100"/>
              <w:ind w:left="100" w:right="100"/>
              <w:jc w:val="center"/>
            </w:pPr>
            <w:r>
              <w:t xml:space="preserve"> </w:t>
            </w:r>
          </w:p>
        </w:tc>
      </w:tr>
      <w:tr w:rsidR="00AD2232" w:rsidTr="00A624EB">
        <w:trPr>
          <w:trHeight w:val="845"/>
        </w:trPr>
        <w:tc>
          <w:tcPr>
            <w:tcW w:w="221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t>Rationale</w:t>
            </w:r>
          </w:p>
        </w:tc>
        <w:tc>
          <w:tcPr>
            <w:tcW w:w="66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536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Describe the rationale for the review in the context of existing knowledge.</w:t>
            </w:r>
          </w:p>
        </w:tc>
        <w:tc>
          <w:tcPr>
            <w:tcW w:w="141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pp. 2</w:t>
            </w:r>
          </w:p>
        </w:tc>
      </w:tr>
      <w:tr w:rsidR="00AD2232" w:rsidTr="00A624EB">
        <w:trPr>
          <w:trHeight w:val="845"/>
        </w:trPr>
        <w:tc>
          <w:tcPr>
            <w:tcW w:w="221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t>Objectives</w:t>
            </w:r>
          </w:p>
        </w:tc>
        <w:tc>
          <w:tcPr>
            <w:tcW w:w="66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536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Provide an explicit statement of the objective(s) or question(s) the review addresses.</w:t>
            </w:r>
          </w:p>
        </w:tc>
        <w:tc>
          <w:tcPr>
            <w:tcW w:w="141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pp. 3</w:t>
            </w:r>
          </w:p>
        </w:tc>
      </w:tr>
      <w:tr w:rsidR="00AD2232" w:rsidTr="00A624EB">
        <w:trPr>
          <w:trHeight w:val="665"/>
        </w:trPr>
        <w:tc>
          <w:tcPr>
            <w:tcW w:w="2210" w:type="dxa"/>
            <w:tcBorders>
              <w:top w:val="single" w:sz="4" w:space="0" w:color="0A0905"/>
              <w:left w:val="single" w:sz="4" w:space="0" w:color="0A0905"/>
              <w:bottom w:val="single" w:sz="4" w:space="0" w:color="0A0905"/>
              <w:right w:val="single" w:sz="4" w:space="0" w:color="0A0905"/>
            </w:tcBorders>
            <w:shd w:val="clear" w:color="auto" w:fill="FFFFCC"/>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t>METHODS</w:t>
            </w:r>
          </w:p>
        </w:tc>
        <w:tc>
          <w:tcPr>
            <w:tcW w:w="665" w:type="dxa"/>
            <w:tcBorders>
              <w:top w:val="single" w:sz="4" w:space="0" w:color="0A0905"/>
              <w:left w:val="single" w:sz="4" w:space="0" w:color="0A0905"/>
              <w:bottom w:val="single" w:sz="4" w:space="0" w:color="0A0905"/>
              <w:right w:val="single" w:sz="4" w:space="0" w:color="0A0905"/>
            </w:tcBorders>
            <w:shd w:val="clear" w:color="auto" w:fill="FFFFCC"/>
            <w:tcMar>
              <w:top w:w="100" w:type="dxa"/>
              <w:left w:w="100" w:type="dxa"/>
              <w:bottom w:w="100" w:type="dxa"/>
              <w:right w:w="100" w:type="dxa"/>
            </w:tcMar>
          </w:tcPr>
          <w:p w:rsidR="00AD2232" w:rsidRDefault="00AD2232" w:rsidP="00A624EB">
            <w:pPr>
              <w:spacing w:before="100" w:after="100"/>
              <w:ind w:left="100" w:right="100"/>
              <w:jc w:val="center"/>
            </w:pPr>
            <w:r>
              <w:t xml:space="preserve"> </w:t>
            </w:r>
          </w:p>
        </w:tc>
        <w:tc>
          <w:tcPr>
            <w:tcW w:w="5360" w:type="dxa"/>
            <w:tcBorders>
              <w:top w:val="single" w:sz="4" w:space="0" w:color="0A0905"/>
              <w:left w:val="single" w:sz="4" w:space="0" w:color="0A0905"/>
              <w:bottom w:val="single" w:sz="4" w:space="0" w:color="0A0905"/>
              <w:right w:val="single" w:sz="4" w:space="0" w:color="0A0905"/>
            </w:tcBorders>
            <w:shd w:val="clear" w:color="auto" w:fill="FFFFCC"/>
            <w:tcMar>
              <w:top w:w="100" w:type="dxa"/>
              <w:left w:w="100" w:type="dxa"/>
              <w:bottom w:w="100" w:type="dxa"/>
              <w:right w:w="100" w:type="dxa"/>
            </w:tcMar>
          </w:tcPr>
          <w:p w:rsidR="00AD2232" w:rsidRDefault="00AD2232" w:rsidP="00A624EB">
            <w:pPr>
              <w:spacing w:before="100" w:after="100"/>
              <w:ind w:left="100" w:right="100"/>
            </w:pPr>
            <w:r>
              <w:t xml:space="preserve"> </w:t>
            </w:r>
          </w:p>
        </w:tc>
        <w:tc>
          <w:tcPr>
            <w:tcW w:w="1415" w:type="dxa"/>
            <w:tcBorders>
              <w:top w:val="single" w:sz="4" w:space="0" w:color="0A0905"/>
              <w:left w:val="single" w:sz="4" w:space="0" w:color="0A0905"/>
              <w:bottom w:val="single" w:sz="4" w:space="0" w:color="0A0905"/>
              <w:right w:val="single" w:sz="4" w:space="0" w:color="0A0905"/>
            </w:tcBorders>
            <w:shd w:val="clear" w:color="auto" w:fill="FFFFCC"/>
            <w:tcMar>
              <w:top w:w="100" w:type="dxa"/>
              <w:left w:w="100" w:type="dxa"/>
              <w:bottom w:w="100" w:type="dxa"/>
              <w:right w:w="100" w:type="dxa"/>
            </w:tcMar>
          </w:tcPr>
          <w:p w:rsidR="00AD2232" w:rsidRDefault="00AD2232" w:rsidP="00A624EB">
            <w:pPr>
              <w:spacing w:before="100" w:after="100"/>
              <w:ind w:left="100" w:right="100"/>
              <w:jc w:val="center"/>
            </w:pPr>
            <w:r>
              <w:t xml:space="preserve"> </w:t>
            </w:r>
          </w:p>
        </w:tc>
      </w:tr>
      <w:tr w:rsidR="00AD2232" w:rsidTr="00A624EB">
        <w:trPr>
          <w:trHeight w:val="845"/>
        </w:trPr>
        <w:tc>
          <w:tcPr>
            <w:tcW w:w="221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t>Eligibility criteria</w:t>
            </w:r>
          </w:p>
        </w:tc>
        <w:tc>
          <w:tcPr>
            <w:tcW w:w="66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536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Specify the inclusion and exclusion criteria for the review and how studies were grouped for the syntheses.</w:t>
            </w:r>
          </w:p>
        </w:tc>
        <w:tc>
          <w:tcPr>
            <w:tcW w:w="141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pp. 4</w:t>
            </w:r>
          </w:p>
        </w:tc>
      </w:tr>
      <w:tr w:rsidR="00AD2232" w:rsidTr="00A624EB">
        <w:trPr>
          <w:trHeight w:val="1070"/>
        </w:trPr>
        <w:tc>
          <w:tcPr>
            <w:tcW w:w="221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t>Information sources</w:t>
            </w:r>
          </w:p>
        </w:tc>
        <w:tc>
          <w:tcPr>
            <w:tcW w:w="66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536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Specify all databases, registers, websites, organisations, reference lists and other sources searched or consulted to identify studies. Specify the date when each source was last searched or consulted.</w:t>
            </w:r>
          </w:p>
        </w:tc>
        <w:tc>
          <w:tcPr>
            <w:tcW w:w="141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pp. 3</w:t>
            </w:r>
          </w:p>
        </w:tc>
      </w:tr>
      <w:tr w:rsidR="00AD2232" w:rsidTr="00A624EB">
        <w:trPr>
          <w:trHeight w:val="845"/>
        </w:trPr>
        <w:tc>
          <w:tcPr>
            <w:tcW w:w="221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t>Search strategy</w:t>
            </w:r>
          </w:p>
        </w:tc>
        <w:tc>
          <w:tcPr>
            <w:tcW w:w="66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tc>
        <w:tc>
          <w:tcPr>
            <w:tcW w:w="536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Present the full search strategies for all databases, registers and websites, including any filters and limits used.</w:t>
            </w:r>
          </w:p>
        </w:tc>
        <w:tc>
          <w:tcPr>
            <w:tcW w:w="141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S1, S2</w:t>
            </w:r>
          </w:p>
        </w:tc>
      </w:tr>
      <w:tr w:rsidR="00AD2232" w:rsidTr="00A624EB">
        <w:trPr>
          <w:trHeight w:val="1520"/>
        </w:trPr>
        <w:tc>
          <w:tcPr>
            <w:tcW w:w="221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lastRenderedPageBreak/>
              <w:t>Selection process</w:t>
            </w:r>
          </w:p>
        </w:tc>
        <w:tc>
          <w:tcPr>
            <w:tcW w:w="66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536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1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pp. 4</w:t>
            </w:r>
          </w:p>
        </w:tc>
      </w:tr>
      <w:tr w:rsidR="00AD2232" w:rsidTr="00A624EB">
        <w:trPr>
          <w:trHeight w:val="1520"/>
        </w:trPr>
        <w:tc>
          <w:tcPr>
            <w:tcW w:w="221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t>Data collection process</w:t>
            </w:r>
          </w:p>
        </w:tc>
        <w:tc>
          <w:tcPr>
            <w:tcW w:w="66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tc>
        <w:tc>
          <w:tcPr>
            <w:tcW w:w="536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1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pp. 4-5</w:t>
            </w:r>
          </w:p>
        </w:tc>
      </w:tr>
      <w:tr w:rsidR="00AD2232" w:rsidTr="00A624EB">
        <w:trPr>
          <w:trHeight w:val="1520"/>
        </w:trPr>
        <w:tc>
          <w:tcPr>
            <w:tcW w:w="221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t>Data items</w:t>
            </w:r>
          </w:p>
        </w:tc>
        <w:tc>
          <w:tcPr>
            <w:tcW w:w="66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10a</w:t>
            </w:r>
          </w:p>
        </w:tc>
        <w:tc>
          <w:tcPr>
            <w:tcW w:w="536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41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pp. 4-5</w:t>
            </w:r>
          </w:p>
        </w:tc>
      </w:tr>
      <w:tr w:rsidR="00AD2232" w:rsidTr="00A624EB">
        <w:trPr>
          <w:trHeight w:val="1295"/>
        </w:trPr>
        <w:tc>
          <w:tcPr>
            <w:tcW w:w="221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pPr>
            <w:r>
              <w:t xml:space="preserve"> </w:t>
            </w:r>
          </w:p>
        </w:tc>
        <w:tc>
          <w:tcPr>
            <w:tcW w:w="66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10b</w:t>
            </w:r>
          </w:p>
        </w:tc>
        <w:tc>
          <w:tcPr>
            <w:tcW w:w="536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List and define all other variables for which data were sought (e.g. participant and intervention characteristics, funding sources). Describe any assumptions made about any missing or unclear information.</w:t>
            </w:r>
          </w:p>
        </w:tc>
        <w:tc>
          <w:tcPr>
            <w:tcW w:w="141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pp. 4-5</w:t>
            </w:r>
          </w:p>
        </w:tc>
      </w:tr>
      <w:tr w:rsidR="00AD2232" w:rsidTr="00A624EB">
        <w:trPr>
          <w:trHeight w:val="1295"/>
        </w:trPr>
        <w:tc>
          <w:tcPr>
            <w:tcW w:w="221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t>Study risk of bias assessment</w:t>
            </w:r>
          </w:p>
        </w:tc>
        <w:tc>
          <w:tcPr>
            <w:tcW w:w="66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w:t>
            </w:r>
          </w:p>
        </w:tc>
        <w:tc>
          <w:tcPr>
            <w:tcW w:w="536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1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pp. 4</w:t>
            </w:r>
          </w:p>
        </w:tc>
      </w:tr>
      <w:tr w:rsidR="00AD2232" w:rsidTr="00A624EB">
        <w:trPr>
          <w:trHeight w:val="845"/>
        </w:trPr>
        <w:tc>
          <w:tcPr>
            <w:tcW w:w="221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t>Effect measures</w:t>
            </w:r>
          </w:p>
        </w:tc>
        <w:tc>
          <w:tcPr>
            <w:tcW w:w="66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w:t>
            </w:r>
          </w:p>
        </w:tc>
        <w:tc>
          <w:tcPr>
            <w:tcW w:w="536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Specify for each outcome the effect measure(s) (e.g. risk ratio, mean difference) used in the synthesis or presentation of results.</w:t>
            </w:r>
          </w:p>
        </w:tc>
        <w:tc>
          <w:tcPr>
            <w:tcW w:w="141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r>
      <w:tr w:rsidR="00AD2232" w:rsidTr="00A624EB">
        <w:trPr>
          <w:trHeight w:val="1295"/>
        </w:trPr>
        <w:tc>
          <w:tcPr>
            <w:tcW w:w="221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t>Synthesis methods</w:t>
            </w:r>
          </w:p>
        </w:tc>
        <w:tc>
          <w:tcPr>
            <w:tcW w:w="66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13a</w:t>
            </w:r>
          </w:p>
        </w:tc>
        <w:tc>
          <w:tcPr>
            <w:tcW w:w="536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Describe the processes used to decide which studies were eligible for each synthesis (e.g. tabulating the study intervention characteristics and comparing against the planned groups for each synthesis (item 5)).</w:t>
            </w:r>
          </w:p>
        </w:tc>
        <w:tc>
          <w:tcPr>
            <w:tcW w:w="141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r>
      <w:tr w:rsidR="00AD2232" w:rsidTr="00A624EB">
        <w:trPr>
          <w:trHeight w:val="1070"/>
        </w:trPr>
        <w:tc>
          <w:tcPr>
            <w:tcW w:w="2210" w:type="dxa"/>
            <w:vMerge w:val="restart"/>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pPr>
            <w:r>
              <w:t xml:space="preserve"> </w:t>
            </w:r>
          </w:p>
        </w:tc>
        <w:tc>
          <w:tcPr>
            <w:tcW w:w="66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13b</w:t>
            </w:r>
          </w:p>
        </w:tc>
        <w:tc>
          <w:tcPr>
            <w:tcW w:w="536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Describe any methods required to prepare the data for presentation or synthesis, such as handling of missing summary statistics, or data conversions.</w:t>
            </w:r>
          </w:p>
        </w:tc>
        <w:tc>
          <w:tcPr>
            <w:tcW w:w="141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r>
      <w:tr w:rsidR="00AD2232" w:rsidTr="00A624EB">
        <w:trPr>
          <w:trHeight w:val="845"/>
        </w:trPr>
        <w:tc>
          <w:tcPr>
            <w:tcW w:w="2210" w:type="dxa"/>
            <w:vMerge/>
            <w:tcBorders>
              <w:bottom w:val="single" w:sz="4" w:space="0" w:color="0A0905"/>
              <w:right w:val="single" w:sz="4" w:space="0" w:color="0A0905"/>
            </w:tcBorders>
            <w:shd w:val="clear" w:color="auto" w:fill="auto"/>
            <w:tcMar>
              <w:top w:w="100" w:type="dxa"/>
              <w:left w:w="100" w:type="dxa"/>
              <w:bottom w:w="100" w:type="dxa"/>
              <w:right w:w="100" w:type="dxa"/>
            </w:tcMar>
          </w:tcPr>
          <w:p w:rsidR="00AD2232" w:rsidRDefault="00AD2232" w:rsidP="00A624EB"/>
        </w:tc>
        <w:tc>
          <w:tcPr>
            <w:tcW w:w="66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13c</w:t>
            </w:r>
          </w:p>
        </w:tc>
        <w:tc>
          <w:tcPr>
            <w:tcW w:w="536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Describe any methods used to tabulate or visually display results of individual studies and syntheses.</w:t>
            </w:r>
          </w:p>
        </w:tc>
        <w:tc>
          <w:tcPr>
            <w:tcW w:w="141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pp. 4-5</w:t>
            </w:r>
          </w:p>
        </w:tc>
      </w:tr>
      <w:tr w:rsidR="00AD2232" w:rsidTr="00A624EB">
        <w:trPr>
          <w:trHeight w:val="1295"/>
        </w:trPr>
        <w:tc>
          <w:tcPr>
            <w:tcW w:w="2210" w:type="dxa"/>
            <w:vMerge/>
            <w:tcBorders>
              <w:bottom w:val="single" w:sz="4" w:space="0" w:color="0A0905"/>
              <w:right w:val="single" w:sz="4" w:space="0" w:color="0A0905"/>
            </w:tcBorders>
            <w:shd w:val="clear" w:color="auto" w:fill="auto"/>
            <w:tcMar>
              <w:top w:w="100" w:type="dxa"/>
              <w:left w:w="100" w:type="dxa"/>
              <w:bottom w:w="100" w:type="dxa"/>
              <w:right w:w="100" w:type="dxa"/>
            </w:tcMar>
          </w:tcPr>
          <w:p w:rsidR="00AD2232" w:rsidRDefault="00AD2232" w:rsidP="00A624EB"/>
        </w:tc>
        <w:tc>
          <w:tcPr>
            <w:tcW w:w="66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13d</w:t>
            </w:r>
          </w:p>
        </w:tc>
        <w:tc>
          <w:tcPr>
            <w:tcW w:w="536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41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pp. 4-5</w:t>
            </w:r>
          </w:p>
        </w:tc>
      </w:tr>
      <w:tr w:rsidR="00AD2232" w:rsidTr="00A624EB">
        <w:trPr>
          <w:trHeight w:val="1070"/>
        </w:trPr>
        <w:tc>
          <w:tcPr>
            <w:tcW w:w="2210" w:type="dxa"/>
            <w:vMerge/>
            <w:tcBorders>
              <w:bottom w:val="single" w:sz="4" w:space="0" w:color="0A0905"/>
              <w:right w:val="single" w:sz="4" w:space="0" w:color="0A0905"/>
            </w:tcBorders>
            <w:shd w:val="clear" w:color="auto" w:fill="auto"/>
            <w:tcMar>
              <w:top w:w="100" w:type="dxa"/>
              <w:left w:w="100" w:type="dxa"/>
              <w:bottom w:w="100" w:type="dxa"/>
              <w:right w:w="100" w:type="dxa"/>
            </w:tcMar>
          </w:tcPr>
          <w:p w:rsidR="00AD2232" w:rsidRDefault="00AD2232" w:rsidP="00A624EB"/>
        </w:tc>
        <w:tc>
          <w:tcPr>
            <w:tcW w:w="66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13e</w:t>
            </w:r>
          </w:p>
        </w:tc>
        <w:tc>
          <w:tcPr>
            <w:tcW w:w="536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Describe any methods used to explore possible causes of heterogeneity among study results (e.g. subgroup analysis, meta-regression).</w:t>
            </w:r>
          </w:p>
        </w:tc>
        <w:tc>
          <w:tcPr>
            <w:tcW w:w="141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r>
      <w:tr w:rsidR="00AD2232" w:rsidTr="00A624EB">
        <w:trPr>
          <w:trHeight w:val="845"/>
        </w:trPr>
        <w:tc>
          <w:tcPr>
            <w:tcW w:w="2210" w:type="dxa"/>
            <w:vMerge/>
            <w:tcBorders>
              <w:bottom w:val="single" w:sz="4" w:space="0" w:color="0A0905"/>
              <w:right w:val="single" w:sz="4" w:space="0" w:color="0A0905"/>
            </w:tcBorders>
            <w:shd w:val="clear" w:color="auto" w:fill="auto"/>
            <w:tcMar>
              <w:top w:w="100" w:type="dxa"/>
              <w:left w:w="100" w:type="dxa"/>
              <w:bottom w:w="100" w:type="dxa"/>
              <w:right w:w="100" w:type="dxa"/>
            </w:tcMar>
          </w:tcPr>
          <w:p w:rsidR="00AD2232" w:rsidRDefault="00AD2232" w:rsidP="00A624EB"/>
        </w:tc>
        <w:tc>
          <w:tcPr>
            <w:tcW w:w="66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13f</w:t>
            </w:r>
          </w:p>
        </w:tc>
        <w:tc>
          <w:tcPr>
            <w:tcW w:w="536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Describe any sensitivity analyses conducted to assess robustness of the synthesized results.</w:t>
            </w:r>
          </w:p>
        </w:tc>
        <w:tc>
          <w:tcPr>
            <w:tcW w:w="141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r>
      <w:tr w:rsidR="00AD2232" w:rsidTr="00A624EB">
        <w:trPr>
          <w:trHeight w:val="845"/>
        </w:trPr>
        <w:tc>
          <w:tcPr>
            <w:tcW w:w="221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t>Reporting bias assessment</w:t>
            </w:r>
          </w:p>
        </w:tc>
        <w:tc>
          <w:tcPr>
            <w:tcW w:w="66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14</w:t>
            </w:r>
          </w:p>
        </w:tc>
        <w:tc>
          <w:tcPr>
            <w:tcW w:w="536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Describe any methods used to assess risk of bias due to missing results in a synthesis (arising from reporting biases).</w:t>
            </w:r>
          </w:p>
        </w:tc>
        <w:tc>
          <w:tcPr>
            <w:tcW w:w="141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r>
      <w:tr w:rsidR="00AD2232" w:rsidTr="00A624EB">
        <w:trPr>
          <w:trHeight w:val="845"/>
        </w:trPr>
        <w:tc>
          <w:tcPr>
            <w:tcW w:w="221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t>Certainty assessment</w:t>
            </w:r>
          </w:p>
        </w:tc>
        <w:tc>
          <w:tcPr>
            <w:tcW w:w="66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w:t>
            </w:r>
          </w:p>
        </w:tc>
        <w:tc>
          <w:tcPr>
            <w:tcW w:w="536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Describe any methods used to assess certainty (or confidence) in the body of evidence for an outcome.</w:t>
            </w:r>
          </w:p>
        </w:tc>
        <w:tc>
          <w:tcPr>
            <w:tcW w:w="141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r>
      <w:tr w:rsidR="00AD2232" w:rsidTr="00A624EB">
        <w:trPr>
          <w:trHeight w:val="665"/>
        </w:trPr>
        <w:tc>
          <w:tcPr>
            <w:tcW w:w="2210" w:type="dxa"/>
            <w:tcBorders>
              <w:top w:val="single" w:sz="4" w:space="0" w:color="0A0905"/>
              <w:left w:val="single" w:sz="4" w:space="0" w:color="0A0905"/>
              <w:bottom w:val="single" w:sz="4" w:space="0" w:color="0A0905"/>
              <w:right w:val="single" w:sz="4" w:space="0" w:color="0A0905"/>
            </w:tcBorders>
            <w:shd w:val="clear" w:color="auto" w:fill="FFFFCC"/>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t>RESULTS</w:t>
            </w:r>
          </w:p>
        </w:tc>
        <w:tc>
          <w:tcPr>
            <w:tcW w:w="665" w:type="dxa"/>
            <w:tcBorders>
              <w:top w:val="single" w:sz="4" w:space="0" w:color="0A0905"/>
              <w:left w:val="single" w:sz="4" w:space="0" w:color="0A0905"/>
              <w:bottom w:val="single" w:sz="4" w:space="0" w:color="0A0905"/>
              <w:right w:val="single" w:sz="4" w:space="0" w:color="0A0905"/>
            </w:tcBorders>
            <w:shd w:val="clear" w:color="auto" w:fill="FFFFCC"/>
            <w:tcMar>
              <w:top w:w="100" w:type="dxa"/>
              <w:left w:w="100" w:type="dxa"/>
              <w:bottom w:w="100" w:type="dxa"/>
              <w:right w:w="100" w:type="dxa"/>
            </w:tcMar>
          </w:tcPr>
          <w:p w:rsidR="00AD2232" w:rsidRDefault="00AD2232" w:rsidP="00A624EB">
            <w:pPr>
              <w:spacing w:before="100" w:after="100"/>
              <w:ind w:left="100" w:right="100"/>
              <w:jc w:val="center"/>
            </w:pPr>
            <w:r>
              <w:t xml:space="preserve"> </w:t>
            </w:r>
          </w:p>
        </w:tc>
        <w:tc>
          <w:tcPr>
            <w:tcW w:w="5360" w:type="dxa"/>
            <w:tcBorders>
              <w:top w:val="single" w:sz="4" w:space="0" w:color="0A0905"/>
              <w:left w:val="single" w:sz="4" w:space="0" w:color="0A0905"/>
              <w:bottom w:val="single" w:sz="4" w:space="0" w:color="0A0905"/>
              <w:right w:val="single" w:sz="4" w:space="0" w:color="0A0905"/>
            </w:tcBorders>
            <w:shd w:val="clear" w:color="auto" w:fill="FFFFCC"/>
            <w:tcMar>
              <w:top w:w="100" w:type="dxa"/>
              <w:left w:w="100" w:type="dxa"/>
              <w:bottom w:w="100" w:type="dxa"/>
              <w:right w:w="100" w:type="dxa"/>
            </w:tcMar>
          </w:tcPr>
          <w:p w:rsidR="00AD2232" w:rsidRDefault="00AD2232" w:rsidP="00A624EB">
            <w:pPr>
              <w:spacing w:before="100" w:after="100"/>
              <w:ind w:left="100" w:right="100"/>
            </w:pPr>
            <w:r>
              <w:t xml:space="preserve"> </w:t>
            </w:r>
          </w:p>
        </w:tc>
        <w:tc>
          <w:tcPr>
            <w:tcW w:w="1415" w:type="dxa"/>
            <w:tcBorders>
              <w:top w:val="single" w:sz="4" w:space="0" w:color="0A0905"/>
              <w:left w:val="single" w:sz="4" w:space="0" w:color="0A0905"/>
              <w:bottom w:val="single" w:sz="4" w:space="0" w:color="0A0905"/>
              <w:right w:val="single" w:sz="4" w:space="0" w:color="0A0905"/>
            </w:tcBorders>
            <w:shd w:val="clear" w:color="auto" w:fill="FFFFCC"/>
            <w:tcMar>
              <w:top w:w="100" w:type="dxa"/>
              <w:left w:w="100" w:type="dxa"/>
              <w:bottom w:w="100" w:type="dxa"/>
              <w:right w:w="100" w:type="dxa"/>
            </w:tcMar>
          </w:tcPr>
          <w:p w:rsidR="00AD2232" w:rsidRDefault="00AD2232" w:rsidP="00A624EB">
            <w:pPr>
              <w:spacing w:before="100" w:after="100"/>
              <w:ind w:left="100" w:right="100"/>
              <w:jc w:val="center"/>
            </w:pPr>
            <w:r>
              <w:t xml:space="preserve"> </w:t>
            </w:r>
          </w:p>
        </w:tc>
      </w:tr>
      <w:tr w:rsidR="00AD2232" w:rsidTr="00A624EB">
        <w:trPr>
          <w:trHeight w:val="1070"/>
        </w:trPr>
        <w:tc>
          <w:tcPr>
            <w:tcW w:w="221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t>Study selection</w:t>
            </w:r>
          </w:p>
        </w:tc>
        <w:tc>
          <w:tcPr>
            <w:tcW w:w="66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16a</w:t>
            </w:r>
          </w:p>
        </w:tc>
        <w:tc>
          <w:tcPr>
            <w:tcW w:w="536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Describe the results of the search and selection process, from the number of records identified in the search to the number of studies included in the review, ideally using a flow diagram.</w:t>
            </w:r>
          </w:p>
        </w:tc>
        <w:tc>
          <w:tcPr>
            <w:tcW w:w="141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pp. 5-6</w:t>
            </w:r>
          </w:p>
        </w:tc>
      </w:tr>
      <w:tr w:rsidR="00AD2232" w:rsidTr="00A624EB">
        <w:trPr>
          <w:trHeight w:val="845"/>
        </w:trPr>
        <w:tc>
          <w:tcPr>
            <w:tcW w:w="221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pPr>
            <w:r>
              <w:t xml:space="preserve"> </w:t>
            </w:r>
          </w:p>
        </w:tc>
        <w:tc>
          <w:tcPr>
            <w:tcW w:w="66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16b</w:t>
            </w:r>
          </w:p>
        </w:tc>
        <w:tc>
          <w:tcPr>
            <w:tcW w:w="536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Cite studies that might appear to meet the inclusion criteria, but which were excluded, and explain why they were excluded.</w:t>
            </w:r>
          </w:p>
        </w:tc>
        <w:tc>
          <w:tcPr>
            <w:tcW w:w="141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pp. 12-13</w:t>
            </w:r>
          </w:p>
        </w:tc>
      </w:tr>
      <w:tr w:rsidR="00AD2232" w:rsidTr="00A624EB">
        <w:trPr>
          <w:trHeight w:val="620"/>
        </w:trPr>
        <w:tc>
          <w:tcPr>
            <w:tcW w:w="221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t>Study characteristics</w:t>
            </w:r>
          </w:p>
        </w:tc>
        <w:tc>
          <w:tcPr>
            <w:tcW w:w="66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c>
          <w:tcPr>
            <w:tcW w:w="536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Cite each included study and present its characteristics.</w:t>
            </w:r>
          </w:p>
        </w:tc>
        <w:tc>
          <w:tcPr>
            <w:tcW w:w="141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S4, S5, S6</w:t>
            </w:r>
          </w:p>
        </w:tc>
      </w:tr>
      <w:tr w:rsidR="00AD2232" w:rsidTr="00A624EB">
        <w:trPr>
          <w:trHeight w:val="620"/>
        </w:trPr>
        <w:tc>
          <w:tcPr>
            <w:tcW w:w="221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t>Risk of bias in studies</w:t>
            </w:r>
          </w:p>
        </w:tc>
        <w:tc>
          <w:tcPr>
            <w:tcW w:w="66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536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Present assessments of risk of bias for each included study.</w:t>
            </w:r>
          </w:p>
        </w:tc>
        <w:tc>
          <w:tcPr>
            <w:tcW w:w="141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S4, S5, S6</w:t>
            </w:r>
          </w:p>
        </w:tc>
      </w:tr>
      <w:tr w:rsidR="00AD2232" w:rsidTr="00A624EB">
        <w:trPr>
          <w:trHeight w:val="1295"/>
        </w:trPr>
        <w:tc>
          <w:tcPr>
            <w:tcW w:w="221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t>Results of individual studies</w:t>
            </w:r>
          </w:p>
        </w:tc>
        <w:tc>
          <w:tcPr>
            <w:tcW w:w="66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19</w:t>
            </w:r>
          </w:p>
        </w:tc>
        <w:tc>
          <w:tcPr>
            <w:tcW w:w="536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For all outcomes, present, for each study: (a) summary statistics for each group (where appropriate) and (b) an effect estimate and its precision (e.g. confidence/credible interval), ideally using structured tables or plots.</w:t>
            </w:r>
          </w:p>
        </w:tc>
        <w:tc>
          <w:tcPr>
            <w:tcW w:w="141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pp. 7-8</w:t>
            </w:r>
          </w:p>
        </w:tc>
      </w:tr>
      <w:tr w:rsidR="00AD2232" w:rsidTr="00A624EB">
        <w:trPr>
          <w:trHeight w:val="845"/>
        </w:trPr>
        <w:tc>
          <w:tcPr>
            <w:tcW w:w="221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t>Results of syntheses</w:t>
            </w:r>
          </w:p>
        </w:tc>
        <w:tc>
          <w:tcPr>
            <w:tcW w:w="66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20a</w:t>
            </w:r>
          </w:p>
        </w:tc>
        <w:tc>
          <w:tcPr>
            <w:tcW w:w="536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For each synthesis, briefly summarise the characteristics and risk of bias among contributing studies.</w:t>
            </w:r>
          </w:p>
        </w:tc>
        <w:tc>
          <w:tcPr>
            <w:tcW w:w="141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r>
      <w:tr w:rsidR="00AD2232" w:rsidTr="00A624EB">
        <w:trPr>
          <w:trHeight w:val="1520"/>
        </w:trPr>
        <w:tc>
          <w:tcPr>
            <w:tcW w:w="2210" w:type="dxa"/>
            <w:vMerge w:val="restart"/>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pPr>
            <w:r>
              <w:lastRenderedPageBreak/>
              <w:t xml:space="preserve"> </w:t>
            </w:r>
          </w:p>
        </w:tc>
        <w:tc>
          <w:tcPr>
            <w:tcW w:w="66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20b</w:t>
            </w:r>
          </w:p>
        </w:tc>
        <w:tc>
          <w:tcPr>
            <w:tcW w:w="536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41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pp. 7-8</w:t>
            </w:r>
          </w:p>
        </w:tc>
      </w:tr>
      <w:tr w:rsidR="00AD2232" w:rsidTr="00A624EB">
        <w:trPr>
          <w:trHeight w:val="845"/>
        </w:trPr>
        <w:tc>
          <w:tcPr>
            <w:tcW w:w="2210" w:type="dxa"/>
            <w:vMerge/>
            <w:tcBorders>
              <w:bottom w:val="single" w:sz="4" w:space="0" w:color="0A0905"/>
              <w:right w:val="single" w:sz="4" w:space="0" w:color="0A0905"/>
            </w:tcBorders>
            <w:shd w:val="clear" w:color="auto" w:fill="auto"/>
            <w:tcMar>
              <w:top w:w="100" w:type="dxa"/>
              <w:left w:w="100" w:type="dxa"/>
              <w:bottom w:w="100" w:type="dxa"/>
              <w:right w:w="100" w:type="dxa"/>
            </w:tcMar>
          </w:tcPr>
          <w:p w:rsidR="00AD2232" w:rsidRDefault="00AD2232" w:rsidP="00A624EB"/>
        </w:tc>
        <w:tc>
          <w:tcPr>
            <w:tcW w:w="66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20c</w:t>
            </w:r>
          </w:p>
        </w:tc>
        <w:tc>
          <w:tcPr>
            <w:tcW w:w="536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Present results of all investigations of possible causes of heterogeneity among study results.</w:t>
            </w:r>
          </w:p>
        </w:tc>
        <w:tc>
          <w:tcPr>
            <w:tcW w:w="141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pp. 8-12</w:t>
            </w:r>
          </w:p>
        </w:tc>
      </w:tr>
      <w:tr w:rsidR="00AD2232" w:rsidTr="00A624EB">
        <w:trPr>
          <w:trHeight w:val="845"/>
        </w:trPr>
        <w:tc>
          <w:tcPr>
            <w:tcW w:w="2210" w:type="dxa"/>
            <w:vMerge/>
            <w:tcBorders>
              <w:bottom w:val="single" w:sz="4" w:space="0" w:color="0A0905"/>
              <w:right w:val="single" w:sz="4" w:space="0" w:color="0A0905"/>
            </w:tcBorders>
            <w:shd w:val="clear" w:color="auto" w:fill="auto"/>
            <w:tcMar>
              <w:top w:w="100" w:type="dxa"/>
              <w:left w:w="100" w:type="dxa"/>
              <w:bottom w:w="100" w:type="dxa"/>
              <w:right w:w="100" w:type="dxa"/>
            </w:tcMar>
          </w:tcPr>
          <w:p w:rsidR="00AD2232" w:rsidRDefault="00AD2232" w:rsidP="00A624EB"/>
        </w:tc>
        <w:tc>
          <w:tcPr>
            <w:tcW w:w="66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20d</w:t>
            </w:r>
          </w:p>
        </w:tc>
        <w:tc>
          <w:tcPr>
            <w:tcW w:w="536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Present results of all sensitivity analyses conducted to assess the robustness of the synthesized results.</w:t>
            </w:r>
          </w:p>
        </w:tc>
        <w:tc>
          <w:tcPr>
            <w:tcW w:w="141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r>
      <w:tr w:rsidR="00AD2232" w:rsidTr="00A624EB">
        <w:trPr>
          <w:trHeight w:val="845"/>
        </w:trPr>
        <w:tc>
          <w:tcPr>
            <w:tcW w:w="221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t>Reporting biases</w:t>
            </w:r>
          </w:p>
        </w:tc>
        <w:tc>
          <w:tcPr>
            <w:tcW w:w="66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21</w:t>
            </w:r>
          </w:p>
        </w:tc>
        <w:tc>
          <w:tcPr>
            <w:tcW w:w="536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Present assessments of risk of bias due to missing results (arising from reporting biases) for each synthesis assessed.</w:t>
            </w:r>
          </w:p>
        </w:tc>
        <w:tc>
          <w:tcPr>
            <w:tcW w:w="141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r>
      <w:tr w:rsidR="00AD2232" w:rsidTr="00A624EB">
        <w:trPr>
          <w:trHeight w:val="845"/>
        </w:trPr>
        <w:tc>
          <w:tcPr>
            <w:tcW w:w="221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t>Certainty of evidence</w:t>
            </w:r>
          </w:p>
        </w:tc>
        <w:tc>
          <w:tcPr>
            <w:tcW w:w="66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22</w:t>
            </w:r>
          </w:p>
        </w:tc>
        <w:tc>
          <w:tcPr>
            <w:tcW w:w="536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Present assessments of certainty (or confidence) in the body of evidence for each outcome assessed.</w:t>
            </w:r>
          </w:p>
        </w:tc>
        <w:tc>
          <w:tcPr>
            <w:tcW w:w="141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r>
      <w:tr w:rsidR="00AD2232" w:rsidTr="00A624EB">
        <w:trPr>
          <w:trHeight w:val="665"/>
        </w:trPr>
        <w:tc>
          <w:tcPr>
            <w:tcW w:w="2210" w:type="dxa"/>
            <w:tcBorders>
              <w:top w:val="single" w:sz="4" w:space="0" w:color="0A0905"/>
              <w:left w:val="single" w:sz="4" w:space="0" w:color="0A0905"/>
              <w:bottom w:val="single" w:sz="4" w:space="0" w:color="0A0905"/>
              <w:right w:val="single" w:sz="4" w:space="0" w:color="0A0905"/>
            </w:tcBorders>
            <w:shd w:val="clear" w:color="auto" w:fill="FFFFCC"/>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t>DISCUSSION</w:t>
            </w:r>
          </w:p>
        </w:tc>
        <w:tc>
          <w:tcPr>
            <w:tcW w:w="665" w:type="dxa"/>
            <w:tcBorders>
              <w:top w:val="single" w:sz="4" w:space="0" w:color="0A0905"/>
              <w:left w:val="single" w:sz="4" w:space="0" w:color="0A0905"/>
              <w:bottom w:val="single" w:sz="4" w:space="0" w:color="0A0905"/>
              <w:right w:val="single" w:sz="4" w:space="0" w:color="0A0905"/>
            </w:tcBorders>
            <w:shd w:val="clear" w:color="auto" w:fill="FFFFCC"/>
            <w:tcMar>
              <w:top w:w="100" w:type="dxa"/>
              <w:left w:w="100" w:type="dxa"/>
              <w:bottom w:w="100" w:type="dxa"/>
              <w:right w:w="100" w:type="dxa"/>
            </w:tcMar>
          </w:tcPr>
          <w:p w:rsidR="00AD2232" w:rsidRDefault="00AD2232" w:rsidP="00A624EB">
            <w:pPr>
              <w:spacing w:before="100" w:after="100"/>
              <w:ind w:left="100" w:right="100"/>
              <w:jc w:val="center"/>
            </w:pPr>
            <w:r>
              <w:t xml:space="preserve"> </w:t>
            </w:r>
          </w:p>
        </w:tc>
        <w:tc>
          <w:tcPr>
            <w:tcW w:w="5360" w:type="dxa"/>
            <w:tcBorders>
              <w:top w:val="single" w:sz="4" w:space="0" w:color="0A0905"/>
              <w:left w:val="single" w:sz="4" w:space="0" w:color="0A0905"/>
              <w:bottom w:val="single" w:sz="4" w:space="0" w:color="0A0905"/>
              <w:right w:val="single" w:sz="4" w:space="0" w:color="0A0905"/>
            </w:tcBorders>
            <w:shd w:val="clear" w:color="auto" w:fill="FFFFCC"/>
            <w:tcMar>
              <w:top w:w="100" w:type="dxa"/>
              <w:left w:w="100" w:type="dxa"/>
              <w:bottom w:w="100" w:type="dxa"/>
              <w:right w:w="100" w:type="dxa"/>
            </w:tcMar>
          </w:tcPr>
          <w:p w:rsidR="00AD2232" w:rsidRDefault="00AD2232" w:rsidP="00A624EB">
            <w:pPr>
              <w:spacing w:before="100" w:after="100"/>
              <w:ind w:left="100" w:right="100"/>
            </w:pPr>
            <w:r>
              <w:t xml:space="preserve"> </w:t>
            </w:r>
          </w:p>
        </w:tc>
        <w:tc>
          <w:tcPr>
            <w:tcW w:w="1415" w:type="dxa"/>
            <w:tcBorders>
              <w:top w:val="single" w:sz="4" w:space="0" w:color="0A0905"/>
              <w:left w:val="single" w:sz="4" w:space="0" w:color="0A0905"/>
              <w:bottom w:val="single" w:sz="4" w:space="0" w:color="0A0905"/>
              <w:right w:val="single" w:sz="4" w:space="0" w:color="0A0905"/>
            </w:tcBorders>
            <w:shd w:val="clear" w:color="auto" w:fill="FFFFCC"/>
            <w:tcMar>
              <w:top w:w="100" w:type="dxa"/>
              <w:left w:w="100" w:type="dxa"/>
              <w:bottom w:w="100" w:type="dxa"/>
              <w:right w:w="100" w:type="dxa"/>
            </w:tcMar>
          </w:tcPr>
          <w:p w:rsidR="00AD2232" w:rsidRDefault="00AD2232" w:rsidP="00A624EB">
            <w:pPr>
              <w:spacing w:before="100" w:after="100"/>
              <w:ind w:left="100" w:right="100"/>
              <w:jc w:val="center"/>
            </w:pPr>
            <w:r>
              <w:t xml:space="preserve"> </w:t>
            </w:r>
          </w:p>
        </w:tc>
      </w:tr>
      <w:tr w:rsidR="00AD2232" w:rsidTr="00A624EB">
        <w:trPr>
          <w:trHeight w:val="845"/>
        </w:trPr>
        <w:tc>
          <w:tcPr>
            <w:tcW w:w="221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t>Discussion</w:t>
            </w:r>
          </w:p>
        </w:tc>
        <w:tc>
          <w:tcPr>
            <w:tcW w:w="66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23a</w:t>
            </w:r>
          </w:p>
        </w:tc>
        <w:tc>
          <w:tcPr>
            <w:tcW w:w="536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Provide a general interpretation of the results in the context of other evidence.</w:t>
            </w:r>
          </w:p>
        </w:tc>
        <w:tc>
          <w:tcPr>
            <w:tcW w:w="141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pp. 12</w:t>
            </w:r>
          </w:p>
        </w:tc>
      </w:tr>
      <w:tr w:rsidR="00AD2232" w:rsidTr="00A624EB">
        <w:trPr>
          <w:trHeight w:val="620"/>
        </w:trPr>
        <w:tc>
          <w:tcPr>
            <w:tcW w:w="2210" w:type="dxa"/>
            <w:vMerge w:val="restart"/>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pPr>
            <w:r>
              <w:t xml:space="preserve"> </w:t>
            </w:r>
          </w:p>
        </w:tc>
        <w:tc>
          <w:tcPr>
            <w:tcW w:w="66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23b</w:t>
            </w:r>
          </w:p>
        </w:tc>
        <w:tc>
          <w:tcPr>
            <w:tcW w:w="536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Discuss any limitations of the evidence included in the review.</w:t>
            </w:r>
          </w:p>
        </w:tc>
        <w:tc>
          <w:tcPr>
            <w:tcW w:w="141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pp. 14</w:t>
            </w:r>
          </w:p>
        </w:tc>
      </w:tr>
      <w:tr w:rsidR="00AD2232" w:rsidTr="00A624EB">
        <w:trPr>
          <w:trHeight w:val="620"/>
        </w:trPr>
        <w:tc>
          <w:tcPr>
            <w:tcW w:w="2210" w:type="dxa"/>
            <w:vMerge/>
            <w:tcBorders>
              <w:bottom w:val="single" w:sz="4" w:space="0" w:color="0A0905"/>
              <w:right w:val="single" w:sz="4" w:space="0" w:color="0A0905"/>
            </w:tcBorders>
            <w:shd w:val="clear" w:color="auto" w:fill="auto"/>
            <w:tcMar>
              <w:top w:w="100" w:type="dxa"/>
              <w:left w:w="100" w:type="dxa"/>
              <w:bottom w:w="100" w:type="dxa"/>
              <w:right w:w="100" w:type="dxa"/>
            </w:tcMar>
          </w:tcPr>
          <w:p w:rsidR="00AD2232" w:rsidRDefault="00AD2232" w:rsidP="00A624EB"/>
        </w:tc>
        <w:tc>
          <w:tcPr>
            <w:tcW w:w="66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23c</w:t>
            </w:r>
          </w:p>
        </w:tc>
        <w:tc>
          <w:tcPr>
            <w:tcW w:w="536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Discuss any limitations of the review processes used.</w:t>
            </w:r>
          </w:p>
        </w:tc>
        <w:tc>
          <w:tcPr>
            <w:tcW w:w="141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pp. 14</w:t>
            </w:r>
          </w:p>
        </w:tc>
      </w:tr>
      <w:tr w:rsidR="00AD2232" w:rsidTr="00A624EB">
        <w:trPr>
          <w:trHeight w:val="845"/>
        </w:trPr>
        <w:tc>
          <w:tcPr>
            <w:tcW w:w="2210" w:type="dxa"/>
            <w:vMerge/>
            <w:tcBorders>
              <w:bottom w:val="single" w:sz="4" w:space="0" w:color="0A0905"/>
              <w:right w:val="single" w:sz="4" w:space="0" w:color="0A0905"/>
            </w:tcBorders>
            <w:shd w:val="clear" w:color="auto" w:fill="auto"/>
            <w:tcMar>
              <w:top w:w="100" w:type="dxa"/>
              <w:left w:w="100" w:type="dxa"/>
              <w:bottom w:w="100" w:type="dxa"/>
              <w:right w:w="100" w:type="dxa"/>
            </w:tcMar>
          </w:tcPr>
          <w:p w:rsidR="00AD2232" w:rsidRDefault="00AD2232" w:rsidP="00A624EB"/>
        </w:tc>
        <w:tc>
          <w:tcPr>
            <w:tcW w:w="66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23d</w:t>
            </w:r>
          </w:p>
        </w:tc>
        <w:tc>
          <w:tcPr>
            <w:tcW w:w="536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Discuss implications of the results for practice, policy, and future research.</w:t>
            </w:r>
          </w:p>
        </w:tc>
        <w:tc>
          <w:tcPr>
            <w:tcW w:w="141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pp. 15</w:t>
            </w:r>
          </w:p>
        </w:tc>
      </w:tr>
      <w:tr w:rsidR="00AD2232" w:rsidTr="00A624EB">
        <w:trPr>
          <w:trHeight w:val="845"/>
        </w:trPr>
        <w:tc>
          <w:tcPr>
            <w:tcW w:w="2210" w:type="dxa"/>
            <w:tcBorders>
              <w:top w:val="single" w:sz="4" w:space="0" w:color="0A0905"/>
              <w:left w:val="single" w:sz="4" w:space="0" w:color="0A0905"/>
              <w:bottom w:val="single" w:sz="4" w:space="0" w:color="0A0905"/>
              <w:right w:val="single" w:sz="4" w:space="0" w:color="0A0905"/>
            </w:tcBorders>
            <w:shd w:val="clear" w:color="auto" w:fill="FFFFCC"/>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t>OTHER INFORMATION</w:t>
            </w:r>
          </w:p>
        </w:tc>
        <w:tc>
          <w:tcPr>
            <w:tcW w:w="665" w:type="dxa"/>
            <w:tcBorders>
              <w:top w:val="single" w:sz="4" w:space="0" w:color="0A0905"/>
              <w:left w:val="single" w:sz="4" w:space="0" w:color="0A0905"/>
              <w:bottom w:val="single" w:sz="4" w:space="0" w:color="0A0905"/>
              <w:right w:val="single" w:sz="4" w:space="0" w:color="0A0905"/>
            </w:tcBorders>
            <w:shd w:val="clear" w:color="auto" w:fill="FFFFCC"/>
            <w:tcMar>
              <w:top w:w="100" w:type="dxa"/>
              <w:left w:w="100" w:type="dxa"/>
              <w:bottom w:w="100" w:type="dxa"/>
              <w:right w:w="100" w:type="dxa"/>
            </w:tcMar>
          </w:tcPr>
          <w:p w:rsidR="00AD2232" w:rsidRDefault="00AD2232" w:rsidP="00A624EB">
            <w:pPr>
              <w:spacing w:before="100" w:after="100"/>
              <w:ind w:left="100" w:right="100"/>
              <w:jc w:val="center"/>
            </w:pPr>
            <w:r>
              <w:t xml:space="preserve"> </w:t>
            </w:r>
          </w:p>
        </w:tc>
        <w:tc>
          <w:tcPr>
            <w:tcW w:w="5360" w:type="dxa"/>
            <w:tcBorders>
              <w:top w:val="single" w:sz="4" w:space="0" w:color="0A0905"/>
              <w:left w:val="single" w:sz="4" w:space="0" w:color="0A0905"/>
              <w:bottom w:val="single" w:sz="4" w:space="0" w:color="0A0905"/>
              <w:right w:val="single" w:sz="4" w:space="0" w:color="0A0905"/>
            </w:tcBorders>
            <w:shd w:val="clear" w:color="auto" w:fill="FFFFCC"/>
            <w:tcMar>
              <w:top w:w="100" w:type="dxa"/>
              <w:left w:w="100" w:type="dxa"/>
              <w:bottom w:w="100" w:type="dxa"/>
              <w:right w:w="100" w:type="dxa"/>
            </w:tcMar>
          </w:tcPr>
          <w:p w:rsidR="00AD2232" w:rsidRDefault="00AD2232" w:rsidP="00A624EB">
            <w:pPr>
              <w:spacing w:before="100" w:after="100"/>
              <w:ind w:left="100" w:right="100"/>
            </w:pPr>
            <w:r>
              <w:t xml:space="preserve"> </w:t>
            </w:r>
          </w:p>
        </w:tc>
        <w:tc>
          <w:tcPr>
            <w:tcW w:w="1415" w:type="dxa"/>
            <w:tcBorders>
              <w:top w:val="single" w:sz="4" w:space="0" w:color="0A0905"/>
              <w:left w:val="single" w:sz="4" w:space="0" w:color="0A0905"/>
              <w:bottom w:val="single" w:sz="4" w:space="0" w:color="0A0905"/>
              <w:right w:val="single" w:sz="4" w:space="0" w:color="0A0905"/>
            </w:tcBorders>
            <w:shd w:val="clear" w:color="auto" w:fill="FFFFCC"/>
            <w:tcMar>
              <w:top w:w="100" w:type="dxa"/>
              <w:left w:w="100" w:type="dxa"/>
              <w:bottom w:w="100" w:type="dxa"/>
              <w:right w:w="100" w:type="dxa"/>
            </w:tcMar>
          </w:tcPr>
          <w:p w:rsidR="00AD2232" w:rsidRDefault="00AD2232" w:rsidP="00A624EB">
            <w:pPr>
              <w:spacing w:before="100" w:after="100"/>
              <w:ind w:left="100" w:right="100"/>
              <w:jc w:val="center"/>
            </w:pPr>
            <w:r>
              <w:t xml:space="preserve"> </w:t>
            </w:r>
          </w:p>
        </w:tc>
      </w:tr>
      <w:tr w:rsidR="00AD2232" w:rsidTr="00A624EB">
        <w:trPr>
          <w:trHeight w:val="1070"/>
        </w:trPr>
        <w:tc>
          <w:tcPr>
            <w:tcW w:w="221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t>Registration and protocol</w:t>
            </w:r>
          </w:p>
        </w:tc>
        <w:tc>
          <w:tcPr>
            <w:tcW w:w="66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24a</w:t>
            </w:r>
          </w:p>
        </w:tc>
        <w:tc>
          <w:tcPr>
            <w:tcW w:w="536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Provide registration information for the review, including register name and registration number, or state that the review was not registered.</w:t>
            </w:r>
          </w:p>
        </w:tc>
        <w:tc>
          <w:tcPr>
            <w:tcW w:w="141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pp. 3</w:t>
            </w:r>
          </w:p>
        </w:tc>
      </w:tr>
      <w:tr w:rsidR="00AD2232" w:rsidTr="00A624EB">
        <w:trPr>
          <w:trHeight w:val="845"/>
        </w:trPr>
        <w:tc>
          <w:tcPr>
            <w:tcW w:w="2210" w:type="dxa"/>
            <w:vMerge w:val="restart"/>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pPr>
            <w:r>
              <w:lastRenderedPageBreak/>
              <w:t xml:space="preserve"> </w:t>
            </w:r>
          </w:p>
        </w:tc>
        <w:tc>
          <w:tcPr>
            <w:tcW w:w="66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24b</w:t>
            </w:r>
          </w:p>
        </w:tc>
        <w:tc>
          <w:tcPr>
            <w:tcW w:w="536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Indicate where the review protocol can be accessed, or state that a protocol was not prepared.</w:t>
            </w:r>
          </w:p>
        </w:tc>
        <w:tc>
          <w:tcPr>
            <w:tcW w:w="141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pp. 3</w:t>
            </w:r>
          </w:p>
        </w:tc>
      </w:tr>
      <w:tr w:rsidR="00AD2232" w:rsidTr="00A624EB">
        <w:trPr>
          <w:trHeight w:val="845"/>
        </w:trPr>
        <w:tc>
          <w:tcPr>
            <w:tcW w:w="2210" w:type="dxa"/>
            <w:vMerge/>
            <w:tcBorders>
              <w:bottom w:val="single" w:sz="4" w:space="0" w:color="0A0905"/>
              <w:right w:val="single" w:sz="4" w:space="0" w:color="0A0905"/>
            </w:tcBorders>
            <w:shd w:val="clear" w:color="auto" w:fill="auto"/>
            <w:tcMar>
              <w:top w:w="100" w:type="dxa"/>
              <w:left w:w="100" w:type="dxa"/>
              <w:bottom w:w="100" w:type="dxa"/>
              <w:right w:w="100" w:type="dxa"/>
            </w:tcMar>
          </w:tcPr>
          <w:p w:rsidR="00AD2232" w:rsidRDefault="00AD2232" w:rsidP="00A624EB"/>
        </w:tc>
        <w:tc>
          <w:tcPr>
            <w:tcW w:w="66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24c</w:t>
            </w:r>
          </w:p>
        </w:tc>
        <w:tc>
          <w:tcPr>
            <w:tcW w:w="536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Describe and explain any amendments to information provided at registration or in the protocol.</w:t>
            </w:r>
          </w:p>
        </w:tc>
        <w:tc>
          <w:tcPr>
            <w:tcW w:w="141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r>
      <w:tr w:rsidR="00AD2232" w:rsidTr="00A624EB">
        <w:trPr>
          <w:trHeight w:val="845"/>
        </w:trPr>
        <w:tc>
          <w:tcPr>
            <w:tcW w:w="221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t>Support</w:t>
            </w:r>
          </w:p>
        </w:tc>
        <w:tc>
          <w:tcPr>
            <w:tcW w:w="66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25</w:t>
            </w:r>
          </w:p>
        </w:tc>
        <w:tc>
          <w:tcPr>
            <w:tcW w:w="536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Describe sources of financial or non-financial support for the review, and the role of the funders or sponsors in the review.</w:t>
            </w:r>
          </w:p>
        </w:tc>
        <w:tc>
          <w:tcPr>
            <w:tcW w:w="141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pp. 15</w:t>
            </w:r>
          </w:p>
        </w:tc>
      </w:tr>
      <w:tr w:rsidR="00AD2232" w:rsidTr="00A624EB">
        <w:trPr>
          <w:trHeight w:val="620"/>
        </w:trPr>
        <w:tc>
          <w:tcPr>
            <w:tcW w:w="221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t>Competing interests</w:t>
            </w:r>
          </w:p>
        </w:tc>
        <w:tc>
          <w:tcPr>
            <w:tcW w:w="66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26</w:t>
            </w:r>
          </w:p>
        </w:tc>
        <w:tc>
          <w:tcPr>
            <w:tcW w:w="536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Declare any competing interests of review authors.</w:t>
            </w:r>
          </w:p>
        </w:tc>
        <w:tc>
          <w:tcPr>
            <w:tcW w:w="141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pp. 15</w:t>
            </w:r>
          </w:p>
        </w:tc>
      </w:tr>
      <w:tr w:rsidR="00AD2232" w:rsidTr="00A624EB">
        <w:trPr>
          <w:trHeight w:val="1310"/>
        </w:trPr>
        <w:tc>
          <w:tcPr>
            <w:tcW w:w="221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t>Availability of data, code and other materials</w:t>
            </w:r>
          </w:p>
        </w:tc>
        <w:tc>
          <w:tcPr>
            <w:tcW w:w="66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27</w:t>
            </w:r>
          </w:p>
        </w:tc>
        <w:tc>
          <w:tcPr>
            <w:tcW w:w="5360"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415" w:type="dxa"/>
            <w:tcBorders>
              <w:top w:val="single" w:sz="4" w:space="0" w:color="0A0905"/>
              <w:left w:val="single" w:sz="4" w:space="0" w:color="0A0905"/>
              <w:bottom w:val="single" w:sz="4" w:space="0" w:color="0A0905"/>
              <w:right w:val="single" w:sz="4" w:space="0" w:color="0A0905"/>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pp. 15</w:t>
            </w:r>
          </w:p>
        </w:tc>
      </w:tr>
    </w:tbl>
    <w:p w:rsidR="00AD2232" w:rsidRDefault="00AD2232" w:rsidP="00AD2232">
      <w:pPr>
        <w:pStyle w:val="Heading5"/>
        <w:keepNext w:val="0"/>
        <w:keepLines w:val="0"/>
        <w:spacing w:before="220" w:after="40"/>
        <w:rPr>
          <w:b/>
          <w:color w:val="000000"/>
          <w:sz w:val="20"/>
          <w:szCs w:val="20"/>
        </w:rPr>
      </w:pPr>
      <w:bookmarkStart w:id="9" w:name="_yoc4s0s1hxt7" w:colFirst="0" w:colLast="0"/>
      <w:bookmarkEnd w:id="9"/>
      <w:r>
        <w:rPr>
          <w:b/>
          <w:color w:val="000000"/>
          <w:sz w:val="20"/>
          <w:szCs w:val="20"/>
        </w:rPr>
        <w:t xml:space="preserve"> </w:t>
      </w:r>
    </w:p>
    <w:p w:rsidR="00AD2232" w:rsidRDefault="00AD2232" w:rsidP="00AD2232">
      <w:pPr>
        <w:pStyle w:val="Heading1"/>
        <w:keepNext w:val="0"/>
        <w:keepLines w:val="0"/>
        <w:spacing w:before="480"/>
        <w:rPr>
          <w:b/>
          <w:sz w:val="46"/>
          <w:szCs w:val="46"/>
        </w:rPr>
      </w:pPr>
      <w:bookmarkStart w:id="10" w:name="_s6j1fw3xaulv" w:colFirst="0" w:colLast="0"/>
      <w:bookmarkEnd w:id="10"/>
    </w:p>
    <w:p w:rsidR="00AD2232" w:rsidRDefault="00AD2232" w:rsidP="00AD2232">
      <w:pPr>
        <w:pStyle w:val="Heading1"/>
        <w:keepNext w:val="0"/>
        <w:keepLines w:val="0"/>
        <w:spacing w:before="480"/>
        <w:rPr>
          <w:b/>
          <w:sz w:val="46"/>
          <w:szCs w:val="46"/>
        </w:rPr>
      </w:pPr>
      <w:bookmarkStart w:id="11" w:name="_x7x0678ua600" w:colFirst="0" w:colLast="0"/>
      <w:bookmarkEnd w:id="11"/>
    </w:p>
    <w:p w:rsidR="00AD2232" w:rsidRDefault="00AD2232" w:rsidP="00AD2232">
      <w:pPr>
        <w:pStyle w:val="Heading3"/>
        <w:keepNext w:val="0"/>
        <w:keepLines w:val="0"/>
        <w:pBdr>
          <w:top w:val="nil"/>
          <w:left w:val="nil"/>
          <w:bottom w:val="nil"/>
          <w:right w:val="nil"/>
          <w:between w:val="nil"/>
        </w:pBdr>
        <w:spacing w:before="480"/>
      </w:pPr>
      <w:bookmarkStart w:id="12" w:name="_aubymi83emrl" w:colFirst="0" w:colLast="0"/>
      <w:bookmarkEnd w:id="12"/>
      <w:r>
        <w:t>PRISMA Abstract Checklist</w:t>
      </w:r>
    </w:p>
    <w:tbl>
      <w:tblPr>
        <w:tblW w:w="9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835"/>
        <w:gridCol w:w="665"/>
        <w:gridCol w:w="5945"/>
        <w:gridCol w:w="1220"/>
      </w:tblGrid>
      <w:tr w:rsidR="00AD2232" w:rsidTr="00A624EB">
        <w:trPr>
          <w:trHeight w:val="650"/>
        </w:trPr>
        <w:tc>
          <w:tcPr>
            <w:tcW w:w="1835" w:type="dxa"/>
            <w:tcBorders>
              <w:top w:val="single" w:sz="4" w:space="0" w:color="000000"/>
              <w:left w:val="single" w:sz="4" w:space="0" w:color="000000"/>
              <w:bottom w:val="single" w:sz="4" w:space="0" w:color="000000"/>
              <w:right w:val="single" w:sz="4" w:space="0" w:color="000000"/>
            </w:tcBorders>
            <w:shd w:val="clear" w:color="auto" w:fill="63639A"/>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color w:val="FFFFFF"/>
                <w:sz w:val="18"/>
                <w:szCs w:val="18"/>
              </w:rPr>
            </w:pPr>
            <w:r>
              <w:rPr>
                <w:rFonts w:ascii="Times New Roman" w:eastAsia="Times New Roman" w:hAnsi="Times New Roman" w:cs="Times New Roman"/>
                <w:b/>
                <w:color w:val="FFFFFF"/>
                <w:sz w:val="18"/>
                <w:szCs w:val="18"/>
              </w:rPr>
              <w:t>Topic</w:t>
            </w:r>
          </w:p>
        </w:tc>
        <w:tc>
          <w:tcPr>
            <w:tcW w:w="665" w:type="dxa"/>
            <w:tcBorders>
              <w:top w:val="single" w:sz="4" w:space="0" w:color="000000"/>
              <w:left w:val="single" w:sz="4" w:space="0" w:color="000000"/>
              <w:bottom w:val="single" w:sz="4" w:space="0" w:color="000000"/>
              <w:right w:val="single" w:sz="4" w:space="0" w:color="000000"/>
            </w:tcBorders>
            <w:shd w:val="clear" w:color="auto" w:fill="63639A"/>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b/>
                <w:color w:val="FFFFFF"/>
                <w:sz w:val="18"/>
                <w:szCs w:val="18"/>
              </w:rPr>
            </w:pPr>
            <w:r>
              <w:rPr>
                <w:rFonts w:ascii="Times New Roman" w:eastAsia="Times New Roman" w:hAnsi="Times New Roman" w:cs="Times New Roman"/>
                <w:b/>
                <w:color w:val="FFFFFF"/>
                <w:sz w:val="18"/>
                <w:szCs w:val="18"/>
              </w:rPr>
              <w:t>No.</w:t>
            </w:r>
          </w:p>
        </w:tc>
        <w:tc>
          <w:tcPr>
            <w:tcW w:w="5945" w:type="dxa"/>
            <w:tcBorders>
              <w:top w:val="single" w:sz="4" w:space="0" w:color="000000"/>
              <w:left w:val="single" w:sz="4" w:space="0" w:color="000000"/>
              <w:bottom w:val="single" w:sz="4" w:space="0" w:color="000000"/>
              <w:right w:val="single" w:sz="4" w:space="0" w:color="000000"/>
            </w:tcBorders>
            <w:shd w:val="clear" w:color="auto" w:fill="63639A"/>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color w:val="FFFFFF"/>
                <w:sz w:val="18"/>
                <w:szCs w:val="18"/>
              </w:rPr>
            </w:pPr>
            <w:r>
              <w:rPr>
                <w:rFonts w:ascii="Times New Roman" w:eastAsia="Times New Roman" w:hAnsi="Times New Roman" w:cs="Times New Roman"/>
                <w:b/>
                <w:color w:val="FFFFFF"/>
                <w:sz w:val="18"/>
                <w:szCs w:val="18"/>
              </w:rPr>
              <w:t>Item</w:t>
            </w:r>
          </w:p>
        </w:tc>
        <w:tc>
          <w:tcPr>
            <w:tcW w:w="1220" w:type="dxa"/>
            <w:tcBorders>
              <w:top w:val="single" w:sz="4" w:space="0" w:color="000000"/>
              <w:left w:val="single" w:sz="4" w:space="0" w:color="000000"/>
              <w:bottom w:val="single" w:sz="4" w:space="0" w:color="000000"/>
              <w:right w:val="single" w:sz="4" w:space="0" w:color="000000"/>
            </w:tcBorders>
            <w:shd w:val="clear" w:color="auto" w:fill="63639A"/>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b/>
                <w:color w:val="FFFFFF"/>
                <w:sz w:val="18"/>
                <w:szCs w:val="18"/>
              </w:rPr>
            </w:pPr>
            <w:r>
              <w:rPr>
                <w:rFonts w:ascii="Times New Roman" w:eastAsia="Times New Roman" w:hAnsi="Times New Roman" w:cs="Times New Roman"/>
                <w:b/>
                <w:color w:val="FFFFFF"/>
                <w:sz w:val="18"/>
                <w:szCs w:val="18"/>
              </w:rPr>
              <w:t>Reported?</w:t>
            </w:r>
          </w:p>
        </w:tc>
      </w:tr>
      <w:tr w:rsidR="00AD2232" w:rsidTr="00A624EB">
        <w:trPr>
          <w:trHeight w:val="680"/>
        </w:trPr>
        <w:tc>
          <w:tcPr>
            <w:tcW w:w="1835" w:type="dxa"/>
            <w:tcBorders>
              <w:top w:val="single" w:sz="4" w:space="0" w:color="000000"/>
              <w:left w:val="single" w:sz="4" w:space="0" w:color="000000"/>
              <w:bottom w:val="single" w:sz="4" w:space="0" w:color="000000"/>
              <w:right w:val="single" w:sz="4" w:space="0" w:color="000000"/>
            </w:tcBorders>
            <w:shd w:val="clear" w:color="auto" w:fill="FFFFCC"/>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t>TITLE</w:t>
            </w:r>
          </w:p>
        </w:tc>
        <w:tc>
          <w:tcPr>
            <w:tcW w:w="665" w:type="dxa"/>
            <w:tcBorders>
              <w:top w:val="single" w:sz="4" w:space="0" w:color="000000"/>
              <w:left w:val="single" w:sz="4" w:space="0" w:color="000000"/>
              <w:bottom w:val="single" w:sz="4" w:space="0" w:color="000000"/>
              <w:right w:val="single" w:sz="4" w:space="0" w:color="000000"/>
            </w:tcBorders>
            <w:shd w:val="clear" w:color="auto" w:fill="FFFFCC"/>
            <w:tcMar>
              <w:top w:w="100" w:type="dxa"/>
              <w:left w:w="100" w:type="dxa"/>
              <w:bottom w:w="100" w:type="dxa"/>
              <w:right w:w="100" w:type="dxa"/>
            </w:tcMar>
          </w:tcPr>
          <w:p w:rsidR="00AD2232" w:rsidRDefault="00AD2232" w:rsidP="00A624EB">
            <w:pPr>
              <w:spacing w:before="100" w:after="100"/>
              <w:ind w:left="100" w:right="100"/>
              <w:jc w:val="center"/>
            </w:pPr>
            <w:r>
              <w:t xml:space="preserve"> </w:t>
            </w:r>
          </w:p>
        </w:tc>
        <w:tc>
          <w:tcPr>
            <w:tcW w:w="5945" w:type="dxa"/>
            <w:tcBorders>
              <w:top w:val="single" w:sz="4" w:space="0" w:color="000000"/>
              <w:left w:val="single" w:sz="4" w:space="0" w:color="000000"/>
              <w:bottom w:val="single" w:sz="4" w:space="0" w:color="000000"/>
              <w:right w:val="single" w:sz="4" w:space="0" w:color="000000"/>
            </w:tcBorders>
            <w:shd w:val="clear" w:color="auto" w:fill="FFFFCC"/>
            <w:tcMar>
              <w:top w:w="100" w:type="dxa"/>
              <w:left w:w="100" w:type="dxa"/>
              <w:bottom w:w="100" w:type="dxa"/>
              <w:right w:w="100" w:type="dxa"/>
            </w:tcMar>
          </w:tcPr>
          <w:p w:rsidR="00AD2232" w:rsidRDefault="00AD2232" w:rsidP="00A624EB">
            <w:pPr>
              <w:spacing w:before="100" w:after="100"/>
              <w:ind w:left="100" w:right="100"/>
            </w:pPr>
            <w:r>
              <w:t xml:space="preserve"> </w:t>
            </w:r>
          </w:p>
        </w:tc>
        <w:tc>
          <w:tcPr>
            <w:tcW w:w="1220" w:type="dxa"/>
            <w:tcBorders>
              <w:top w:val="single" w:sz="4" w:space="0" w:color="000000"/>
              <w:left w:val="single" w:sz="4" w:space="0" w:color="000000"/>
              <w:bottom w:val="single" w:sz="4" w:space="0" w:color="000000"/>
              <w:right w:val="single" w:sz="4" w:space="0" w:color="000000"/>
            </w:tcBorders>
            <w:shd w:val="clear" w:color="auto" w:fill="FFFFCC"/>
            <w:tcMar>
              <w:top w:w="100" w:type="dxa"/>
              <w:left w:w="100" w:type="dxa"/>
              <w:bottom w:w="100" w:type="dxa"/>
              <w:right w:w="100" w:type="dxa"/>
            </w:tcMar>
          </w:tcPr>
          <w:p w:rsidR="00AD2232" w:rsidRDefault="00AD2232" w:rsidP="00A624EB">
            <w:pPr>
              <w:spacing w:before="100" w:after="100"/>
              <w:ind w:left="100" w:right="100"/>
              <w:jc w:val="center"/>
            </w:pPr>
            <w:r>
              <w:t xml:space="preserve"> </w:t>
            </w:r>
          </w:p>
        </w:tc>
      </w:tr>
      <w:tr w:rsidR="00AD2232" w:rsidTr="00A624EB">
        <w:trPr>
          <w:trHeight w:val="620"/>
        </w:trPr>
        <w:tc>
          <w:tcPr>
            <w:tcW w:w="183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t>Title</w:t>
            </w:r>
          </w:p>
        </w:tc>
        <w:tc>
          <w:tcPr>
            <w:tcW w:w="66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94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Identify the report as a systematic review.</w:t>
            </w:r>
          </w:p>
        </w:tc>
        <w:tc>
          <w:tcPr>
            <w:tcW w:w="12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Yes</w:t>
            </w:r>
          </w:p>
        </w:tc>
      </w:tr>
      <w:tr w:rsidR="00AD2232" w:rsidTr="00A624EB">
        <w:trPr>
          <w:trHeight w:val="665"/>
        </w:trPr>
        <w:tc>
          <w:tcPr>
            <w:tcW w:w="1835" w:type="dxa"/>
            <w:tcBorders>
              <w:top w:val="single" w:sz="4" w:space="0" w:color="000000"/>
              <w:left w:val="single" w:sz="4" w:space="0" w:color="000000"/>
              <w:bottom w:val="single" w:sz="4" w:space="0" w:color="000000"/>
              <w:right w:val="single" w:sz="4" w:space="0" w:color="000000"/>
            </w:tcBorders>
            <w:shd w:val="clear" w:color="auto" w:fill="FFFFCC"/>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t>BACKGROUND</w:t>
            </w:r>
          </w:p>
        </w:tc>
        <w:tc>
          <w:tcPr>
            <w:tcW w:w="665" w:type="dxa"/>
            <w:tcBorders>
              <w:top w:val="single" w:sz="4" w:space="0" w:color="000000"/>
              <w:left w:val="single" w:sz="4" w:space="0" w:color="000000"/>
              <w:bottom w:val="single" w:sz="4" w:space="0" w:color="000000"/>
              <w:right w:val="single" w:sz="4" w:space="0" w:color="000000"/>
            </w:tcBorders>
            <w:shd w:val="clear" w:color="auto" w:fill="FFFFCC"/>
            <w:tcMar>
              <w:top w:w="100" w:type="dxa"/>
              <w:left w:w="100" w:type="dxa"/>
              <w:bottom w:w="100" w:type="dxa"/>
              <w:right w:w="100" w:type="dxa"/>
            </w:tcMar>
          </w:tcPr>
          <w:p w:rsidR="00AD2232" w:rsidRDefault="00AD2232" w:rsidP="00A624EB">
            <w:pPr>
              <w:spacing w:before="100" w:after="100"/>
              <w:ind w:left="100" w:right="100"/>
              <w:jc w:val="center"/>
            </w:pPr>
            <w:r>
              <w:t xml:space="preserve"> </w:t>
            </w:r>
          </w:p>
        </w:tc>
        <w:tc>
          <w:tcPr>
            <w:tcW w:w="5945" w:type="dxa"/>
            <w:tcBorders>
              <w:top w:val="single" w:sz="4" w:space="0" w:color="000000"/>
              <w:left w:val="single" w:sz="4" w:space="0" w:color="000000"/>
              <w:bottom w:val="single" w:sz="4" w:space="0" w:color="000000"/>
              <w:right w:val="single" w:sz="4" w:space="0" w:color="000000"/>
            </w:tcBorders>
            <w:shd w:val="clear" w:color="auto" w:fill="FFFFCC"/>
            <w:tcMar>
              <w:top w:w="100" w:type="dxa"/>
              <w:left w:w="100" w:type="dxa"/>
              <w:bottom w:w="100" w:type="dxa"/>
              <w:right w:w="100" w:type="dxa"/>
            </w:tcMar>
          </w:tcPr>
          <w:p w:rsidR="00AD2232" w:rsidRDefault="00AD2232" w:rsidP="00A624EB">
            <w:pPr>
              <w:spacing w:before="100" w:after="100"/>
              <w:ind w:left="100" w:right="100"/>
            </w:pPr>
            <w:r>
              <w:t xml:space="preserve"> </w:t>
            </w:r>
          </w:p>
        </w:tc>
        <w:tc>
          <w:tcPr>
            <w:tcW w:w="1220" w:type="dxa"/>
            <w:tcBorders>
              <w:top w:val="single" w:sz="4" w:space="0" w:color="000000"/>
              <w:left w:val="single" w:sz="4" w:space="0" w:color="000000"/>
              <w:bottom w:val="single" w:sz="4" w:space="0" w:color="000000"/>
              <w:right w:val="single" w:sz="4" w:space="0" w:color="000000"/>
            </w:tcBorders>
            <w:shd w:val="clear" w:color="auto" w:fill="FFFFCC"/>
            <w:tcMar>
              <w:top w:w="100" w:type="dxa"/>
              <w:left w:w="100" w:type="dxa"/>
              <w:bottom w:w="100" w:type="dxa"/>
              <w:right w:w="100" w:type="dxa"/>
            </w:tcMar>
          </w:tcPr>
          <w:p w:rsidR="00AD2232" w:rsidRDefault="00AD2232" w:rsidP="00A624EB">
            <w:pPr>
              <w:spacing w:before="100" w:after="100"/>
              <w:ind w:left="100" w:right="100"/>
              <w:jc w:val="center"/>
            </w:pPr>
            <w:r>
              <w:t xml:space="preserve"> </w:t>
            </w:r>
          </w:p>
        </w:tc>
      </w:tr>
      <w:tr w:rsidR="00AD2232" w:rsidTr="00A624EB">
        <w:trPr>
          <w:trHeight w:val="845"/>
        </w:trPr>
        <w:tc>
          <w:tcPr>
            <w:tcW w:w="183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t>Objectives</w:t>
            </w:r>
          </w:p>
        </w:tc>
        <w:tc>
          <w:tcPr>
            <w:tcW w:w="66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594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Provide an explicit statement of the main objective(s) or question(s) the review addresses.</w:t>
            </w:r>
          </w:p>
        </w:tc>
        <w:tc>
          <w:tcPr>
            <w:tcW w:w="12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Yes</w:t>
            </w:r>
          </w:p>
        </w:tc>
      </w:tr>
      <w:tr w:rsidR="00AD2232" w:rsidTr="00A624EB">
        <w:trPr>
          <w:trHeight w:val="665"/>
        </w:trPr>
        <w:tc>
          <w:tcPr>
            <w:tcW w:w="1835" w:type="dxa"/>
            <w:tcBorders>
              <w:top w:val="single" w:sz="4" w:space="0" w:color="000000"/>
              <w:left w:val="single" w:sz="4" w:space="0" w:color="000000"/>
              <w:bottom w:val="single" w:sz="4" w:space="0" w:color="000000"/>
              <w:right w:val="single" w:sz="4" w:space="0" w:color="000000"/>
            </w:tcBorders>
            <w:shd w:val="clear" w:color="auto" w:fill="FFFFCC"/>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lastRenderedPageBreak/>
              <w:t>METHODS</w:t>
            </w:r>
          </w:p>
        </w:tc>
        <w:tc>
          <w:tcPr>
            <w:tcW w:w="665" w:type="dxa"/>
            <w:tcBorders>
              <w:top w:val="single" w:sz="4" w:space="0" w:color="000000"/>
              <w:left w:val="single" w:sz="4" w:space="0" w:color="000000"/>
              <w:bottom w:val="single" w:sz="4" w:space="0" w:color="000000"/>
              <w:right w:val="single" w:sz="4" w:space="0" w:color="000000"/>
            </w:tcBorders>
            <w:shd w:val="clear" w:color="auto" w:fill="FFFFCC"/>
            <w:tcMar>
              <w:top w:w="100" w:type="dxa"/>
              <w:left w:w="100" w:type="dxa"/>
              <w:bottom w:w="100" w:type="dxa"/>
              <w:right w:w="100" w:type="dxa"/>
            </w:tcMar>
          </w:tcPr>
          <w:p w:rsidR="00AD2232" w:rsidRDefault="00AD2232" w:rsidP="00A624EB">
            <w:pPr>
              <w:spacing w:before="100" w:after="100"/>
              <w:ind w:left="100" w:right="100"/>
              <w:jc w:val="center"/>
            </w:pPr>
            <w:r>
              <w:t xml:space="preserve"> </w:t>
            </w:r>
          </w:p>
        </w:tc>
        <w:tc>
          <w:tcPr>
            <w:tcW w:w="5945" w:type="dxa"/>
            <w:tcBorders>
              <w:top w:val="single" w:sz="4" w:space="0" w:color="000000"/>
              <w:left w:val="single" w:sz="4" w:space="0" w:color="000000"/>
              <w:bottom w:val="single" w:sz="4" w:space="0" w:color="000000"/>
              <w:right w:val="single" w:sz="4" w:space="0" w:color="000000"/>
            </w:tcBorders>
            <w:shd w:val="clear" w:color="auto" w:fill="FFFFCC"/>
            <w:tcMar>
              <w:top w:w="100" w:type="dxa"/>
              <w:left w:w="100" w:type="dxa"/>
              <w:bottom w:w="100" w:type="dxa"/>
              <w:right w:w="100" w:type="dxa"/>
            </w:tcMar>
          </w:tcPr>
          <w:p w:rsidR="00AD2232" w:rsidRDefault="00AD2232" w:rsidP="00A624EB">
            <w:pPr>
              <w:spacing w:before="100" w:after="100"/>
              <w:ind w:left="100" w:right="100"/>
            </w:pPr>
            <w:r>
              <w:t xml:space="preserve"> </w:t>
            </w:r>
          </w:p>
        </w:tc>
        <w:tc>
          <w:tcPr>
            <w:tcW w:w="1220" w:type="dxa"/>
            <w:tcBorders>
              <w:top w:val="single" w:sz="4" w:space="0" w:color="000000"/>
              <w:left w:val="single" w:sz="4" w:space="0" w:color="000000"/>
              <w:bottom w:val="single" w:sz="4" w:space="0" w:color="000000"/>
              <w:right w:val="single" w:sz="4" w:space="0" w:color="000000"/>
            </w:tcBorders>
            <w:shd w:val="clear" w:color="auto" w:fill="FFFFCC"/>
            <w:tcMar>
              <w:top w:w="100" w:type="dxa"/>
              <w:left w:w="100" w:type="dxa"/>
              <w:bottom w:w="100" w:type="dxa"/>
              <w:right w:w="100" w:type="dxa"/>
            </w:tcMar>
          </w:tcPr>
          <w:p w:rsidR="00AD2232" w:rsidRDefault="00AD2232" w:rsidP="00A624EB">
            <w:pPr>
              <w:spacing w:before="100" w:after="100"/>
              <w:ind w:left="100" w:right="100"/>
              <w:jc w:val="center"/>
            </w:pPr>
            <w:r>
              <w:t xml:space="preserve"> </w:t>
            </w:r>
          </w:p>
        </w:tc>
      </w:tr>
      <w:tr w:rsidR="00AD2232" w:rsidTr="00A624EB">
        <w:trPr>
          <w:trHeight w:val="620"/>
        </w:trPr>
        <w:tc>
          <w:tcPr>
            <w:tcW w:w="183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t>Eligibility criteria</w:t>
            </w:r>
          </w:p>
        </w:tc>
        <w:tc>
          <w:tcPr>
            <w:tcW w:w="66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594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Specify the inclusion and exclusion criteria for the review.</w:t>
            </w:r>
          </w:p>
        </w:tc>
        <w:tc>
          <w:tcPr>
            <w:tcW w:w="12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Yes</w:t>
            </w:r>
          </w:p>
        </w:tc>
      </w:tr>
      <w:tr w:rsidR="00AD2232" w:rsidTr="00A624EB">
        <w:trPr>
          <w:trHeight w:val="845"/>
        </w:trPr>
        <w:tc>
          <w:tcPr>
            <w:tcW w:w="183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t>Information sources</w:t>
            </w:r>
          </w:p>
        </w:tc>
        <w:tc>
          <w:tcPr>
            <w:tcW w:w="66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594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Specify the information sources (e.g. databases, registers) used to identify studies and the date when each was last searched.</w:t>
            </w:r>
          </w:p>
        </w:tc>
        <w:tc>
          <w:tcPr>
            <w:tcW w:w="12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Yes</w:t>
            </w:r>
          </w:p>
        </w:tc>
      </w:tr>
      <w:tr w:rsidR="00AD2232" w:rsidTr="00A624EB">
        <w:trPr>
          <w:trHeight w:val="620"/>
        </w:trPr>
        <w:tc>
          <w:tcPr>
            <w:tcW w:w="183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t>Risk of bias</w:t>
            </w:r>
          </w:p>
        </w:tc>
        <w:tc>
          <w:tcPr>
            <w:tcW w:w="66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594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Specify the methods used to assess risk of bias in the included studies.</w:t>
            </w:r>
          </w:p>
        </w:tc>
        <w:tc>
          <w:tcPr>
            <w:tcW w:w="12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Yes</w:t>
            </w:r>
          </w:p>
        </w:tc>
      </w:tr>
      <w:tr w:rsidR="00AD2232" w:rsidTr="00A624EB">
        <w:trPr>
          <w:trHeight w:val="845"/>
        </w:trPr>
        <w:tc>
          <w:tcPr>
            <w:tcW w:w="183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t>Synthesis of results</w:t>
            </w:r>
          </w:p>
        </w:tc>
        <w:tc>
          <w:tcPr>
            <w:tcW w:w="66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594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Specify the methods used to present and synthesize results.</w:t>
            </w:r>
          </w:p>
        </w:tc>
        <w:tc>
          <w:tcPr>
            <w:tcW w:w="12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Yes</w:t>
            </w:r>
          </w:p>
        </w:tc>
      </w:tr>
      <w:tr w:rsidR="00AD2232" w:rsidTr="00A624EB">
        <w:trPr>
          <w:trHeight w:val="665"/>
        </w:trPr>
        <w:tc>
          <w:tcPr>
            <w:tcW w:w="1835" w:type="dxa"/>
            <w:tcBorders>
              <w:top w:val="single" w:sz="4" w:space="0" w:color="000000"/>
              <w:left w:val="single" w:sz="4" w:space="0" w:color="000000"/>
              <w:bottom w:val="single" w:sz="4" w:space="0" w:color="000000"/>
              <w:right w:val="single" w:sz="4" w:space="0" w:color="000000"/>
            </w:tcBorders>
            <w:shd w:val="clear" w:color="auto" w:fill="FFFFCC"/>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t>RESULTS</w:t>
            </w:r>
          </w:p>
        </w:tc>
        <w:tc>
          <w:tcPr>
            <w:tcW w:w="665" w:type="dxa"/>
            <w:tcBorders>
              <w:top w:val="single" w:sz="4" w:space="0" w:color="000000"/>
              <w:left w:val="single" w:sz="4" w:space="0" w:color="000000"/>
              <w:bottom w:val="single" w:sz="4" w:space="0" w:color="000000"/>
              <w:right w:val="single" w:sz="4" w:space="0" w:color="000000"/>
            </w:tcBorders>
            <w:shd w:val="clear" w:color="auto" w:fill="FFFFCC"/>
            <w:tcMar>
              <w:top w:w="100" w:type="dxa"/>
              <w:left w:w="100" w:type="dxa"/>
              <w:bottom w:w="100" w:type="dxa"/>
              <w:right w:w="100" w:type="dxa"/>
            </w:tcMar>
          </w:tcPr>
          <w:p w:rsidR="00AD2232" w:rsidRDefault="00AD2232" w:rsidP="00A624EB">
            <w:pPr>
              <w:spacing w:before="100" w:after="100"/>
              <w:ind w:left="100" w:right="100"/>
              <w:jc w:val="center"/>
            </w:pPr>
            <w:r>
              <w:t xml:space="preserve"> </w:t>
            </w:r>
          </w:p>
        </w:tc>
        <w:tc>
          <w:tcPr>
            <w:tcW w:w="5945" w:type="dxa"/>
            <w:tcBorders>
              <w:top w:val="single" w:sz="4" w:space="0" w:color="000000"/>
              <w:left w:val="single" w:sz="4" w:space="0" w:color="000000"/>
              <w:bottom w:val="single" w:sz="4" w:space="0" w:color="000000"/>
              <w:right w:val="single" w:sz="4" w:space="0" w:color="000000"/>
            </w:tcBorders>
            <w:shd w:val="clear" w:color="auto" w:fill="FFFFCC"/>
            <w:tcMar>
              <w:top w:w="100" w:type="dxa"/>
              <w:left w:w="100" w:type="dxa"/>
              <w:bottom w:w="100" w:type="dxa"/>
              <w:right w:w="100" w:type="dxa"/>
            </w:tcMar>
          </w:tcPr>
          <w:p w:rsidR="00AD2232" w:rsidRDefault="00AD2232" w:rsidP="00A624EB">
            <w:pPr>
              <w:spacing w:before="100" w:after="100"/>
              <w:ind w:left="100" w:right="100"/>
            </w:pPr>
            <w:r>
              <w:t xml:space="preserve"> </w:t>
            </w:r>
          </w:p>
        </w:tc>
        <w:tc>
          <w:tcPr>
            <w:tcW w:w="1220" w:type="dxa"/>
            <w:tcBorders>
              <w:top w:val="single" w:sz="4" w:space="0" w:color="000000"/>
              <w:left w:val="single" w:sz="4" w:space="0" w:color="000000"/>
              <w:bottom w:val="single" w:sz="4" w:space="0" w:color="000000"/>
              <w:right w:val="single" w:sz="4" w:space="0" w:color="000000"/>
            </w:tcBorders>
            <w:shd w:val="clear" w:color="auto" w:fill="FFFFCC"/>
            <w:tcMar>
              <w:top w:w="100" w:type="dxa"/>
              <w:left w:w="100" w:type="dxa"/>
              <w:bottom w:w="100" w:type="dxa"/>
              <w:right w:w="100" w:type="dxa"/>
            </w:tcMar>
          </w:tcPr>
          <w:p w:rsidR="00AD2232" w:rsidRDefault="00AD2232" w:rsidP="00A624EB">
            <w:pPr>
              <w:spacing w:before="100" w:after="100"/>
              <w:ind w:left="100" w:right="100"/>
              <w:jc w:val="center"/>
            </w:pPr>
            <w:r>
              <w:t xml:space="preserve"> </w:t>
            </w:r>
          </w:p>
        </w:tc>
      </w:tr>
      <w:tr w:rsidR="00AD2232" w:rsidTr="00A624EB">
        <w:trPr>
          <w:trHeight w:val="845"/>
        </w:trPr>
        <w:tc>
          <w:tcPr>
            <w:tcW w:w="183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t>Included studies</w:t>
            </w:r>
          </w:p>
        </w:tc>
        <w:tc>
          <w:tcPr>
            <w:tcW w:w="66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tc>
        <w:tc>
          <w:tcPr>
            <w:tcW w:w="594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Give the total number of included studies and participants and summarise relevant characteristics of studies.</w:t>
            </w:r>
          </w:p>
        </w:tc>
        <w:tc>
          <w:tcPr>
            <w:tcW w:w="12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Yes</w:t>
            </w:r>
          </w:p>
        </w:tc>
      </w:tr>
      <w:tr w:rsidR="00AD2232" w:rsidTr="00A624EB">
        <w:trPr>
          <w:trHeight w:val="1295"/>
        </w:trPr>
        <w:tc>
          <w:tcPr>
            <w:tcW w:w="183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t>Synthesis of results</w:t>
            </w:r>
          </w:p>
        </w:tc>
        <w:tc>
          <w:tcPr>
            <w:tcW w:w="66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594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Present results for main outcomes, preferably indicating the number of included studies and participants for each. If meta-analysis was done, report the summary estimate and confidence/credible interval. If comparing groups, indicate the direction of the effect (i.e. which group is favoured).</w:t>
            </w:r>
          </w:p>
        </w:tc>
        <w:tc>
          <w:tcPr>
            <w:tcW w:w="12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Yes</w:t>
            </w:r>
          </w:p>
        </w:tc>
      </w:tr>
      <w:tr w:rsidR="00AD2232" w:rsidTr="00A624EB">
        <w:trPr>
          <w:trHeight w:val="665"/>
        </w:trPr>
        <w:tc>
          <w:tcPr>
            <w:tcW w:w="1835" w:type="dxa"/>
            <w:tcBorders>
              <w:top w:val="single" w:sz="4" w:space="0" w:color="000000"/>
              <w:left w:val="single" w:sz="4" w:space="0" w:color="000000"/>
              <w:bottom w:val="single" w:sz="4" w:space="0" w:color="000000"/>
              <w:right w:val="single" w:sz="4" w:space="0" w:color="000000"/>
            </w:tcBorders>
            <w:shd w:val="clear" w:color="auto" w:fill="FFFFCC"/>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t>DISCUSSION</w:t>
            </w:r>
          </w:p>
        </w:tc>
        <w:tc>
          <w:tcPr>
            <w:tcW w:w="665" w:type="dxa"/>
            <w:tcBorders>
              <w:top w:val="single" w:sz="4" w:space="0" w:color="000000"/>
              <w:left w:val="single" w:sz="4" w:space="0" w:color="000000"/>
              <w:bottom w:val="single" w:sz="4" w:space="0" w:color="000000"/>
              <w:right w:val="single" w:sz="4" w:space="0" w:color="000000"/>
            </w:tcBorders>
            <w:shd w:val="clear" w:color="auto" w:fill="FFFFCC"/>
            <w:tcMar>
              <w:top w:w="100" w:type="dxa"/>
              <w:left w:w="100" w:type="dxa"/>
              <w:bottom w:w="100" w:type="dxa"/>
              <w:right w:w="100" w:type="dxa"/>
            </w:tcMar>
          </w:tcPr>
          <w:p w:rsidR="00AD2232" w:rsidRDefault="00AD2232" w:rsidP="00A624EB">
            <w:pPr>
              <w:spacing w:before="100" w:after="100"/>
              <w:ind w:left="100" w:right="100"/>
              <w:jc w:val="center"/>
            </w:pPr>
            <w:r>
              <w:t xml:space="preserve"> </w:t>
            </w:r>
          </w:p>
        </w:tc>
        <w:tc>
          <w:tcPr>
            <w:tcW w:w="5945" w:type="dxa"/>
            <w:tcBorders>
              <w:top w:val="single" w:sz="4" w:space="0" w:color="000000"/>
              <w:left w:val="single" w:sz="4" w:space="0" w:color="000000"/>
              <w:bottom w:val="single" w:sz="4" w:space="0" w:color="000000"/>
              <w:right w:val="single" w:sz="4" w:space="0" w:color="000000"/>
            </w:tcBorders>
            <w:shd w:val="clear" w:color="auto" w:fill="FFFFCC"/>
            <w:tcMar>
              <w:top w:w="100" w:type="dxa"/>
              <w:left w:w="100" w:type="dxa"/>
              <w:bottom w:w="100" w:type="dxa"/>
              <w:right w:w="100" w:type="dxa"/>
            </w:tcMar>
          </w:tcPr>
          <w:p w:rsidR="00AD2232" w:rsidRDefault="00AD2232" w:rsidP="00A624EB">
            <w:pPr>
              <w:spacing w:before="100" w:after="100"/>
              <w:ind w:left="100" w:right="100"/>
            </w:pPr>
            <w:r>
              <w:t xml:space="preserve"> </w:t>
            </w:r>
          </w:p>
        </w:tc>
        <w:tc>
          <w:tcPr>
            <w:tcW w:w="1220" w:type="dxa"/>
            <w:tcBorders>
              <w:top w:val="single" w:sz="4" w:space="0" w:color="000000"/>
              <w:left w:val="single" w:sz="4" w:space="0" w:color="000000"/>
              <w:bottom w:val="single" w:sz="4" w:space="0" w:color="000000"/>
              <w:right w:val="single" w:sz="4" w:space="0" w:color="000000"/>
            </w:tcBorders>
            <w:shd w:val="clear" w:color="auto" w:fill="FFFFCC"/>
            <w:tcMar>
              <w:top w:w="100" w:type="dxa"/>
              <w:left w:w="100" w:type="dxa"/>
              <w:bottom w:w="100" w:type="dxa"/>
              <w:right w:w="100" w:type="dxa"/>
            </w:tcMar>
          </w:tcPr>
          <w:p w:rsidR="00AD2232" w:rsidRDefault="00AD2232" w:rsidP="00A624EB">
            <w:pPr>
              <w:spacing w:before="100" w:after="100"/>
              <w:ind w:left="100" w:right="100"/>
              <w:jc w:val="center"/>
            </w:pPr>
            <w:r>
              <w:t xml:space="preserve"> </w:t>
            </w:r>
          </w:p>
        </w:tc>
      </w:tr>
      <w:tr w:rsidR="00AD2232" w:rsidTr="00A624EB">
        <w:trPr>
          <w:trHeight w:val="845"/>
        </w:trPr>
        <w:tc>
          <w:tcPr>
            <w:tcW w:w="183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t>Limitations of evidence</w:t>
            </w:r>
          </w:p>
        </w:tc>
        <w:tc>
          <w:tcPr>
            <w:tcW w:w="66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tc>
        <w:tc>
          <w:tcPr>
            <w:tcW w:w="594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Provide a brief summary of the limitations of the evidence included in the review (e.g. study risk of bias, inconsistency and imprecision).</w:t>
            </w:r>
          </w:p>
        </w:tc>
        <w:tc>
          <w:tcPr>
            <w:tcW w:w="12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r>
      <w:tr w:rsidR="00AD2232" w:rsidTr="00A624EB">
        <w:trPr>
          <w:trHeight w:val="620"/>
        </w:trPr>
        <w:tc>
          <w:tcPr>
            <w:tcW w:w="183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t>Interpretation</w:t>
            </w:r>
          </w:p>
        </w:tc>
        <w:tc>
          <w:tcPr>
            <w:tcW w:w="66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594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Provide a general interpretation of the results and important implications.</w:t>
            </w:r>
          </w:p>
        </w:tc>
        <w:tc>
          <w:tcPr>
            <w:tcW w:w="12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Yes</w:t>
            </w:r>
          </w:p>
        </w:tc>
      </w:tr>
      <w:tr w:rsidR="00AD2232" w:rsidTr="00A624EB">
        <w:trPr>
          <w:trHeight w:val="665"/>
        </w:trPr>
        <w:tc>
          <w:tcPr>
            <w:tcW w:w="1835" w:type="dxa"/>
            <w:tcBorders>
              <w:top w:val="single" w:sz="4" w:space="0" w:color="000000"/>
              <w:left w:val="single" w:sz="4" w:space="0" w:color="000000"/>
              <w:bottom w:val="single" w:sz="4" w:space="0" w:color="000000"/>
              <w:right w:val="single" w:sz="4" w:space="0" w:color="000000"/>
            </w:tcBorders>
            <w:shd w:val="clear" w:color="auto" w:fill="FFFFCC"/>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t>OTHER</w:t>
            </w:r>
          </w:p>
        </w:tc>
        <w:tc>
          <w:tcPr>
            <w:tcW w:w="665" w:type="dxa"/>
            <w:tcBorders>
              <w:top w:val="single" w:sz="4" w:space="0" w:color="000000"/>
              <w:left w:val="single" w:sz="4" w:space="0" w:color="000000"/>
              <w:bottom w:val="single" w:sz="4" w:space="0" w:color="000000"/>
              <w:right w:val="single" w:sz="4" w:space="0" w:color="000000"/>
            </w:tcBorders>
            <w:shd w:val="clear" w:color="auto" w:fill="FFFFCC"/>
            <w:tcMar>
              <w:top w:w="100" w:type="dxa"/>
              <w:left w:w="100" w:type="dxa"/>
              <w:bottom w:w="100" w:type="dxa"/>
              <w:right w:w="100" w:type="dxa"/>
            </w:tcMar>
          </w:tcPr>
          <w:p w:rsidR="00AD2232" w:rsidRDefault="00AD2232" w:rsidP="00A624EB">
            <w:pPr>
              <w:spacing w:before="100" w:after="100"/>
              <w:ind w:left="100" w:right="100"/>
              <w:jc w:val="center"/>
            </w:pPr>
            <w:r>
              <w:t xml:space="preserve"> </w:t>
            </w:r>
          </w:p>
        </w:tc>
        <w:tc>
          <w:tcPr>
            <w:tcW w:w="5945" w:type="dxa"/>
            <w:tcBorders>
              <w:top w:val="single" w:sz="4" w:space="0" w:color="000000"/>
              <w:left w:val="single" w:sz="4" w:space="0" w:color="000000"/>
              <w:bottom w:val="single" w:sz="4" w:space="0" w:color="000000"/>
              <w:right w:val="single" w:sz="4" w:space="0" w:color="000000"/>
            </w:tcBorders>
            <w:shd w:val="clear" w:color="auto" w:fill="FFFFCC"/>
            <w:tcMar>
              <w:top w:w="100" w:type="dxa"/>
              <w:left w:w="100" w:type="dxa"/>
              <w:bottom w:w="100" w:type="dxa"/>
              <w:right w:w="100" w:type="dxa"/>
            </w:tcMar>
          </w:tcPr>
          <w:p w:rsidR="00AD2232" w:rsidRDefault="00AD2232" w:rsidP="00A624EB">
            <w:pPr>
              <w:spacing w:before="100" w:after="100"/>
              <w:ind w:left="100" w:right="100"/>
            </w:pPr>
            <w:r>
              <w:t xml:space="preserve"> </w:t>
            </w:r>
          </w:p>
        </w:tc>
        <w:tc>
          <w:tcPr>
            <w:tcW w:w="1220" w:type="dxa"/>
            <w:tcBorders>
              <w:top w:val="single" w:sz="4" w:space="0" w:color="000000"/>
              <w:left w:val="single" w:sz="4" w:space="0" w:color="000000"/>
              <w:bottom w:val="single" w:sz="4" w:space="0" w:color="000000"/>
              <w:right w:val="single" w:sz="4" w:space="0" w:color="000000"/>
            </w:tcBorders>
            <w:shd w:val="clear" w:color="auto" w:fill="FFFFCC"/>
            <w:tcMar>
              <w:top w:w="100" w:type="dxa"/>
              <w:left w:w="100" w:type="dxa"/>
              <w:bottom w:w="100" w:type="dxa"/>
              <w:right w:w="100" w:type="dxa"/>
            </w:tcMar>
          </w:tcPr>
          <w:p w:rsidR="00AD2232" w:rsidRDefault="00AD2232" w:rsidP="00A624EB">
            <w:pPr>
              <w:spacing w:before="100" w:after="100"/>
              <w:ind w:left="100" w:right="100"/>
              <w:jc w:val="center"/>
            </w:pPr>
            <w:r>
              <w:t xml:space="preserve"> </w:t>
            </w:r>
          </w:p>
        </w:tc>
      </w:tr>
      <w:tr w:rsidR="00AD2232" w:rsidTr="00A624EB">
        <w:trPr>
          <w:trHeight w:val="620"/>
        </w:trPr>
        <w:tc>
          <w:tcPr>
            <w:tcW w:w="183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t>Funding</w:t>
            </w:r>
          </w:p>
        </w:tc>
        <w:tc>
          <w:tcPr>
            <w:tcW w:w="66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w:t>
            </w:r>
          </w:p>
        </w:tc>
        <w:tc>
          <w:tcPr>
            <w:tcW w:w="594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Specify the primary source of funding for the review.</w:t>
            </w:r>
          </w:p>
        </w:tc>
        <w:tc>
          <w:tcPr>
            <w:tcW w:w="12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Yes</w:t>
            </w:r>
          </w:p>
        </w:tc>
      </w:tr>
      <w:tr w:rsidR="00AD2232" w:rsidTr="00A624EB">
        <w:trPr>
          <w:trHeight w:val="635"/>
        </w:trPr>
        <w:tc>
          <w:tcPr>
            <w:tcW w:w="183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b/>
                <w:sz w:val="18"/>
                <w:szCs w:val="18"/>
              </w:rPr>
            </w:pPr>
            <w:r>
              <w:rPr>
                <w:rFonts w:ascii="Times New Roman" w:eastAsia="Times New Roman" w:hAnsi="Times New Roman" w:cs="Times New Roman"/>
                <w:b/>
                <w:sz w:val="18"/>
                <w:szCs w:val="18"/>
              </w:rPr>
              <w:t>Registration</w:t>
            </w:r>
          </w:p>
        </w:tc>
        <w:tc>
          <w:tcPr>
            <w:tcW w:w="66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w:t>
            </w:r>
          </w:p>
        </w:tc>
        <w:tc>
          <w:tcPr>
            <w:tcW w:w="594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AD2232" w:rsidRDefault="00AD2232" w:rsidP="00A624EB">
            <w:pPr>
              <w:spacing w:before="100" w:after="100"/>
              <w:ind w:left="100" w:right="100"/>
              <w:rPr>
                <w:rFonts w:ascii="Times New Roman" w:eastAsia="Times New Roman" w:hAnsi="Times New Roman" w:cs="Times New Roman"/>
                <w:sz w:val="18"/>
                <w:szCs w:val="18"/>
              </w:rPr>
            </w:pPr>
            <w:r>
              <w:rPr>
                <w:rFonts w:ascii="Times New Roman" w:eastAsia="Times New Roman" w:hAnsi="Times New Roman" w:cs="Times New Roman"/>
                <w:sz w:val="18"/>
                <w:szCs w:val="18"/>
              </w:rPr>
              <w:t>Provide the register name and registration number.</w:t>
            </w:r>
          </w:p>
        </w:tc>
        <w:tc>
          <w:tcPr>
            <w:tcW w:w="12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AD2232" w:rsidRDefault="00AD2232" w:rsidP="00A624EB">
            <w:pPr>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Yes</w:t>
            </w:r>
          </w:p>
        </w:tc>
      </w:tr>
    </w:tbl>
    <w:p w:rsidR="00AD2232" w:rsidRDefault="00AD2232" w:rsidP="00AD2232">
      <w:pPr>
        <w:spacing w:before="240" w:after="240"/>
      </w:pPr>
      <w:r>
        <w:rPr>
          <w:color w:val="FFFFFF"/>
        </w:rPr>
        <w:t xml:space="preserve"> </w:t>
      </w:r>
    </w:p>
    <w:p w:rsidR="005E210C" w:rsidRDefault="005E210C">
      <w:bookmarkStart w:id="13" w:name="_GoBack"/>
      <w:bookmarkEnd w:id="13"/>
    </w:p>
    <w:sectPr w:rsidR="005E210C">
      <w:pgSz w:w="11909" w:h="16834"/>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auto"/>
    <w:pitch w:val="default"/>
  </w:font>
  <w:font w:name="Arial Unicode MS">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54E" w:rsidRDefault="00AD2232">
    <w:pPr>
      <w:jc w:val="right"/>
    </w:pPr>
    <w:r>
      <w:fldChar w:fldCharType="begin"/>
    </w:r>
    <w:r>
      <w:instrText>PAGE</w:instrText>
    </w:r>
    <w:r>
      <w:fldChar w:fldCharType="separate"/>
    </w:r>
    <w:r>
      <w:rPr>
        <w:noProof/>
      </w:rPr>
      <w:t>1</w:t>
    </w:r>
    <w: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54E" w:rsidRDefault="00AD223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A0433A"/>
    <w:multiLevelType w:val="multilevel"/>
    <w:tmpl w:val="9F3409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3E62212"/>
    <w:multiLevelType w:val="multilevel"/>
    <w:tmpl w:val="9FF63E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232"/>
    <w:rsid w:val="005E210C"/>
    <w:rsid w:val="00AD22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91D8A2-5394-4629-8F5C-4AE8B4A8A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D2232"/>
    <w:pPr>
      <w:spacing w:after="0" w:line="276" w:lineRule="auto"/>
    </w:pPr>
    <w:rPr>
      <w:rFonts w:ascii="Arial" w:eastAsia="Arial" w:hAnsi="Arial" w:cs="Arial"/>
    </w:rPr>
  </w:style>
  <w:style w:type="paragraph" w:styleId="Heading1">
    <w:name w:val="heading 1"/>
    <w:basedOn w:val="Normal"/>
    <w:next w:val="Normal"/>
    <w:link w:val="Heading1Char"/>
    <w:rsid w:val="00AD2232"/>
    <w:pPr>
      <w:keepNext/>
      <w:keepLines/>
      <w:spacing w:before="400" w:after="120"/>
      <w:outlineLvl w:val="0"/>
    </w:pPr>
    <w:rPr>
      <w:sz w:val="40"/>
      <w:szCs w:val="40"/>
    </w:rPr>
  </w:style>
  <w:style w:type="paragraph" w:styleId="Heading2">
    <w:name w:val="heading 2"/>
    <w:basedOn w:val="Normal"/>
    <w:next w:val="Normal"/>
    <w:link w:val="Heading2Char"/>
    <w:rsid w:val="00AD2232"/>
    <w:pPr>
      <w:keepNext/>
      <w:keepLines/>
      <w:spacing w:before="360" w:after="120"/>
      <w:outlineLvl w:val="1"/>
    </w:pPr>
    <w:rPr>
      <w:sz w:val="32"/>
      <w:szCs w:val="32"/>
    </w:rPr>
  </w:style>
  <w:style w:type="paragraph" w:styleId="Heading3">
    <w:name w:val="heading 3"/>
    <w:basedOn w:val="Normal"/>
    <w:next w:val="Normal"/>
    <w:link w:val="Heading3Char"/>
    <w:rsid w:val="00AD2232"/>
    <w:pPr>
      <w:keepNext/>
      <w:keepLines/>
      <w:spacing w:before="320" w:after="80"/>
      <w:outlineLvl w:val="2"/>
    </w:pPr>
    <w:rPr>
      <w:color w:val="434343"/>
      <w:sz w:val="28"/>
      <w:szCs w:val="28"/>
    </w:rPr>
  </w:style>
  <w:style w:type="paragraph" w:styleId="Heading4">
    <w:name w:val="heading 4"/>
    <w:basedOn w:val="Normal"/>
    <w:next w:val="Normal"/>
    <w:link w:val="Heading4Char"/>
    <w:rsid w:val="00AD2232"/>
    <w:pPr>
      <w:keepNext/>
      <w:keepLines/>
      <w:spacing w:before="280" w:after="80"/>
      <w:outlineLvl w:val="3"/>
    </w:pPr>
    <w:rPr>
      <w:color w:val="666666"/>
      <w:sz w:val="24"/>
      <w:szCs w:val="24"/>
    </w:rPr>
  </w:style>
  <w:style w:type="paragraph" w:styleId="Heading5">
    <w:name w:val="heading 5"/>
    <w:basedOn w:val="Normal"/>
    <w:next w:val="Normal"/>
    <w:link w:val="Heading5Char"/>
    <w:rsid w:val="00AD2232"/>
    <w:pPr>
      <w:keepNext/>
      <w:keepLines/>
      <w:spacing w:before="240" w:after="80"/>
      <w:outlineLvl w:val="4"/>
    </w:pPr>
    <w:rPr>
      <w:color w:val="666666"/>
    </w:rPr>
  </w:style>
  <w:style w:type="paragraph" w:styleId="Heading6">
    <w:name w:val="heading 6"/>
    <w:basedOn w:val="Normal"/>
    <w:next w:val="Normal"/>
    <w:link w:val="Heading6Char"/>
    <w:rsid w:val="00AD2232"/>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D2232"/>
    <w:rPr>
      <w:rFonts w:ascii="Arial" w:eastAsia="Arial" w:hAnsi="Arial" w:cs="Arial"/>
      <w:sz w:val="40"/>
      <w:szCs w:val="40"/>
    </w:rPr>
  </w:style>
  <w:style w:type="character" w:customStyle="1" w:styleId="Heading2Char">
    <w:name w:val="Heading 2 Char"/>
    <w:basedOn w:val="DefaultParagraphFont"/>
    <w:link w:val="Heading2"/>
    <w:rsid w:val="00AD2232"/>
    <w:rPr>
      <w:rFonts w:ascii="Arial" w:eastAsia="Arial" w:hAnsi="Arial" w:cs="Arial"/>
      <w:sz w:val="32"/>
      <w:szCs w:val="32"/>
    </w:rPr>
  </w:style>
  <w:style w:type="character" w:customStyle="1" w:styleId="Heading3Char">
    <w:name w:val="Heading 3 Char"/>
    <w:basedOn w:val="DefaultParagraphFont"/>
    <w:link w:val="Heading3"/>
    <w:rsid w:val="00AD2232"/>
    <w:rPr>
      <w:rFonts w:ascii="Arial" w:eastAsia="Arial" w:hAnsi="Arial" w:cs="Arial"/>
      <w:color w:val="434343"/>
      <w:sz w:val="28"/>
      <w:szCs w:val="28"/>
    </w:rPr>
  </w:style>
  <w:style w:type="character" w:customStyle="1" w:styleId="Heading4Char">
    <w:name w:val="Heading 4 Char"/>
    <w:basedOn w:val="DefaultParagraphFont"/>
    <w:link w:val="Heading4"/>
    <w:rsid w:val="00AD2232"/>
    <w:rPr>
      <w:rFonts w:ascii="Arial" w:eastAsia="Arial" w:hAnsi="Arial" w:cs="Arial"/>
      <w:color w:val="666666"/>
      <w:sz w:val="24"/>
      <w:szCs w:val="24"/>
    </w:rPr>
  </w:style>
  <w:style w:type="character" w:customStyle="1" w:styleId="Heading5Char">
    <w:name w:val="Heading 5 Char"/>
    <w:basedOn w:val="DefaultParagraphFont"/>
    <w:link w:val="Heading5"/>
    <w:rsid w:val="00AD2232"/>
    <w:rPr>
      <w:rFonts w:ascii="Arial" w:eastAsia="Arial" w:hAnsi="Arial" w:cs="Arial"/>
      <w:color w:val="666666"/>
    </w:rPr>
  </w:style>
  <w:style w:type="character" w:customStyle="1" w:styleId="Heading6Char">
    <w:name w:val="Heading 6 Char"/>
    <w:basedOn w:val="DefaultParagraphFont"/>
    <w:link w:val="Heading6"/>
    <w:rsid w:val="00AD2232"/>
    <w:rPr>
      <w:rFonts w:ascii="Arial" w:eastAsia="Arial" w:hAnsi="Arial" w:cs="Arial"/>
      <w:i/>
      <w:color w:val="666666"/>
    </w:rPr>
  </w:style>
  <w:style w:type="paragraph" w:styleId="Title">
    <w:name w:val="Title"/>
    <w:basedOn w:val="Normal"/>
    <w:next w:val="Normal"/>
    <w:link w:val="TitleChar"/>
    <w:rsid w:val="00AD2232"/>
    <w:pPr>
      <w:keepNext/>
      <w:keepLines/>
      <w:spacing w:after="60"/>
    </w:pPr>
    <w:rPr>
      <w:sz w:val="52"/>
      <w:szCs w:val="52"/>
    </w:rPr>
  </w:style>
  <w:style w:type="character" w:customStyle="1" w:styleId="TitleChar">
    <w:name w:val="Title Char"/>
    <w:basedOn w:val="DefaultParagraphFont"/>
    <w:link w:val="Title"/>
    <w:rsid w:val="00AD2232"/>
    <w:rPr>
      <w:rFonts w:ascii="Arial" w:eastAsia="Arial" w:hAnsi="Arial" w:cs="Arial"/>
      <w:sz w:val="52"/>
      <w:szCs w:val="52"/>
    </w:rPr>
  </w:style>
  <w:style w:type="paragraph" w:styleId="Subtitle">
    <w:name w:val="Subtitle"/>
    <w:basedOn w:val="Normal"/>
    <w:next w:val="Normal"/>
    <w:link w:val="SubtitleChar"/>
    <w:rsid w:val="00AD2232"/>
    <w:pPr>
      <w:keepNext/>
      <w:keepLines/>
      <w:spacing w:after="320"/>
    </w:pPr>
    <w:rPr>
      <w:color w:val="666666"/>
      <w:sz w:val="30"/>
      <w:szCs w:val="30"/>
    </w:rPr>
  </w:style>
  <w:style w:type="character" w:customStyle="1" w:styleId="SubtitleChar">
    <w:name w:val="Subtitle Char"/>
    <w:basedOn w:val="DefaultParagraphFont"/>
    <w:link w:val="Subtitle"/>
    <w:rsid w:val="00AD2232"/>
    <w:rPr>
      <w:rFonts w:ascii="Arial" w:eastAsia="Arial" w:hAnsi="Arial" w:cs="Arial"/>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73</Pages>
  <Words>23096</Words>
  <Characters>131653</Characters>
  <Application>Microsoft Office Word</Application>
  <DocSecurity>0</DocSecurity>
  <Lines>1097</Lines>
  <Paragraphs>308</Paragraphs>
  <ScaleCrop>false</ScaleCrop>
  <Company>Springer Nature</Company>
  <LinksUpToDate>false</LinksUpToDate>
  <CharactersWithSpaces>154441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2022-09-28T12:06:00Z</dcterms:created>
  <dcterms:modified xsi:type="dcterms:W3CDTF">2022-09-28T12:06:00Z</dcterms:modified>
</cp:coreProperties>
</file>