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D49" w:rsidRDefault="006E3D49" w:rsidP="006E3D49">
      <w:pPr>
        <w:pStyle w:val="StandardWeb"/>
        <w:ind w:left="480" w:hanging="480"/>
        <w:jc w:val="both"/>
        <w:rPr>
          <w:rFonts w:ascii="Arial" w:hAnsi="Arial" w:cs="Arial"/>
          <w:b/>
          <w:sz w:val="36"/>
          <w:szCs w:val="36"/>
          <w:lang w:val="en-US"/>
        </w:rPr>
      </w:pPr>
      <w:r w:rsidRPr="0020232D">
        <w:rPr>
          <w:rFonts w:ascii="Arial" w:hAnsi="Arial" w:cs="Arial"/>
          <w:b/>
          <w:sz w:val="36"/>
          <w:szCs w:val="36"/>
          <w:lang w:val="en-US"/>
        </w:rPr>
        <w:t>Supplementary tables and figures</w:t>
      </w:r>
    </w:p>
    <w:p w:rsidR="006E3D49" w:rsidRPr="00684331" w:rsidRDefault="006E3D49" w:rsidP="006E3D49">
      <w:pPr>
        <w:pStyle w:val="Beschriftung"/>
        <w:keepNext/>
        <w:jc w:val="both"/>
        <w:rPr>
          <w:rFonts w:ascii="Arial" w:hAnsi="Arial" w:cs="Arial"/>
          <w:color w:val="auto"/>
          <w:sz w:val="24"/>
          <w:szCs w:val="24"/>
        </w:rPr>
      </w:pPr>
      <w:r w:rsidRPr="00684331">
        <w:rPr>
          <w:rFonts w:ascii="Arial" w:hAnsi="Arial" w:cs="Arial"/>
          <w:b/>
          <w:i w:val="0"/>
          <w:color w:val="auto"/>
          <w:sz w:val="24"/>
          <w:szCs w:val="24"/>
        </w:rPr>
        <w:t>Table S</w:t>
      </w:r>
      <w:r>
        <w:rPr>
          <w:rFonts w:ascii="Arial" w:hAnsi="Arial" w:cs="Arial"/>
          <w:b/>
          <w:i w:val="0"/>
          <w:color w:val="auto"/>
          <w:sz w:val="24"/>
          <w:szCs w:val="24"/>
        </w:rPr>
        <w:t>1</w:t>
      </w:r>
      <w:bookmarkStart w:id="0" w:name="_GoBack"/>
      <w:bookmarkEnd w:id="0"/>
      <w:r w:rsidRPr="00684331">
        <w:rPr>
          <w:rFonts w:ascii="Arial" w:hAnsi="Arial" w:cs="Arial"/>
          <w:b/>
          <w:i w:val="0"/>
          <w:color w:val="auto"/>
          <w:sz w:val="24"/>
          <w:szCs w:val="24"/>
        </w:rPr>
        <w:t xml:space="preserve"> </w:t>
      </w:r>
      <w:r w:rsidRPr="00684331">
        <w:rPr>
          <w:rFonts w:ascii="Arial" w:hAnsi="Arial" w:cs="Arial"/>
          <w:i w:val="0"/>
          <w:color w:val="auto"/>
          <w:sz w:val="24"/>
          <w:szCs w:val="24"/>
        </w:rPr>
        <w:t xml:space="preserve">Details of primers used for microsatellite analyses of </w:t>
      </w:r>
      <w:proofErr w:type="spellStart"/>
      <w:r w:rsidRPr="00684331">
        <w:rPr>
          <w:rFonts w:ascii="Arial" w:hAnsi="Arial" w:cs="Arial"/>
          <w:color w:val="auto"/>
          <w:sz w:val="24"/>
          <w:szCs w:val="24"/>
        </w:rPr>
        <w:t>Oenanthe</w:t>
      </w:r>
      <w:proofErr w:type="spellEnd"/>
      <w:r w:rsidRPr="0068433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84331">
        <w:rPr>
          <w:rFonts w:ascii="Arial" w:hAnsi="Arial" w:cs="Arial"/>
          <w:color w:val="auto"/>
          <w:sz w:val="24"/>
          <w:szCs w:val="24"/>
        </w:rPr>
        <w:t>aquatica</w:t>
      </w:r>
      <w:proofErr w:type="spellEnd"/>
    </w:p>
    <w:p w:rsidR="006E3D49" w:rsidRPr="00684331" w:rsidRDefault="006E3D49" w:rsidP="006E3D49">
      <w:pPr>
        <w:spacing w:line="240" w:lineRule="auto"/>
        <w:jc w:val="both"/>
        <w:rPr>
          <w:rFonts w:ascii="Arial" w:hAnsi="Arial" w:cs="Arial"/>
          <w:iCs/>
          <w:sz w:val="24"/>
          <w:szCs w:val="24"/>
        </w:rPr>
      </w:pPr>
      <w:r w:rsidRPr="00684331">
        <w:rPr>
          <w:rFonts w:ascii="Arial" w:hAnsi="Arial" w:cs="Arial"/>
          <w:b/>
          <w:iCs/>
          <w:sz w:val="24"/>
          <w:szCs w:val="24"/>
        </w:rPr>
        <w:t xml:space="preserve">Figure S2 </w:t>
      </w:r>
      <w:r w:rsidRPr="00684331">
        <w:rPr>
          <w:rFonts w:ascii="Arial" w:hAnsi="Arial" w:cs="Arial"/>
          <w:iCs/>
          <w:sz w:val="24"/>
          <w:szCs w:val="24"/>
        </w:rPr>
        <w:t xml:space="preserve">Heat maps showing significant departures from Hardy-Weinberg-Equilibrium (HWE) with single loci in columns and local population of </w:t>
      </w:r>
      <w:r w:rsidRPr="00684331">
        <w:rPr>
          <w:rFonts w:ascii="Arial" w:hAnsi="Arial" w:cs="Arial"/>
          <w:sz w:val="24"/>
          <w:szCs w:val="24"/>
        </w:rPr>
        <w:t>each cohort denoted as ‘19’ (2019), ‘16’ (2016), ’S1’ and ’S2’</w:t>
      </w:r>
      <w:r w:rsidRPr="00684331">
        <w:rPr>
          <w:rFonts w:ascii="Arial" w:hAnsi="Arial" w:cs="Arial"/>
          <w:iCs/>
          <w:sz w:val="24"/>
          <w:szCs w:val="24"/>
        </w:rPr>
        <w:t xml:space="preserve"> in rows; grey loci are presumed of not being in HWE with p </w:t>
      </w:r>
      <w:r w:rsidRPr="00684331">
        <w:rPr>
          <w:rFonts w:ascii="Arial" w:hAnsi="Arial" w:cs="Arial"/>
          <w:iCs/>
          <w:sz w:val="24"/>
          <w:szCs w:val="24"/>
        </w:rPr>
        <w:sym w:font="Symbol" w:char="F0A3"/>
      </w:r>
      <w:r w:rsidRPr="00684331">
        <w:rPr>
          <w:rFonts w:ascii="Arial" w:hAnsi="Arial" w:cs="Arial"/>
          <w:iCs/>
          <w:sz w:val="24"/>
          <w:szCs w:val="24"/>
        </w:rPr>
        <w:t xml:space="preserve"> 0.05.</w:t>
      </w:r>
    </w:p>
    <w:p w:rsidR="006E3D49" w:rsidRPr="00684331" w:rsidRDefault="006E3D49" w:rsidP="006E3D49">
      <w:pPr>
        <w:pStyle w:val="Beschriftung"/>
        <w:keepNext/>
        <w:jc w:val="both"/>
        <w:rPr>
          <w:rFonts w:ascii="Arial" w:hAnsi="Arial" w:cs="Arial"/>
          <w:i w:val="0"/>
          <w:color w:val="auto"/>
          <w:sz w:val="24"/>
          <w:szCs w:val="24"/>
        </w:rPr>
      </w:pPr>
      <w:r w:rsidRPr="00684331">
        <w:rPr>
          <w:rFonts w:ascii="Arial" w:hAnsi="Arial" w:cs="Arial"/>
          <w:b/>
          <w:i w:val="0"/>
          <w:color w:val="auto"/>
          <w:sz w:val="24"/>
          <w:szCs w:val="24"/>
        </w:rPr>
        <w:t xml:space="preserve">Table S3 </w:t>
      </w:r>
      <w:r w:rsidRPr="00684331">
        <w:rPr>
          <w:rFonts w:ascii="Arial" w:hAnsi="Arial" w:cs="Arial"/>
          <w:i w:val="0"/>
          <w:color w:val="auto"/>
          <w:sz w:val="24"/>
          <w:szCs w:val="24"/>
        </w:rPr>
        <w:t>Overview of population-specific genetic diversity parameters. Sample size (n), observed and expected heterozygosity (</w:t>
      </w:r>
      <w:proofErr w:type="spellStart"/>
      <w:r w:rsidRPr="00684331">
        <w:rPr>
          <w:rFonts w:ascii="Arial" w:hAnsi="Arial" w:cs="Arial"/>
          <w:i w:val="0"/>
          <w:color w:val="auto"/>
          <w:sz w:val="24"/>
          <w:szCs w:val="24"/>
        </w:rPr>
        <w:t>Ho,He</w:t>
      </w:r>
      <w:proofErr w:type="spellEnd"/>
      <w:r w:rsidRPr="00684331">
        <w:rPr>
          <w:rFonts w:ascii="Arial" w:hAnsi="Arial" w:cs="Arial"/>
          <w:i w:val="0"/>
          <w:color w:val="auto"/>
          <w:sz w:val="24"/>
          <w:szCs w:val="24"/>
        </w:rPr>
        <w:t>), allelic richness (</w:t>
      </w:r>
      <w:proofErr w:type="spellStart"/>
      <w:r w:rsidRPr="00684331">
        <w:rPr>
          <w:rFonts w:ascii="Arial" w:hAnsi="Arial" w:cs="Arial"/>
          <w:i w:val="0"/>
          <w:color w:val="auto"/>
          <w:sz w:val="24"/>
          <w:szCs w:val="24"/>
        </w:rPr>
        <w:t>Ar</w:t>
      </w:r>
      <w:proofErr w:type="spellEnd"/>
      <w:r w:rsidRPr="00684331">
        <w:rPr>
          <w:rFonts w:ascii="Arial" w:hAnsi="Arial" w:cs="Arial"/>
          <w:i w:val="0"/>
          <w:color w:val="auto"/>
          <w:sz w:val="24"/>
          <w:szCs w:val="24"/>
        </w:rPr>
        <w:t>), mean number of alleles (</w:t>
      </w:r>
      <w:proofErr w:type="spellStart"/>
      <w:r w:rsidRPr="00684331">
        <w:rPr>
          <w:rFonts w:ascii="Arial" w:hAnsi="Arial" w:cs="Arial"/>
          <w:i w:val="0"/>
          <w:color w:val="auto"/>
          <w:sz w:val="24"/>
          <w:szCs w:val="24"/>
        </w:rPr>
        <w:t>n.all</w:t>
      </w:r>
      <w:proofErr w:type="spellEnd"/>
      <w:r w:rsidRPr="00684331">
        <w:rPr>
          <w:rFonts w:ascii="Arial" w:hAnsi="Arial" w:cs="Arial"/>
          <w:i w:val="0"/>
          <w:color w:val="auto"/>
          <w:sz w:val="24"/>
          <w:szCs w:val="24"/>
        </w:rPr>
        <w:t>), and inbreeding coefficient (</w:t>
      </w:r>
      <w:proofErr w:type="spellStart"/>
      <w:r w:rsidRPr="00684331">
        <w:rPr>
          <w:rFonts w:ascii="Arial" w:hAnsi="Arial" w:cs="Arial"/>
          <w:i w:val="0"/>
          <w:color w:val="auto"/>
          <w:sz w:val="24"/>
          <w:szCs w:val="24"/>
        </w:rPr>
        <w:t>Fis</w:t>
      </w:r>
      <w:proofErr w:type="spellEnd"/>
      <w:r w:rsidRPr="00684331">
        <w:rPr>
          <w:rFonts w:ascii="Arial" w:hAnsi="Arial" w:cs="Arial"/>
          <w:i w:val="0"/>
          <w:color w:val="auto"/>
          <w:sz w:val="24"/>
          <w:szCs w:val="24"/>
        </w:rPr>
        <w:t xml:space="preserve">) as well as </w:t>
      </w:r>
      <w:proofErr w:type="spellStart"/>
      <w:r w:rsidRPr="00684331">
        <w:rPr>
          <w:rFonts w:ascii="Arial" w:hAnsi="Arial" w:cs="Arial"/>
          <w:i w:val="0"/>
          <w:color w:val="auto"/>
          <w:sz w:val="24"/>
          <w:szCs w:val="24"/>
        </w:rPr>
        <w:t>multilocus</w:t>
      </w:r>
      <w:proofErr w:type="spellEnd"/>
      <w:r w:rsidRPr="00684331">
        <w:rPr>
          <w:rFonts w:ascii="Arial" w:hAnsi="Arial" w:cs="Arial"/>
          <w:i w:val="0"/>
          <w:color w:val="auto"/>
          <w:sz w:val="24"/>
          <w:szCs w:val="24"/>
        </w:rPr>
        <w:t xml:space="preserve"> linkage disequilibrium (</w:t>
      </w:r>
      <w:proofErr w:type="spellStart"/>
      <w:r w:rsidRPr="00684331">
        <w:rPr>
          <w:rFonts w:ascii="Arial" w:hAnsi="Arial" w:cs="Arial"/>
          <w:i w:val="0"/>
          <w:color w:val="auto"/>
          <w:sz w:val="24"/>
          <w:szCs w:val="24"/>
        </w:rPr>
        <w:t>rd</w:t>
      </w:r>
      <w:proofErr w:type="spellEnd"/>
      <w:r w:rsidRPr="00684331">
        <w:rPr>
          <w:rFonts w:ascii="Arial" w:hAnsi="Arial" w:cs="Arial"/>
          <w:i w:val="0"/>
          <w:color w:val="auto"/>
          <w:sz w:val="24"/>
          <w:szCs w:val="24"/>
        </w:rPr>
        <w:t>) are listed including the temporal samples of each cohort.</w:t>
      </w:r>
    </w:p>
    <w:p w:rsidR="006E3D49" w:rsidRPr="00684331" w:rsidRDefault="006E3D49" w:rsidP="006E3D49">
      <w:pPr>
        <w:pStyle w:val="Beschriftung"/>
        <w:keepNext/>
        <w:spacing w:after="0"/>
        <w:jc w:val="both"/>
        <w:rPr>
          <w:rFonts w:ascii="Arial" w:hAnsi="Arial" w:cs="Arial"/>
          <w:i w:val="0"/>
          <w:color w:val="auto"/>
          <w:sz w:val="24"/>
          <w:szCs w:val="24"/>
        </w:rPr>
      </w:pPr>
      <w:r w:rsidRPr="00684331">
        <w:rPr>
          <w:rFonts w:ascii="Arial" w:hAnsi="Arial" w:cs="Arial"/>
          <w:b/>
          <w:i w:val="0"/>
          <w:color w:val="auto"/>
          <w:sz w:val="24"/>
          <w:szCs w:val="24"/>
        </w:rPr>
        <w:t>Figure S4</w:t>
      </w:r>
      <w:r w:rsidRPr="00684331">
        <w:rPr>
          <w:rFonts w:ascii="Arial" w:hAnsi="Arial" w:cs="Arial"/>
          <w:i w:val="0"/>
          <w:color w:val="auto"/>
          <w:sz w:val="24"/>
          <w:szCs w:val="24"/>
        </w:rPr>
        <w:t xml:space="preserve"> Boxplots represent the variation of mean levels of the genetic diversity parameters allelic richness (</w:t>
      </w:r>
      <w:proofErr w:type="spellStart"/>
      <w:r w:rsidRPr="00684331">
        <w:rPr>
          <w:rFonts w:ascii="Arial" w:hAnsi="Arial" w:cs="Arial"/>
          <w:i w:val="0"/>
          <w:color w:val="auto"/>
          <w:sz w:val="24"/>
          <w:szCs w:val="24"/>
        </w:rPr>
        <w:t>Ar</w:t>
      </w:r>
      <w:proofErr w:type="spellEnd"/>
      <w:r w:rsidRPr="00684331">
        <w:rPr>
          <w:rFonts w:ascii="Arial" w:hAnsi="Arial" w:cs="Arial"/>
          <w:i w:val="0"/>
          <w:color w:val="auto"/>
          <w:sz w:val="24"/>
          <w:szCs w:val="24"/>
        </w:rPr>
        <w:t>), expected heterozygosity (He), observed heterozygosity (Ho) and inbreeding coefficient (</w:t>
      </w:r>
      <w:proofErr w:type="spellStart"/>
      <w:r w:rsidRPr="00684331">
        <w:rPr>
          <w:rFonts w:ascii="Arial" w:hAnsi="Arial" w:cs="Arial"/>
          <w:i w:val="0"/>
          <w:color w:val="auto"/>
          <w:sz w:val="24"/>
          <w:szCs w:val="24"/>
        </w:rPr>
        <w:t>Fis</w:t>
      </w:r>
      <w:proofErr w:type="spellEnd"/>
      <w:r w:rsidRPr="00684331">
        <w:rPr>
          <w:rFonts w:ascii="Arial" w:hAnsi="Arial" w:cs="Arial"/>
          <w:i w:val="0"/>
          <w:color w:val="auto"/>
          <w:sz w:val="24"/>
          <w:szCs w:val="24"/>
        </w:rPr>
        <w:t xml:space="preserve">) between </w:t>
      </w:r>
      <w:proofErr w:type="spellStart"/>
      <w:r w:rsidRPr="00684331">
        <w:rPr>
          <w:rFonts w:ascii="Arial" w:hAnsi="Arial" w:cs="Arial"/>
          <w:i w:val="0"/>
          <w:color w:val="auto"/>
          <w:sz w:val="24"/>
          <w:szCs w:val="24"/>
        </w:rPr>
        <w:t>Oenanthe</w:t>
      </w:r>
      <w:proofErr w:type="spellEnd"/>
      <w:r w:rsidRPr="00684331">
        <w:rPr>
          <w:rFonts w:ascii="Arial" w:hAnsi="Arial" w:cs="Arial"/>
          <w:i w:val="0"/>
          <w:color w:val="auto"/>
          <w:sz w:val="24"/>
          <w:szCs w:val="24"/>
        </w:rPr>
        <w:t xml:space="preserve"> </w:t>
      </w:r>
      <w:proofErr w:type="spellStart"/>
      <w:r w:rsidRPr="00684331">
        <w:rPr>
          <w:rFonts w:ascii="Arial" w:hAnsi="Arial" w:cs="Arial"/>
          <w:i w:val="0"/>
          <w:color w:val="auto"/>
          <w:sz w:val="24"/>
          <w:szCs w:val="24"/>
        </w:rPr>
        <w:t>aquatica</w:t>
      </w:r>
      <w:proofErr w:type="spellEnd"/>
      <w:r w:rsidRPr="00684331">
        <w:rPr>
          <w:rFonts w:ascii="Arial" w:hAnsi="Arial" w:cs="Arial"/>
          <w:i w:val="0"/>
          <w:color w:val="auto"/>
          <w:sz w:val="24"/>
          <w:szCs w:val="24"/>
        </w:rPr>
        <w:t xml:space="preserve"> cohorts in reverse chronological order, dots represent population values, between-box lines illustrate population level dynamics in genetic diversity by connecting values of the same location across multiple cohorts.</w:t>
      </w:r>
    </w:p>
    <w:p w:rsidR="006E3D49" w:rsidRPr="00684331" w:rsidRDefault="006E3D49" w:rsidP="006E3D49">
      <w:pPr>
        <w:spacing w:line="240" w:lineRule="auto"/>
        <w:jc w:val="both"/>
        <w:rPr>
          <w:rFonts w:ascii="Arial" w:hAnsi="Arial" w:cs="Arial"/>
        </w:rPr>
      </w:pPr>
    </w:p>
    <w:p w:rsidR="006E3D49" w:rsidRPr="00684331" w:rsidRDefault="006E3D49" w:rsidP="006E3D49">
      <w:pPr>
        <w:pStyle w:val="Beschriftung"/>
        <w:keepNext/>
        <w:jc w:val="both"/>
        <w:rPr>
          <w:rFonts w:ascii="Arial" w:hAnsi="Arial" w:cs="Arial"/>
          <w:color w:val="auto"/>
          <w:sz w:val="24"/>
          <w:szCs w:val="24"/>
        </w:rPr>
      </w:pPr>
      <w:r w:rsidRPr="00684331">
        <w:rPr>
          <w:rFonts w:ascii="Arial" w:hAnsi="Arial" w:cs="Arial"/>
          <w:b/>
          <w:i w:val="0"/>
          <w:color w:val="auto"/>
          <w:sz w:val="24"/>
          <w:szCs w:val="24"/>
        </w:rPr>
        <w:t xml:space="preserve">Table S5 </w:t>
      </w:r>
      <w:r w:rsidRPr="00684331">
        <w:rPr>
          <w:rFonts w:ascii="Arial" w:hAnsi="Arial" w:cs="Arial"/>
          <w:i w:val="0"/>
          <w:color w:val="auto"/>
          <w:sz w:val="24"/>
          <w:szCs w:val="24"/>
        </w:rPr>
        <w:t>Results of the paired Wilcoxon test for the genetic diversity parameters expected heterozygosity (He), observed heterozygosity (Ho), allelic richness (</w:t>
      </w:r>
      <w:proofErr w:type="spellStart"/>
      <w:r w:rsidRPr="00684331">
        <w:rPr>
          <w:rFonts w:ascii="Arial" w:hAnsi="Arial" w:cs="Arial"/>
          <w:i w:val="0"/>
          <w:color w:val="auto"/>
          <w:sz w:val="24"/>
          <w:szCs w:val="24"/>
        </w:rPr>
        <w:t>Ar</w:t>
      </w:r>
      <w:proofErr w:type="spellEnd"/>
      <w:r w:rsidRPr="00684331">
        <w:rPr>
          <w:rFonts w:ascii="Arial" w:hAnsi="Arial" w:cs="Arial"/>
          <w:i w:val="0"/>
          <w:color w:val="auto"/>
          <w:sz w:val="24"/>
          <w:szCs w:val="24"/>
        </w:rPr>
        <w:t>) and Inbreeding coefficient (</w:t>
      </w:r>
      <w:proofErr w:type="spellStart"/>
      <w:r w:rsidRPr="00684331">
        <w:rPr>
          <w:rFonts w:ascii="Arial" w:hAnsi="Arial" w:cs="Arial"/>
          <w:i w:val="0"/>
          <w:color w:val="auto"/>
          <w:sz w:val="24"/>
          <w:szCs w:val="24"/>
        </w:rPr>
        <w:t>Fis</w:t>
      </w:r>
      <w:proofErr w:type="spellEnd"/>
      <w:r w:rsidRPr="00684331">
        <w:rPr>
          <w:rFonts w:ascii="Arial" w:hAnsi="Arial" w:cs="Arial"/>
          <w:i w:val="0"/>
          <w:color w:val="auto"/>
          <w:sz w:val="24"/>
          <w:szCs w:val="24"/>
        </w:rPr>
        <w:t xml:space="preserve">) among three cohorts of  </w:t>
      </w:r>
      <w:proofErr w:type="spellStart"/>
      <w:r w:rsidRPr="00684331">
        <w:rPr>
          <w:rFonts w:ascii="Arial" w:hAnsi="Arial" w:cs="Arial"/>
          <w:color w:val="auto"/>
          <w:sz w:val="24"/>
          <w:szCs w:val="24"/>
        </w:rPr>
        <w:t>Oenanthe</w:t>
      </w:r>
      <w:proofErr w:type="spellEnd"/>
      <w:r w:rsidRPr="0068433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84331">
        <w:rPr>
          <w:rFonts w:ascii="Arial" w:hAnsi="Arial" w:cs="Arial"/>
          <w:color w:val="auto"/>
          <w:sz w:val="24"/>
          <w:szCs w:val="24"/>
        </w:rPr>
        <w:t>aquatica</w:t>
      </w:r>
      <w:proofErr w:type="spellEnd"/>
      <w:r w:rsidRPr="00684331">
        <w:rPr>
          <w:rFonts w:ascii="Arial" w:hAnsi="Arial" w:cs="Arial"/>
          <w:color w:val="auto"/>
          <w:sz w:val="24"/>
          <w:szCs w:val="24"/>
        </w:rPr>
        <w:t>.</w:t>
      </w:r>
    </w:p>
    <w:p w:rsidR="006E3D49" w:rsidRPr="00684331" w:rsidRDefault="006E3D49" w:rsidP="006E3D49">
      <w:pPr>
        <w:spacing w:line="240" w:lineRule="auto"/>
        <w:jc w:val="both"/>
        <w:rPr>
          <w:rFonts w:ascii="Arial" w:hAnsi="Arial" w:cs="Arial"/>
          <w:iCs/>
          <w:sz w:val="24"/>
          <w:szCs w:val="24"/>
        </w:rPr>
      </w:pPr>
      <w:r w:rsidRPr="00684331">
        <w:rPr>
          <w:rFonts w:ascii="Arial" w:hAnsi="Arial" w:cs="Arial"/>
          <w:b/>
          <w:sz w:val="24"/>
          <w:szCs w:val="24"/>
        </w:rPr>
        <w:t xml:space="preserve">Table S6 </w:t>
      </w:r>
      <w:r w:rsidRPr="00684331">
        <w:rPr>
          <w:rFonts w:ascii="Arial" w:hAnsi="Arial" w:cs="Arial"/>
          <w:sz w:val="24"/>
          <w:szCs w:val="24"/>
        </w:rPr>
        <w:t xml:space="preserve">Pairwise values of Genetic Distance (Hedrick’s </w:t>
      </w:r>
      <w:proofErr w:type="spellStart"/>
      <w:r w:rsidRPr="00684331">
        <w:rPr>
          <w:rFonts w:ascii="Arial" w:hAnsi="Arial" w:cs="Arial"/>
          <w:sz w:val="24"/>
          <w:szCs w:val="24"/>
        </w:rPr>
        <w:t>G’st</w:t>
      </w:r>
      <w:proofErr w:type="spellEnd"/>
      <w:r w:rsidRPr="00684331">
        <w:rPr>
          <w:rFonts w:ascii="Arial" w:hAnsi="Arial" w:cs="Arial"/>
          <w:sz w:val="24"/>
          <w:szCs w:val="24"/>
        </w:rPr>
        <w:t>, 2005) as well as upper and lower confidence limits, calculated for temporal populations of single locations</w:t>
      </w:r>
    </w:p>
    <w:p w:rsidR="006E3D49" w:rsidRPr="00684331" w:rsidRDefault="006E3D49" w:rsidP="006E3D49">
      <w:pPr>
        <w:spacing w:line="240" w:lineRule="auto"/>
        <w:jc w:val="both"/>
        <w:rPr>
          <w:rFonts w:ascii="Arial" w:hAnsi="Arial" w:cs="Arial"/>
          <w:iCs/>
          <w:sz w:val="24"/>
          <w:szCs w:val="24"/>
        </w:rPr>
      </w:pPr>
      <w:r w:rsidRPr="00684331">
        <w:rPr>
          <w:rFonts w:ascii="Arial" w:hAnsi="Arial" w:cs="Arial"/>
          <w:b/>
          <w:iCs/>
          <w:sz w:val="24"/>
          <w:szCs w:val="24"/>
        </w:rPr>
        <w:t xml:space="preserve">Figure S7 </w:t>
      </w:r>
      <w:r w:rsidRPr="00684331">
        <w:rPr>
          <w:rFonts w:ascii="Arial" w:hAnsi="Arial" w:cs="Arial"/>
          <w:iCs/>
          <w:sz w:val="24"/>
          <w:szCs w:val="24"/>
        </w:rPr>
        <w:t xml:space="preserve">Results of single STRUCTURE analysis of two extant (2019-‘A’, 2016-‘B’) and two resurrected cohorts (S1-‘C’,S2-‘D’) of </w:t>
      </w:r>
      <w:proofErr w:type="spellStart"/>
      <w:r w:rsidRPr="00684331">
        <w:rPr>
          <w:rFonts w:ascii="Arial" w:hAnsi="Arial" w:cs="Arial"/>
          <w:i/>
          <w:iCs/>
          <w:sz w:val="24"/>
          <w:szCs w:val="24"/>
        </w:rPr>
        <w:t>Oenanthe</w:t>
      </w:r>
      <w:proofErr w:type="spellEnd"/>
      <w:r w:rsidRPr="0068433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84331">
        <w:rPr>
          <w:rFonts w:ascii="Arial" w:hAnsi="Arial" w:cs="Arial"/>
          <w:i/>
          <w:iCs/>
          <w:sz w:val="24"/>
          <w:szCs w:val="24"/>
        </w:rPr>
        <w:t>aquatica</w:t>
      </w:r>
      <w:proofErr w:type="spellEnd"/>
      <w:r w:rsidRPr="00684331">
        <w:rPr>
          <w:rFonts w:ascii="Arial" w:hAnsi="Arial" w:cs="Arial"/>
          <w:iCs/>
          <w:sz w:val="24"/>
          <w:szCs w:val="24"/>
        </w:rPr>
        <w:t xml:space="preserve"> with optimal K, illustrated by the corresponding </w:t>
      </w:r>
      <w:proofErr w:type="spellStart"/>
      <w:r w:rsidRPr="00684331">
        <w:rPr>
          <w:rFonts w:ascii="Arial" w:hAnsi="Arial" w:cs="Arial"/>
          <w:iCs/>
          <w:sz w:val="24"/>
          <w:szCs w:val="24"/>
        </w:rPr>
        <w:t>Evanno</w:t>
      </w:r>
      <w:proofErr w:type="spellEnd"/>
      <w:r w:rsidRPr="00684331">
        <w:rPr>
          <w:rFonts w:ascii="Arial" w:hAnsi="Arial" w:cs="Arial"/>
          <w:iCs/>
          <w:sz w:val="24"/>
          <w:szCs w:val="24"/>
        </w:rPr>
        <w:t xml:space="preserve">-plot (right). Each bar represents an individual genotype with relative membership probability illustrated by distinct </w:t>
      </w:r>
      <w:proofErr w:type="spellStart"/>
      <w:r w:rsidRPr="00684331">
        <w:rPr>
          <w:rFonts w:ascii="Arial" w:hAnsi="Arial" w:cs="Arial"/>
          <w:iCs/>
          <w:sz w:val="24"/>
          <w:szCs w:val="24"/>
        </w:rPr>
        <w:t>colours</w:t>
      </w:r>
      <w:proofErr w:type="spellEnd"/>
      <w:r w:rsidRPr="00684331">
        <w:rPr>
          <w:rFonts w:ascii="Arial" w:hAnsi="Arial" w:cs="Arial"/>
          <w:iCs/>
          <w:sz w:val="24"/>
          <w:szCs w:val="24"/>
        </w:rPr>
        <w:t xml:space="preserve">, with samples ordered according to location ID. </w:t>
      </w:r>
    </w:p>
    <w:p w:rsidR="006E3D49" w:rsidRPr="00684331" w:rsidRDefault="006E3D49" w:rsidP="006E3D49">
      <w:pPr>
        <w:spacing w:line="240" w:lineRule="auto"/>
        <w:jc w:val="both"/>
        <w:rPr>
          <w:rFonts w:ascii="Arial" w:hAnsi="Arial" w:cs="Arial"/>
          <w:iCs/>
          <w:sz w:val="24"/>
          <w:szCs w:val="24"/>
        </w:rPr>
      </w:pPr>
      <w:r w:rsidRPr="00684331">
        <w:rPr>
          <w:rFonts w:ascii="Arial" w:hAnsi="Arial" w:cs="Arial"/>
          <w:b/>
          <w:iCs/>
          <w:sz w:val="24"/>
          <w:szCs w:val="24"/>
        </w:rPr>
        <w:t xml:space="preserve">Figure S8 </w:t>
      </w:r>
      <w:r w:rsidRPr="00684331">
        <w:rPr>
          <w:rFonts w:ascii="Arial" w:hAnsi="Arial" w:cs="Arial"/>
          <w:iCs/>
          <w:sz w:val="24"/>
          <w:szCs w:val="24"/>
        </w:rPr>
        <w:t xml:space="preserve">Isolation by distance (IBD) plots for cohort </w:t>
      </w:r>
      <w:r>
        <w:rPr>
          <w:rFonts w:ascii="Arial" w:hAnsi="Arial" w:cs="Arial"/>
          <w:iCs/>
          <w:sz w:val="24"/>
          <w:szCs w:val="24"/>
        </w:rPr>
        <w:t>20</w:t>
      </w:r>
      <w:r w:rsidRPr="00684331">
        <w:rPr>
          <w:rFonts w:ascii="Arial" w:hAnsi="Arial" w:cs="Arial"/>
          <w:iCs/>
          <w:sz w:val="24"/>
          <w:szCs w:val="24"/>
        </w:rPr>
        <w:t xml:space="preserve">19 (A), </w:t>
      </w:r>
      <w:r>
        <w:rPr>
          <w:rFonts w:ascii="Arial" w:hAnsi="Arial" w:cs="Arial"/>
          <w:iCs/>
          <w:sz w:val="24"/>
          <w:szCs w:val="24"/>
        </w:rPr>
        <w:t>20</w:t>
      </w:r>
      <w:r w:rsidRPr="00684331">
        <w:rPr>
          <w:rFonts w:ascii="Arial" w:hAnsi="Arial" w:cs="Arial"/>
          <w:iCs/>
          <w:sz w:val="24"/>
          <w:szCs w:val="24"/>
        </w:rPr>
        <w:t xml:space="preserve">16 (B), S1(C), and S2 (D) illustrate relationships between PCA-based individual genetic distances and geographic distances among sampling sites. </w:t>
      </w:r>
      <w:proofErr w:type="spellStart"/>
      <w:r w:rsidRPr="00684331">
        <w:rPr>
          <w:rFonts w:ascii="Arial" w:hAnsi="Arial" w:cs="Arial"/>
          <w:iCs/>
          <w:sz w:val="24"/>
          <w:szCs w:val="24"/>
        </w:rPr>
        <w:t>Colours</w:t>
      </w:r>
      <w:proofErr w:type="spellEnd"/>
      <w:r w:rsidRPr="00684331">
        <w:rPr>
          <w:rFonts w:ascii="Arial" w:hAnsi="Arial" w:cs="Arial"/>
          <w:iCs/>
          <w:sz w:val="24"/>
          <w:szCs w:val="24"/>
        </w:rPr>
        <w:t xml:space="preserve"> represent the relative density of points, with warmer </w:t>
      </w:r>
      <w:proofErr w:type="spellStart"/>
      <w:r w:rsidRPr="00684331">
        <w:rPr>
          <w:rFonts w:ascii="Arial" w:hAnsi="Arial" w:cs="Arial"/>
          <w:iCs/>
          <w:sz w:val="24"/>
          <w:szCs w:val="24"/>
        </w:rPr>
        <w:t>colours</w:t>
      </w:r>
      <w:proofErr w:type="spellEnd"/>
      <w:r w:rsidRPr="00684331">
        <w:rPr>
          <w:rFonts w:ascii="Arial" w:hAnsi="Arial" w:cs="Arial"/>
          <w:iCs/>
          <w:sz w:val="24"/>
          <w:szCs w:val="24"/>
        </w:rPr>
        <w:t xml:space="preserve"> indicating higher densities. The linear regression line and the Mantel coefficient (r) of correlation between geographic and genetic distances, as well as the associated p</w:t>
      </w:r>
      <w:r w:rsidRPr="00684331">
        <w:rPr>
          <w:rFonts w:ascii="Cambria Math" w:hAnsi="Cambria Math" w:cs="Cambria Math"/>
          <w:iCs/>
          <w:sz w:val="24"/>
          <w:szCs w:val="24"/>
        </w:rPr>
        <w:t>‐</w:t>
      </w:r>
      <w:r w:rsidRPr="00684331">
        <w:rPr>
          <w:rFonts w:ascii="Arial" w:hAnsi="Arial" w:cs="Arial"/>
          <w:iCs/>
          <w:sz w:val="24"/>
          <w:szCs w:val="24"/>
        </w:rPr>
        <w:t>value are shown for each cohort.</w:t>
      </w:r>
    </w:p>
    <w:p w:rsidR="00B20365" w:rsidRDefault="00B20365"/>
    <w:sectPr w:rsidR="00B203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D49"/>
    <w:rsid w:val="006E3D49"/>
    <w:rsid w:val="00B2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7B024"/>
  <w15:chartTrackingRefBased/>
  <w15:docId w15:val="{15D3D909-24AB-4E6C-9B25-DA62B147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E3D4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6E3D4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6E3D49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</dc:creator>
  <cp:keywords/>
  <dc:description/>
  <cp:lastModifiedBy>maxi</cp:lastModifiedBy>
  <cp:revision>1</cp:revision>
  <dcterms:created xsi:type="dcterms:W3CDTF">2022-07-26T12:57:00Z</dcterms:created>
  <dcterms:modified xsi:type="dcterms:W3CDTF">2022-07-26T13:00:00Z</dcterms:modified>
</cp:coreProperties>
</file>