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i/>
          <w:iCs/>
          <w:sz w:val="28"/>
          <w:szCs w:val="28"/>
        </w:rPr>
      </w:pPr>
      <w:bookmarkStart w:id="2" w:name="_GoBack"/>
      <w:r>
        <w:rPr>
          <w:rFonts w:hint="eastAsia" w:ascii="Times New Roman" w:hAnsi="Times New Roman" w:cs="Times New Roman"/>
          <w:b/>
          <w:bCs/>
          <w:i/>
          <w:iCs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</w:rPr>
        <w:t xml:space="preserve">upplementary materials </w:t>
      </w:r>
    </w:p>
    <w:bookmarkEnd w:id="2"/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. Sepsis</w:t>
      </w:r>
      <w:r>
        <w:rPr>
          <w:rFonts w:hint="eastAsia" w:ascii="宋体" w:hAnsi="宋体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induced coagulopathy criteria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0"/>
        <w:gridCol w:w="2827"/>
        <w:gridCol w:w="2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</w:p>
        </w:tc>
        <w:tc>
          <w:tcPr>
            <w:tcW w:w="2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b/>
                <w:kern w:val="0"/>
              </w:rPr>
            </w:pPr>
            <w:r>
              <w:rPr>
                <w:rFonts w:ascii="Times New Roman" w:hAnsi="Times New Roman" w:eastAsia="Times New Roman"/>
                <w:b/>
                <w:kern w:val="0"/>
              </w:rPr>
              <w:t>Score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b/>
                <w:kern w:val="0"/>
              </w:rPr>
            </w:pPr>
            <w:r>
              <w:rPr>
                <w:rFonts w:ascii="Times New Roman" w:hAnsi="Times New Roman" w:eastAsia="Times New Roman"/>
                <w:b/>
                <w:kern w:val="0"/>
              </w:rPr>
              <w:t>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Platelet count (10</w:t>
            </w:r>
            <w:r>
              <w:rPr>
                <w:rFonts w:ascii="Times New Roman" w:hAnsi="Times New Roman" w:eastAsia="Times New Roman"/>
                <w:kern w:val="0"/>
                <w:vertAlign w:val="superscript"/>
              </w:rPr>
              <w:t>3</w:t>
            </w:r>
            <w:r>
              <w:rPr>
                <w:rFonts w:ascii="Times New Roman" w:hAnsi="Times New Roman" w:eastAsia="Times New Roman"/>
                <w:kern w:val="0"/>
              </w:rPr>
              <w:t>/μL)</w:t>
            </w:r>
          </w:p>
        </w:tc>
        <w:tc>
          <w:tcPr>
            <w:tcW w:w="282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2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宋体"/>
                <w:kern w:val="0"/>
              </w:rPr>
              <w:t>&lt;</w:t>
            </w:r>
            <w:r>
              <w:rPr>
                <w:rFonts w:hint="eastAsia" w:ascii="Times New Roman" w:hAnsi="Times New Roman" w:eastAsia="宋体"/>
                <w:kern w:val="0"/>
              </w:rPr>
              <w:t xml:space="preserve"> </w:t>
            </w:r>
            <w:r>
              <w:rPr>
                <w:rFonts w:ascii="Times New Roman" w:hAnsi="Times New Roman" w:eastAsia="Times New Roman"/>
                <w:kern w:val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 xml:space="preserve">≥ 100, </w:t>
            </w:r>
            <w:r>
              <w:rPr>
                <w:rFonts w:ascii="Times New Roman" w:hAnsi="Times New Roman" w:eastAsia="宋体"/>
                <w:kern w:val="0"/>
              </w:rPr>
              <w:t>&lt;</w:t>
            </w:r>
            <w:r>
              <w:rPr>
                <w:rFonts w:ascii="Times New Roman" w:hAnsi="Times New Roman" w:eastAsia="Times New Roman"/>
                <w:kern w:val="0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INR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宋体"/>
                <w:kern w:val="0"/>
              </w:rPr>
              <w:t>&gt;</w:t>
            </w:r>
            <w:r>
              <w:rPr>
                <w:rFonts w:ascii="Times New Roman" w:hAnsi="Times New Roman" w:eastAsia="Times New Roman"/>
                <w:kern w:val="0"/>
              </w:rPr>
              <w:t xml:space="preserve"> 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等线"/>
                <w:kern w:val="0"/>
              </w:rPr>
              <w:t>&gt;</w:t>
            </w:r>
            <w:r>
              <w:rPr>
                <w:rFonts w:ascii="Times New Roman" w:hAnsi="Times New Roman" w:eastAsia="Times New Roman"/>
                <w:kern w:val="0"/>
              </w:rPr>
              <w:t>1.2, ≤1.4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SOFA score</w:t>
            </w:r>
          </w:p>
        </w:tc>
        <w:tc>
          <w:tcPr>
            <w:tcW w:w="2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≥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nil"/>
              <w:left w:val="nil"/>
              <w:bottom w:val="dashed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</w:p>
        </w:tc>
        <w:tc>
          <w:tcPr>
            <w:tcW w:w="2827" w:type="dxa"/>
            <w:tcBorders>
              <w:top w:val="nil"/>
              <w:left w:val="nil"/>
              <w:bottom w:val="dashed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dashed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60" w:type="dxa"/>
            <w:tcBorders>
              <w:top w:val="dashed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Total score for SIC</w:t>
            </w:r>
          </w:p>
        </w:tc>
        <w:tc>
          <w:tcPr>
            <w:tcW w:w="2827" w:type="dxa"/>
            <w:tcBorders>
              <w:top w:val="dashed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</w:p>
        </w:tc>
        <w:tc>
          <w:tcPr>
            <w:tcW w:w="2835" w:type="dxa"/>
            <w:tcBorders>
              <w:top w:val="dashed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≥ 4</w:t>
            </w:r>
          </w:p>
        </w:tc>
      </w:tr>
    </w:tbl>
    <w:p>
      <w:pPr>
        <w:spacing w:before="156" w:beforeLines="50"/>
        <w:rPr>
          <w:rFonts w:ascii="Times New Roman" w:hAnsi="Times New Roman"/>
        </w:rPr>
      </w:pPr>
      <w:r>
        <w:rPr>
          <w:rFonts w:ascii="Times New Roman" w:hAnsi="Times New Roman"/>
          <w:color w:val="000000"/>
          <w:kern w:val="0"/>
        </w:rPr>
        <w:t xml:space="preserve">Abbreviations: </w:t>
      </w:r>
      <w:r>
        <w:rPr>
          <w:rFonts w:ascii="Times New Roman" w:hAnsi="Times New Roman"/>
        </w:rPr>
        <w:t>SIC</w:t>
      </w:r>
      <w:r>
        <w:rPr>
          <w:rFonts w:hint="eastAsia" w:ascii="Times New Roman" w:hAnsi="Times New Roman"/>
        </w:rPr>
        <w:t>,</w:t>
      </w:r>
      <w:r>
        <w:rPr>
          <w:rFonts w:ascii="Times New Roman" w:hAnsi="Times New Roman"/>
        </w:rPr>
        <w:t xml:space="preserve"> sepsis</w:t>
      </w:r>
      <w:r>
        <w:rPr>
          <w:rFonts w:hint="eastAsia" w:ascii="宋体" w:hAnsi="宋体"/>
        </w:rPr>
        <w:t>-</w:t>
      </w:r>
      <w:r>
        <w:rPr>
          <w:rFonts w:ascii="Times New Roman" w:hAnsi="Times New Roman"/>
        </w:rPr>
        <w:t>induced coagulopathy</w:t>
      </w:r>
      <w:r>
        <w:rPr>
          <w:rFonts w:hint="eastAsia" w:ascii="Times New Roman" w:hAnsi="Times New Roman"/>
        </w:rPr>
        <w:t>;</w:t>
      </w:r>
      <w:r>
        <w:rPr>
          <w:rFonts w:ascii="Times New Roman" w:hAnsi="Times New Roman"/>
        </w:rPr>
        <w:t xml:space="preserve"> INR</w:t>
      </w:r>
      <w:r>
        <w:rPr>
          <w:rFonts w:hint="eastAsia" w:ascii="Times New Roman" w:hAnsi="Times New Roman"/>
        </w:rPr>
        <w:t>,</w:t>
      </w:r>
      <w:r>
        <w:rPr>
          <w:rFonts w:ascii="Times New Roman" w:hAnsi="Times New Roman"/>
        </w:rPr>
        <w:t xml:space="preserve"> international normalized ratio</w:t>
      </w:r>
      <w:r>
        <w:rPr>
          <w:rFonts w:hint="eastAsia" w:ascii="Times New Roman" w:hAnsi="Times New Roman"/>
        </w:rPr>
        <w:t>;</w:t>
      </w:r>
      <w:r>
        <w:rPr>
          <w:rFonts w:ascii="Times New Roman" w:hAnsi="Times New Roman"/>
        </w:rPr>
        <w:t xml:space="preserve"> SOFA</w:t>
      </w:r>
      <w:r>
        <w:rPr>
          <w:rFonts w:hint="eastAsia" w:ascii="Times New Roman" w:hAnsi="Times New Roman"/>
        </w:rPr>
        <w:t>,</w:t>
      </w:r>
      <w:r>
        <w:rPr>
          <w:rFonts w:ascii="Times New Roman" w:hAnsi="Times New Roman"/>
        </w:rPr>
        <w:t xml:space="preserve"> sequential organ failure assessment.</w:t>
      </w:r>
    </w:p>
    <w:p>
      <w:pPr>
        <w:rPr>
          <w:rFonts w:ascii="Times New Roman" w:hAnsi="Times New Roman"/>
        </w:rPr>
      </w:pPr>
    </w:p>
    <w:p>
      <w:pPr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 xml:space="preserve">Missing </w:t>
      </w:r>
      <w:r>
        <w:rPr>
          <w:rFonts w:hint="eastAsia" w:ascii="Times New Roman" w:hAnsi="Times New Roman"/>
          <w:color w:val="000000"/>
          <w:sz w:val="24"/>
          <w:szCs w:val="24"/>
        </w:rPr>
        <w:t>number</w:t>
      </w:r>
      <w:r>
        <w:rPr>
          <w:rFonts w:ascii="Times New Roman" w:hAnsi="Times New Roman"/>
          <w:color w:val="000000"/>
          <w:sz w:val="24"/>
          <w:szCs w:val="24"/>
        </w:rPr>
        <w:t xml:space="preserve"> (%) for included variables in the dataset</w:t>
      </w:r>
      <w:r>
        <w:rPr>
          <w:sz w:val="24"/>
          <w:szCs w:val="24"/>
        </w:rPr>
        <w:t xml:space="preserve"> 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1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b/>
                <w:kern w:val="0"/>
              </w:rPr>
            </w:pPr>
            <w:r>
              <w:rPr>
                <w:rFonts w:ascii="Times New Roman" w:hAnsi="Times New Roman" w:eastAsia="Times New Roman"/>
                <w:b/>
                <w:kern w:val="0"/>
              </w:rPr>
              <w:t>Variables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b/>
                <w:kern w:val="0"/>
              </w:rPr>
            </w:pPr>
            <w:r>
              <w:rPr>
                <w:rFonts w:ascii="Times New Roman" w:hAnsi="Times New Roman" w:eastAsia="Times New Roman"/>
                <w:b/>
                <w:kern w:val="0"/>
              </w:rPr>
              <w:t xml:space="preserve">Missing (%)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Gender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 xml:space="preserve">WBC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Hemoglobin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</w:rPr>
              <w:t>Minimum platelet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</w:rPr>
              <w:t>Maximum INR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APTT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33 (0.5%)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PT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S</w:t>
            </w:r>
            <w:r>
              <w:rPr>
                <w:rFonts w:hint="eastAsia" w:ascii="Times New Roman" w:hAnsi="Times New Roman" w:eastAsia="等线"/>
                <w:kern w:val="0"/>
              </w:rPr>
              <w:t>p</w:t>
            </w:r>
            <w:r>
              <w:rPr>
                <w:rFonts w:ascii="Times New Roman" w:hAnsi="Times New Roman" w:eastAsia="Times New Roman"/>
                <w:kern w:val="0"/>
              </w:rPr>
              <w:t>O</w:t>
            </w:r>
            <w:r>
              <w:rPr>
                <w:rFonts w:ascii="Times New Roman" w:hAnsi="Times New Roman" w:eastAsia="Times New Roman"/>
                <w:kern w:val="0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Temperature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500 (7.7%)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MAP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Heart rate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Respiratory rate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2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Hypertension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Diabetes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</w:rPr>
              <w:t>Chronic heart disease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</w:rPr>
              <w:t>Chronic pulmonary disease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Vasopressor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Mechanical ventilation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RRT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SOFA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SAPS</w:t>
            </w:r>
            <w:r>
              <w:rPr>
                <w:rFonts w:hint="eastAsia" w:ascii="Times New Roman" w:hAnsi="Times New Roman" w:eastAsia="等线"/>
                <w:kern w:val="0"/>
              </w:rPr>
              <w:t xml:space="preserve"> </w:t>
            </w:r>
            <w:r>
              <w:rPr>
                <w:rFonts w:ascii="Times New Roman" w:hAnsi="Times New Roman" w:eastAsia="Times New Roman"/>
                <w:kern w:val="0"/>
              </w:rPr>
              <w:t>II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color w:val="231F20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Urine output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124(1.9%)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AKI stage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39(0.6%)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SIC score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ICU mortality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Hospital mortality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Length of ICU stay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b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Length of hospital stay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Times New Roman" w:eastAsia="Times New Roman"/>
                <w:kern w:val="0"/>
              </w:rPr>
              <w:t>0 (0)</w:t>
            </w:r>
          </w:p>
        </w:tc>
      </w:tr>
    </w:tbl>
    <w:p>
      <w:pPr>
        <w:spacing w:before="156" w:beforeLines="50"/>
        <w:rPr>
          <w:rFonts w:ascii="Times New Roman" w:hAnsi="Times New Roman"/>
          <w:color w:val="000000"/>
          <w:kern w:val="0"/>
        </w:rPr>
      </w:pPr>
      <w:r>
        <w:rPr>
          <w:rFonts w:ascii="Times New Roman" w:hAnsi="Times New Roman"/>
          <w:color w:val="000000"/>
          <w:kern w:val="0"/>
        </w:rPr>
        <w:t>Abbreviations: WBC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white blood cell</w:t>
      </w:r>
      <w:r>
        <w:rPr>
          <w:rFonts w:hint="eastAsia" w:ascii="Times New Roman" w:hAnsi="Times New Roman"/>
          <w:color w:val="000000"/>
          <w:kern w:val="0"/>
        </w:rPr>
        <w:t>;</w:t>
      </w:r>
      <w:r>
        <w:rPr>
          <w:rFonts w:ascii="Times New Roman" w:hAnsi="Times New Roman"/>
          <w:color w:val="000000"/>
          <w:kern w:val="0"/>
        </w:rPr>
        <w:t xml:space="preserve"> INR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international normalized ratio</w:t>
      </w:r>
      <w:r>
        <w:rPr>
          <w:rFonts w:hint="eastAsia" w:ascii="Times New Roman" w:hAnsi="Times New Roman"/>
          <w:color w:val="000000"/>
          <w:kern w:val="0"/>
        </w:rPr>
        <w:t>;</w:t>
      </w:r>
      <w:r>
        <w:rPr>
          <w:rFonts w:ascii="Times New Roman" w:hAnsi="Times New Roman"/>
          <w:color w:val="000000"/>
          <w:kern w:val="0"/>
        </w:rPr>
        <w:t xml:space="preserve"> PT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prothrombin time</w:t>
      </w:r>
      <w:r>
        <w:rPr>
          <w:rFonts w:hint="eastAsia" w:ascii="Times New Roman" w:hAnsi="Times New Roman"/>
          <w:color w:val="000000"/>
          <w:kern w:val="0"/>
        </w:rPr>
        <w:t>;</w:t>
      </w:r>
      <w:r>
        <w:rPr>
          <w:rFonts w:ascii="Times New Roman" w:hAnsi="Times New Roman"/>
          <w:color w:val="000000"/>
          <w:kern w:val="0"/>
        </w:rPr>
        <w:t xml:space="preserve"> APTT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activated partial thromboplastin time</w:t>
      </w:r>
      <w:r>
        <w:rPr>
          <w:rFonts w:hint="eastAsia" w:ascii="Times New Roman" w:hAnsi="Times New Roman"/>
          <w:color w:val="000000"/>
          <w:kern w:val="0"/>
        </w:rPr>
        <w:t xml:space="preserve">; </w:t>
      </w:r>
      <w:r>
        <w:rPr>
          <w:rFonts w:ascii="Times New Roman" w:hAnsi="Times New Roman"/>
          <w:color w:val="000000"/>
          <w:kern w:val="0"/>
        </w:rPr>
        <w:t>MAP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mean arterial pressure</w:t>
      </w:r>
      <w:r>
        <w:rPr>
          <w:rFonts w:hint="eastAsia" w:ascii="Times New Roman" w:hAnsi="Times New Roman"/>
          <w:color w:val="000000"/>
          <w:kern w:val="0"/>
        </w:rPr>
        <w:t xml:space="preserve">; </w:t>
      </w:r>
      <w:r>
        <w:rPr>
          <w:rFonts w:ascii="Times New Roman" w:hAnsi="Times New Roman"/>
          <w:color w:val="000000"/>
          <w:kern w:val="0"/>
        </w:rPr>
        <w:t>AKI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acute kidney injury</w:t>
      </w:r>
      <w:r>
        <w:rPr>
          <w:rFonts w:hint="eastAsia" w:ascii="Times New Roman" w:hAnsi="Times New Roman"/>
          <w:color w:val="000000"/>
          <w:kern w:val="0"/>
        </w:rPr>
        <w:t>;</w:t>
      </w:r>
      <w:r>
        <w:rPr>
          <w:rFonts w:ascii="Times New Roman" w:hAnsi="Times New Roman"/>
          <w:color w:val="000000"/>
          <w:kern w:val="0"/>
        </w:rPr>
        <w:t xml:space="preserve"> RRT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renal replacement therapy</w:t>
      </w:r>
      <w:r>
        <w:rPr>
          <w:rFonts w:hint="eastAsia" w:ascii="Times New Roman" w:hAnsi="Times New Roman"/>
          <w:color w:val="000000"/>
          <w:kern w:val="0"/>
        </w:rPr>
        <w:t xml:space="preserve">; </w:t>
      </w:r>
      <w:r>
        <w:rPr>
          <w:rFonts w:ascii="Times New Roman" w:hAnsi="Times New Roman"/>
          <w:color w:val="000000"/>
          <w:kern w:val="0"/>
        </w:rPr>
        <w:t>SIC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sepsis-induced coagulopathy</w:t>
      </w:r>
      <w:r>
        <w:rPr>
          <w:rFonts w:hint="eastAsia" w:ascii="Times New Roman" w:hAnsi="Times New Roman"/>
          <w:color w:val="000000"/>
          <w:kern w:val="0"/>
        </w:rPr>
        <w:t xml:space="preserve">; </w:t>
      </w:r>
      <w:r>
        <w:rPr>
          <w:rFonts w:ascii="Times New Roman" w:hAnsi="Times New Roman"/>
          <w:color w:val="000000"/>
          <w:kern w:val="0"/>
        </w:rPr>
        <w:t>SOFA</w:t>
      </w:r>
      <w:r>
        <w:rPr>
          <w:rFonts w:hint="eastAsia" w:ascii="Times New Roman" w:hAnsi="Times New Roman"/>
          <w:color w:val="000000"/>
          <w:kern w:val="0"/>
        </w:rPr>
        <w:t xml:space="preserve">, </w:t>
      </w:r>
      <w:r>
        <w:rPr>
          <w:rFonts w:ascii="Times New Roman" w:hAnsi="Times New Roman"/>
          <w:color w:val="000000"/>
          <w:kern w:val="0"/>
        </w:rPr>
        <w:t>sequential organ failure assessment</w:t>
      </w:r>
      <w:r>
        <w:rPr>
          <w:rFonts w:hint="eastAsia" w:ascii="Times New Roman" w:hAnsi="Times New Roman"/>
          <w:color w:val="000000"/>
          <w:kern w:val="0"/>
        </w:rPr>
        <w:t xml:space="preserve">; </w:t>
      </w:r>
      <w:r>
        <w:rPr>
          <w:rFonts w:ascii="Times New Roman" w:hAnsi="Times New Roman"/>
          <w:color w:val="000000"/>
          <w:kern w:val="0"/>
        </w:rPr>
        <w:t>SAPS II</w:t>
      </w:r>
      <w:r>
        <w:rPr>
          <w:rFonts w:hint="eastAsia" w:ascii="Times New Roman" w:hAnsi="Times New Roman"/>
          <w:color w:val="000000"/>
          <w:kern w:val="0"/>
        </w:rPr>
        <w:t>,</w:t>
      </w:r>
      <w:r>
        <w:rPr>
          <w:rFonts w:ascii="Times New Roman" w:hAnsi="Times New Roman"/>
          <w:color w:val="000000"/>
          <w:kern w:val="0"/>
        </w:rPr>
        <w:t xml:space="preserve"> simplified acute physiology score II .</w:t>
      </w:r>
    </w:p>
    <w:p>
      <w:pPr>
        <w:rPr>
          <w:rFonts w:cs="Calibri"/>
          <w:color w:val="000000"/>
          <w:kern w:val="0"/>
        </w:rPr>
      </w:pPr>
      <w:r>
        <w:rPr>
          <w:rFonts w:cs="Calibri"/>
          <w:color w:val="000000"/>
          <w:kern w:val="0"/>
        </w:rPr>
        <w:t xml:space="preserve"> </w:t>
      </w:r>
    </w:p>
    <w:p>
      <w:pPr>
        <w:rPr>
          <w:rFonts w:cs="Calibri"/>
          <w:color w:val="000000"/>
          <w:kern w:val="0"/>
          <w:sz w:val="20"/>
          <w:szCs w:val="20"/>
        </w:rPr>
      </w:pPr>
    </w:p>
    <w:p>
      <w:pPr>
        <w:rPr>
          <w:rFonts w:cs="Calibri"/>
          <w:color w:val="000000"/>
          <w:kern w:val="0"/>
          <w:sz w:val="20"/>
          <w:szCs w:val="20"/>
        </w:rPr>
      </w:pPr>
    </w:p>
    <w:p>
      <w:pPr>
        <w:rPr>
          <w:rFonts w:cs="Calibri"/>
          <w:color w:val="000000"/>
          <w:kern w:val="0"/>
          <w:sz w:val="20"/>
          <w:szCs w:val="20"/>
        </w:rPr>
      </w:pPr>
    </w:p>
    <w:p>
      <w:pPr>
        <w:rPr>
          <w:rFonts w:cs="Calibri"/>
          <w:color w:val="000000"/>
          <w:kern w:val="0"/>
          <w:sz w:val="20"/>
          <w:szCs w:val="20"/>
        </w:rPr>
      </w:pPr>
    </w:p>
    <w:p>
      <w:pPr>
        <w:rPr>
          <w:rFonts w:cs="Calibri"/>
          <w:color w:val="000000"/>
          <w:kern w:val="0"/>
          <w:sz w:val="20"/>
          <w:szCs w:val="20"/>
        </w:rPr>
      </w:pPr>
    </w:p>
    <w:p>
      <w:pPr>
        <w:rPr>
          <w:rFonts w:cs="Calibri"/>
          <w:color w:val="000000"/>
          <w:kern w:val="0"/>
          <w:sz w:val="20"/>
          <w:szCs w:val="20"/>
        </w:rPr>
      </w:pPr>
    </w:p>
    <w:p/>
    <w:p>
      <w:pPr>
        <w:rPr>
          <w:rFonts w:ascii="Times" w:hAnsi="Times" w:cs="Calibri"/>
        </w:rPr>
      </w:pPr>
      <w:r>
        <w:drawing>
          <wp:inline distT="0" distB="0" distL="0" distR="0">
            <wp:extent cx="5274310" cy="4953000"/>
            <wp:effectExtent l="0" t="0" r="13970" b="0"/>
            <wp:docPr id="1028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4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3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Calibri"/>
        </w:rPr>
        <w:t xml:space="preserve"> </w:t>
      </w:r>
    </w:p>
    <w:p>
      <w:pPr>
        <w:spacing w:line="480" w:lineRule="auto"/>
        <w:rPr>
          <w:rFonts w:ascii="Times" w:hAnsi="Times" w:cs="Calibri"/>
        </w:rPr>
      </w:pPr>
      <w:bookmarkStart w:id="0" w:name="OLE_LINK10"/>
      <w:bookmarkEnd w:id="0"/>
      <w:r>
        <w:rPr>
          <w:rFonts w:ascii="Times" w:hAnsi="Times" w:cs="Calibri"/>
          <w:b/>
          <w:sz w:val="24"/>
          <w:szCs w:val="24"/>
        </w:rPr>
        <w:t>Figure S1</w:t>
      </w:r>
      <w:r>
        <w:rPr>
          <w:rFonts w:ascii="Times" w:hAnsi="Times" w:cs="Calibri"/>
          <w:sz w:val="24"/>
          <w:szCs w:val="24"/>
        </w:rPr>
        <w:t xml:space="preserve">. Standardized mean difference (SMD) of variables before and after propensity score matching. </w:t>
      </w:r>
    </w:p>
    <w:p>
      <w:r>
        <w:drawing>
          <wp:inline distT="0" distB="0" distL="0" distR="0">
            <wp:extent cx="5274310" cy="4955540"/>
            <wp:effectExtent l="0" t="0" r="13970" b="12700"/>
            <wp:docPr id="1029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13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5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S2</w:t>
      </w:r>
      <w:r>
        <w:rPr>
          <w:rFonts w:hint="eastAsia"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eight distribution plot</w:t>
      </w:r>
      <w:r>
        <w:rPr>
          <w:rFonts w:hint="eastAsia"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for the inverse probability weights that were used to adjust for confounding. 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pStyle w:val="2"/>
        <w:spacing w:line="36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Marginal structural Cox model</w:t>
      </w:r>
    </w:p>
    <w:p>
      <w:pPr>
        <w:spacing w:line="360" w:lineRule="auto"/>
        <w:rPr>
          <w:rFonts w:ascii="Times" w:hAnsi="Times" w:cs="Times"/>
        </w:rPr>
      </w:pPr>
      <w:r>
        <w:rPr>
          <w:rFonts w:ascii="Times" w:hAnsi="Times" w:cs="Times"/>
        </w:rPr>
        <w:t>Marginal structural Cox models (MSCM) provide the marginal causal relation between a time-varying exposure (</w:t>
      </w:r>
      <w:r>
        <w:rPr>
          <w:rFonts w:hint="eastAsia" w:ascii="Times" w:hAnsi="Times" w:cs="Times"/>
        </w:rPr>
        <w:t>heparin</w:t>
      </w:r>
      <w:r>
        <w:rPr>
          <w:rFonts w:ascii="Times" w:hAnsi="Times" w:cs="Times"/>
        </w:rPr>
        <w:t xml:space="preserve"> treatment) and a survival outcome (e.g. time to death), controlling for time-varying confounders (</w:t>
      </w:r>
      <w:r>
        <w:rPr>
          <w:rFonts w:hint="eastAsia" w:ascii="Times" w:hAnsi="Times" w:cs="Times"/>
        </w:rPr>
        <w:t>platelets</w:t>
      </w:r>
      <w:r>
        <w:rPr>
          <w:rFonts w:ascii="Times" w:hAnsi="Times" w:cs="Times"/>
        </w:rPr>
        <w:t xml:space="preserve">, </w:t>
      </w:r>
      <w:r>
        <w:rPr>
          <w:rFonts w:hint="eastAsia" w:ascii="Times" w:hAnsi="Times" w:cs="Times"/>
        </w:rPr>
        <w:t>INR</w:t>
      </w:r>
      <w:r>
        <w:rPr>
          <w:rFonts w:ascii="Times" w:hAnsi="Times" w:cs="Times"/>
        </w:rPr>
        <w:t xml:space="preserve">) without conditioning on those variables. Since the treatment with </w:t>
      </w:r>
      <w:r>
        <w:rPr>
          <w:rFonts w:hint="eastAsia" w:ascii="Times" w:hAnsi="Times" w:cs="Times"/>
        </w:rPr>
        <w:t>heparin</w:t>
      </w:r>
      <w:r>
        <w:rPr>
          <w:rFonts w:ascii="Times" w:hAnsi="Times" w:cs="Times"/>
        </w:rPr>
        <w:t xml:space="preserve"> might change during the follow up period, this was considered as a time-dependent variable. Potential </w:t>
      </w:r>
      <w:r>
        <w:rPr>
          <w:rFonts w:hint="eastAsia" w:ascii="Times" w:hAnsi="Times" w:cs="Times"/>
        </w:rPr>
        <w:t>.</w:t>
      </w:r>
      <w:r>
        <w:rPr>
          <w:rFonts w:ascii="Times" w:hAnsi="Times" w:cs="Times"/>
        </w:rPr>
        <w:t xml:space="preserve"> such as age, gender, use of mechanical ventilation, RRT, vasopressor, urine output, SOFA</w:t>
      </w:r>
      <w:r>
        <w:rPr>
          <w:rFonts w:hint="eastAsia" w:ascii="Times" w:hAnsi="Times" w:cs="Times"/>
        </w:rPr>
        <w:t xml:space="preserve"> </w:t>
      </w:r>
      <w:r>
        <w:rPr>
          <w:rFonts w:ascii="Times" w:hAnsi="Times" w:cs="Times"/>
        </w:rPr>
        <w:t xml:space="preserve">and SAPSII were obtained on day 1 after ICU admission. </w:t>
      </w:r>
    </w:p>
    <w:p>
      <w:pPr>
        <w:spacing w:line="360" w:lineRule="auto"/>
        <w:rPr>
          <w:rFonts w:ascii="Times" w:hAnsi="Times" w:cs="Times"/>
        </w:rPr>
      </w:pPr>
      <w:bookmarkStart w:id="1" w:name="OLE_LINK1"/>
      <w:bookmarkEnd w:id="1"/>
      <w:r>
        <w:rPr>
          <w:rFonts w:hint="eastAsia" w:ascii="Times" w:hAnsi="Times" w:cs="Times"/>
        </w:rPr>
        <w:t>Platelets and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INR</w:t>
      </w:r>
      <w:r>
        <w:rPr>
          <w:rFonts w:ascii="Times" w:hAnsi="Times" w:cs="Times"/>
        </w:rPr>
        <w:t xml:space="preserve"> were included in the model as time-varying confounding factors because 1)</w:t>
      </w:r>
      <w:r>
        <w:rPr>
          <w:rFonts w:hint="eastAsia" w:ascii="Times" w:hAnsi="Times" w:cs="Times"/>
        </w:rPr>
        <w:t>Platelets and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INR</w:t>
      </w:r>
      <w:r>
        <w:rPr>
          <w:rFonts w:ascii="Times" w:hAnsi="Times" w:cs="Times"/>
        </w:rPr>
        <w:t xml:space="preserve"> were affected by the previous </w:t>
      </w:r>
      <w:r>
        <w:rPr>
          <w:rFonts w:hint="eastAsia" w:ascii="Times" w:hAnsi="Times" w:cs="Times"/>
        </w:rPr>
        <w:t>heparin</w:t>
      </w:r>
      <w:r>
        <w:rPr>
          <w:rFonts w:ascii="Times" w:hAnsi="Times" w:cs="Times"/>
        </w:rPr>
        <w:t xml:space="preserve"> treatment; and </w:t>
      </w:r>
      <w:r>
        <w:rPr>
          <w:rFonts w:hint="eastAsia" w:ascii="Times" w:hAnsi="Times" w:cs="Times"/>
        </w:rPr>
        <w:t>2</w:t>
      </w:r>
      <w:r>
        <w:rPr>
          <w:rFonts w:ascii="Times" w:hAnsi="Times" w:cs="Times"/>
        </w:rPr>
        <w:t xml:space="preserve">) </w:t>
      </w:r>
      <w:r>
        <w:rPr>
          <w:rFonts w:hint="eastAsia" w:ascii="Times" w:hAnsi="Times" w:cs="Times"/>
        </w:rPr>
        <w:t>Platelets and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INR</w:t>
      </w:r>
      <w:r>
        <w:rPr>
          <w:rFonts w:ascii="Times" w:hAnsi="Times" w:cs="Times"/>
        </w:rPr>
        <w:t xml:space="preserve"> values could influence subsequent </w:t>
      </w:r>
      <w:r>
        <w:rPr>
          <w:rFonts w:hint="eastAsia" w:ascii="Times" w:hAnsi="Times" w:cs="Times"/>
        </w:rPr>
        <w:t>heparin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treatment</w:t>
      </w:r>
      <w:r>
        <w:rPr>
          <w:rFonts w:ascii="Times" w:hAnsi="Times" w:cs="Times"/>
        </w:rPr>
        <w:t xml:space="preserve"> </w:t>
      </w:r>
      <w:r>
        <w:rPr>
          <w:rFonts w:ascii="Times" w:hAnsi="Times" w:cs="Helvetica"/>
          <w:vertAlign w:val="superscript"/>
        </w:rPr>
        <w:t>1</w:t>
      </w:r>
      <w:r>
        <w:rPr>
          <w:rFonts w:ascii="Times" w:hAnsi="Times" w:cs="Times"/>
        </w:rPr>
        <w:t xml:space="preserve">. The parameters of MSCM could be estimated using inverse probability weighting (IPW) to correct both for confounding and for forms of selection bias such as informative censoring </w:t>
      </w:r>
      <w:r>
        <w:rPr>
          <w:rFonts w:ascii="Times" w:hAnsi="Times" w:cs="Helvetica"/>
          <w:vertAlign w:val="superscript"/>
        </w:rPr>
        <w:t>2</w:t>
      </w:r>
      <w:r>
        <w:rPr>
          <w:rFonts w:ascii="Times" w:hAnsi="Times" w:cs="Times"/>
        </w:rPr>
        <w:t xml:space="preserve">. By weighting each patient by IPW, </w:t>
      </w:r>
      <w:r>
        <w:rPr>
          <w:rFonts w:ascii="Times" w:hAnsi="Times"/>
        </w:rPr>
        <w:t xml:space="preserve">two pseudo-populations are created, similar with regards to baseline and time-dependent confounding factors, and different in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exposure. </w:t>
      </w:r>
      <w:r>
        <w:rPr>
          <w:rFonts w:ascii="Times" w:hAnsi="Times" w:cs="Times"/>
        </w:rPr>
        <w:t xml:space="preserve">Details of IPW will be introduced in the statistical analysis section. 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  <w:r>
        <w:rPr>
          <w:rFonts w:ascii="Times" w:hAnsi="Times"/>
        </w:rPr>
        <w:t xml:space="preserve">The MSCM model allows the comparison of hazard functions for patients who never </w:t>
      </w:r>
      <w:r>
        <w:rPr>
          <w:rFonts w:hint="eastAsia" w:ascii="Times" w:hAnsi="Times" w:cs="Times"/>
        </w:rPr>
        <w:t>used</w:t>
      </w:r>
      <w:r>
        <w:rPr>
          <w:rFonts w:ascii="Times" w:hAnsi="Times"/>
        </w:rPr>
        <w:t xml:space="preserve">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with those who </w:t>
      </w:r>
      <w:r>
        <w:rPr>
          <w:rFonts w:hint="eastAsia" w:ascii="Times" w:hAnsi="Times" w:cs="Times"/>
        </w:rPr>
        <w:t>used</w:t>
      </w:r>
      <w:r>
        <w:rPr>
          <w:rFonts w:ascii="Times" w:hAnsi="Times"/>
        </w:rPr>
        <w:t xml:space="preserve">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</w:t>
      </w:r>
      <w:r>
        <w:rPr>
          <w:rFonts w:ascii="Times" w:hAnsi="Times" w:cs="Helvetica"/>
          <w:vertAlign w:val="superscript"/>
        </w:rPr>
        <w:t>1</w:t>
      </w:r>
      <w:r>
        <w:rPr>
          <w:rFonts w:ascii="Times" w:hAnsi="Times"/>
        </w:rPr>
        <w:t xml:space="preserve">. The partial likelihood function of Cox model was modified such that the contribution of patient </w:t>
      </w:r>
      <w:r>
        <w:drawing>
          <wp:inline distT="0" distB="0" distL="0" distR="0">
            <wp:extent cx="26035" cy="297180"/>
            <wp:effectExtent l="0" t="0" r="4445" b="7620"/>
            <wp:docPr id="1030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12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69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to the risk set was weighted by the stabilized inverse probability of treatment and censoring (IPTC) weight, </w:t>
      </w:r>
      <w:r>
        <w:drawing>
          <wp:inline distT="0" distB="0" distL="0" distR="0">
            <wp:extent cx="220980" cy="297180"/>
            <wp:effectExtent l="0" t="0" r="7620" b="7620"/>
            <wp:docPr id="103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1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>, to account for potential confounding effects induced by baseline (i.e. variables obtained on day 1 including age, gender, use of mechanical ventilation, RRT, vasopressor, urine output, SOFA</w:t>
      </w:r>
      <w:r>
        <w:rPr>
          <w:rFonts w:hint="eastAsia" w:ascii="Times" w:hAnsi="Times"/>
        </w:rPr>
        <w:t xml:space="preserve"> </w:t>
      </w:r>
      <w:r>
        <w:rPr>
          <w:rFonts w:ascii="Times" w:hAnsi="Times"/>
        </w:rPr>
        <w:t xml:space="preserve">and SAPSII) and time-varying confounders (i.e. </w:t>
      </w:r>
      <w:r>
        <w:rPr>
          <w:rFonts w:hint="eastAsia" w:ascii="Times" w:hAnsi="Times" w:cs="Times"/>
        </w:rPr>
        <w:t>Platelets and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INR</w:t>
      </w:r>
      <w:r>
        <w:rPr>
          <w:rFonts w:ascii="Times" w:hAnsi="Times"/>
        </w:rPr>
        <w:t xml:space="preserve">). The stabilized inverse probability of treatment (IPT) for patient </w:t>
      </w:r>
      <w:r>
        <w:drawing>
          <wp:inline distT="0" distB="0" distL="0" distR="0">
            <wp:extent cx="26035" cy="297180"/>
            <wp:effectExtent l="0" t="0" r="4445" b="7620"/>
            <wp:docPr id="1032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10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69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at day t can be obtained by 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  <w:r>
        <w:drawing>
          <wp:inline distT="0" distB="0" distL="0" distR="0">
            <wp:extent cx="3112770" cy="590550"/>
            <wp:effectExtent l="0" t="0" r="11430" b="3810"/>
            <wp:docPr id="1033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9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2770" cy="5905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  <w:r>
        <w:rPr>
          <w:rFonts w:ascii="Times" w:hAnsi="Times"/>
        </w:rPr>
        <w:t xml:space="preserve">Where </w:t>
      </w:r>
      <w:r>
        <w:drawing>
          <wp:inline distT="0" distB="0" distL="0" distR="0">
            <wp:extent cx="133350" cy="297180"/>
            <wp:effectExtent l="0" t="0" r="3810" b="7620"/>
            <wp:docPr id="1034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8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represents the treatment with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for patient i in day j. </w:t>
      </w:r>
      <w:r>
        <w:drawing>
          <wp:inline distT="0" distB="0" distL="0" distR="0">
            <wp:extent cx="152400" cy="297180"/>
            <wp:effectExtent l="0" t="0" r="0" b="7620"/>
            <wp:docPr id="1035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7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and </w:t>
      </w:r>
      <w:r>
        <w:drawing>
          <wp:inline distT="0" distB="0" distL="0" distR="0">
            <wp:extent cx="152400" cy="297180"/>
            <wp:effectExtent l="0" t="0" r="0" b="7620"/>
            <wp:docPr id="103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6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are the baseline and time-varying variables, respectively, for patient i. </w:t>
      </w:r>
      <w:r>
        <w:drawing>
          <wp:inline distT="0" distB="0" distL="0" distR="0">
            <wp:extent cx="582930" cy="297180"/>
            <wp:effectExtent l="0" t="0" r="11430" b="7620"/>
            <wp:docPr id="1037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5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93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and </w:t>
      </w:r>
      <w:r>
        <w:drawing>
          <wp:inline distT="0" distB="0" distL="0" distR="0">
            <wp:extent cx="381000" cy="297180"/>
            <wp:effectExtent l="0" t="0" r="0" b="7620"/>
            <wp:docPr id="1038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4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are observed treatment and time-varying confounder history, respectively, from baseline to time j. Since the time-varying confounders appeared only in the denominator of the weights, the stabilized weights were inversely related to a function of the time-varying confounder cumulative relapse. The weights </w:t>
      </w:r>
      <w:r>
        <w:drawing>
          <wp:inline distT="0" distB="0" distL="0" distR="0">
            <wp:extent cx="220980" cy="297180"/>
            <wp:effectExtent l="0" t="0" r="7620" b="7620"/>
            <wp:docPr id="1039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图片 3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down-weighted the person-day contributions when cumulative time-varying confounders were a strong predictor of treatment status in the subsequent time periods, after controlling for the baseline covariates. The weights created a pseudopopulation in which </w:t>
      </w:r>
      <w:r>
        <w:rPr>
          <w:rFonts w:hint="eastAsia" w:ascii="Times" w:hAnsi="Times" w:cs="Times"/>
        </w:rPr>
        <w:t>Platelets and</w:t>
      </w:r>
      <w:r>
        <w:rPr>
          <w:rFonts w:ascii="Times" w:hAnsi="Times" w:cs="Times"/>
        </w:rPr>
        <w:t xml:space="preserve"> </w:t>
      </w:r>
      <w:r>
        <w:rPr>
          <w:rFonts w:hint="eastAsia" w:ascii="Times" w:hAnsi="Times" w:cs="Times"/>
        </w:rPr>
        <w:t>INR</w:t>
      </w:r>
      <w:r>
        <w:rPr>
          <w:rFonts w:ascii="Times" w:hAnsi="Times"/>
        </w:rPr>
        <w:t xml:space="preserve"> no longer predicted subsequent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treatment status. The estimates of the effect of </w:t>
      </w:r>
      <w:r>
        <w:rPr>
          <w:rFonts w:hint="eastAsia" w:ascii="Times" w:hAnsi="Times" w:cs="Times"/>
        </w:rPr>
        <w:t>heparin</w:t>
      </w:r>
      <w:r>
        <w:rPr>
          <w:rFonts w:ascii="Times" w:hAnsi="Times"/>
        </w:rPr>
        <w:t xml:space="preserve"> treatment in this pseudopopulation would be an unbiased estimate for the target population. Similarly, the inverse probability of censoring can be estimated in the same way: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  <w:r>
        <w:drawing>
          <wp:inline distT="0" distB="0" distL="0" distR="0">
            <wp:extent cx="4095115" cy="590550"/>
            <wp:effectExtent l="0" t="0" r="4445" b="3810"/>
            <wp:docPr id="1040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"/>
                    <pic:cNvPicPr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49" cy="5905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  <w:r>
        <w:rPr>
          <w:rFonts w:ascii="Times" w:hAnsi="Times"/>
        </w:rPr>
        <w:t xml:space="preserve">Then the overall stabilized IPTW weights were obtained by the product of </w:t>
      </w:r>
      <w:r>
        <w:drawing>
          <wp:inline distT="0" distB="0" distL="0" distR="0">
            <wp:extent cx="990600" cy="297180"/>
            <wp:effectExtent l="0" t="0" r="0" b="7620"/>
            <wp:docPr id="104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图片 1"/>
                    <pic:cNvPicPr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2971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/>
        </w:rPr>
        <w:t xml:space="preserve">. Finally, a MSCM was fit using robust variance estimator, and time-varying treatment assignment was included in the model </w:t>
      </w:r>
      <w:r>
        <w:rPr>
          <w:rFonts w:ascii="Times" w:hAnsi="Times" w:cs="Helvetica"/>
          <w:vertAlign w:val="superscript"/>
        </w:rPr>
        <w:t>3</w:t>
      </w:r>
      <w:r>
        <w:rPr>
          <w:rFonts w:ascii="Times" w:hAnsi="Times"/>
        </w:rPr>
        <w:t xml:space="preserve">. </w:t>
      </w:r>
    </w:p>
    <w:p>
      <w:pPr>
        <w:pStyle w:val="2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References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ind w:left="480" w:hanging="480"/>
        <w:rPr>
          <w:rFonts w:ascii="Times" w:hAnsi="Times" w:cs="Helvetica"/>
        </w:rPr>
      </w:pPr>
      <w:r>
        <w:rPr>
          <w:rFonts w:ascii="Times" w:hAnsi="Times" w:cs="Helvetica"/>
        </w:rPr>
        <w:t>1.</w:t>
      </w:r>
      <w:r>
        <w:rPr>
          <w:rFonts w:ascii="Times" w:hAnsi="Times" w:cs="Helvetica"/>
        </w:rPr>
        <w:tab/>
      </w:r>
      <w:r>
        <w:rPr>
          <w:rFonts w:ascii="Times" w:hAnsi="Times" w:cs="Helvetica"/>
        </w:rPr>
        <w:t xml:space="preserve">Karim, M. E. et al. Marginal structural Cox models for estimating the association between β-interferon exposure and disease progression in a multiple sclerosis cohort. </w:t>
      </w:r>
      <w:r>
        <w:rPr>
          <w:rFonts w:ascii="Times" w:hAnsi="Times" w:cs="Helvetica"/>
          <w:i/>
        </w:rPr>
        <w:t>Am. J. Epidemiol</w:t>
      </w:r>
      <w:r>
        <w:rPr>
          <w:rFonts w:ascii="Times" w:hAnsi="Times" w:cs="Helvetica"/>
        </w:rPr>
        <w:t xml:space="preserve">. </w:t>
      </w:r>
      <w:r>
        <w:rPr>
          <w:rFonts w:hint="eastAsia" w:ascii="Times" w:hAnsi="Times" w:cs="Helvetica"/>
        </w:rPr>
        <w:t xml:space="preserve">2014, </w:t>
      </w:r>
      <w:r>
        <w:rPr>
          <w:rFonts w:ascii="Times" w:hAnsi="Times" w:cs="Helvetica"/>
        </w:rPr>
        <w:t>180</w:t>
      </w:r>
      <w:r>
        <w:rPr>
          <w:rFonts w:hint="eastAsia" w:ascii="Times" w:hAnsi="Times" w:cs="Helvetica"/>
        </w:rPr>
        <w:t xml:space="preserve">: </w:t>
      </w:r>
      <w:r>
        <w:rPr>
          <w:rFonts w:ascii="Times" w:hAnsi="Times" w:cs="Helvetica"/>
        </w:rPr>
        <w:t>160</w:t>
      </w:r>
      <w:r>
        <w:rPr>
          <w:rFonts w:hint="eastAsia" w:ascii="Times" w:hAnsi="Times" w:cs="Helvetica"/>
        </w:rPr>
        <w:t>-</w:t>
      </w:r>
      <w:r>
        <w:rPr>
          <w:rFonts w:ascii="Times" w:hAnsi="Times" w:cs="Helvetica"/>
        </w:rPr>
        <w:t>171.</w:t>
      </w:r>
    </w:p>
    <w:p>
      <w:pPr>
        <w:autoSpaceDE w:val="0"/>
        <w:autoSpaceDN w:val="0"/>
        <w:adjustRightInd w:val="0"/>
        <w:spacing w:line="360" w:lineRule="auto"/>
        <w:ind w:left="480" w:hanging="480"/>
        <w:rPr>
          <w:rFonts w:ascii="Times" w:hAnsi="Times" w:cs="Helvetica"/>
        </w:rPr>
      </w:pPr>
      <w:r>
        <w:rPr>
          <w:rFonts w:ascii="Times" w:hAnsi="Times" w:cs="Helvetica"/>
        </w:rPr>
        <w:t>2.</w:t>
      </w:r>
      <w:r>
        <w:rPr>
          <w:rFonts w:ascii="Times" w:hAnsi="Times" w:cs="Helvetica"/>
        </w:rPr>
        <w:tab/>
      </w:r>
      <w:r>
        <w:rPr>
          <w:rFonts w:ascii="Times" w:hAnsi="Times" w:cs="Helvetica"/>
        </w:rPr>
        <w:t xml:space="preserve">Robins, J. M., Hernán, M. Á. &amp; Brumback, B. Marginal structural models and causal inference in epidemiology. </w:t>
      </w:r>
      <w:r>
        <w:rPr>
          <w:rFonts w:ascii="Times" w:hAnsi="Times" w:cs="Helvetica"/>
          <w:i/>
        </w:rPr>
        <w:t>Epidemiology</w:t>
      </w:r>
      <w:r>
        <w:rPr>
          <w:rFonts w:ascii="Times" w:hAnsi="Times" w:cs="Helvetica"/>
        </w:rPr>
        <w:t xml:space="preserve"> </w:t>
      </w:r>
      <w:r>
        <w:rPr>
          <w:rFonts w:hint="eastAsia" w:ascii="Times" w:hAnsi="Times" w:cs="Helvetica"/>
        </w:rPr>
        <w:t xml:space="preserve">2000, </w:t>
      </w:r>
      <w:r>
        <w:rPr>
          <w:rFonts w:ascii="Times" w:hAnsi="Times" w:cs="Helvetica"/>
        </w:rPr>
        <w:t>11</w:t>
      </w:r>
      <w:r>
        <w:rPr>
          <w:rFonts w:hint="eastAsia" w:ascii="Times" w:hAnsi="Times" w:cs="Helvetica"/>
        </w:rPr>
        <w:t xml:space="preserve">: </w:t>
      </w:r>
      <w:r>
        <w:rPr>
          <w:rFonts w:ascii="Times" w:hAnsi="Times" w:cs="Helvetica"/>
        </w:rPr>
        <w:t>550</w:t>
      </w:r>
      <w:r>
        <w:rPr>
          <w:rFonts w:hint="eastAsia" w:ascii="Times" w:hAnsi="Times" w:cs="Helvetica"/>
        </w:rPr>
        <w:t>-</w:t>
      </w:r>
      <w:r>
        <w:rPr>
          <w:rFonts w:ascii="Times" w:hAnsi="Times" w:cs="Helvetica"/>
        </w:rPr>
        <w:t>56</w:t>
      </w:r>
      <w:r>
        <w:rPr>
          <w:rFonts w:hint="eastAsia" w:ascii="Times" w:hAnsi="Times" w:cs="Helvetica"/>
        </w:rPr>
        <w:t>0</w:t>
      </w:r>
      <w:r>
        <w:rPr>
          <w:rFonts w:ascii="Times" w:hAnsi="Times" w:cs="Helvetica"/>
        </w:rPr>
        <w:t>.</w:t>
      </w:r>
    </w:p>
    <w:p>
      <w:pPr>
        <w:autoSpaceDE w:val="0"/>
        <w:autoSpaceDN w:val="0"/>
        <w:adjustRightInd w:val="0"/>
        <w:spacing w:line="360" w:lineRule="auto"/>
        <w:ind w:left="480" w:hanging="480"/>
        <w:rPr>
          <w:rFonts w:ascii="Times" w:hAnsi="Times" w:cs="Helvetica"/>
        </w:rPr>
      </w:pPr>
      <w:r>
        <w:rPr>
          <w:rFonts w:ascii="Times" w:hAnsi="Times" w:cs="Helvetica"/>
        </w:rPr>
        <w:t>3.</w:t>
      </w:r>
      <w:r>
        <w:rPr>
          <w:rFonts w:ascii="Times" w:hAnsi="Times" w:cs="Helvetica"/>
        </w:rPr>
        <w:tab/>
      </w:r>
      <w:r>
        <w:rPr>
          <w:rFonts w:ascii="Times" w:hAnsi="Times" w:cs="Helvetica"/>
        </w:rPr>
        <w:t xml:space="preserve">Hernán, M. A., Brumback, B. &amp; Robins, J. M. Marginal structural models to estimate the causal effect of zidovudine on the survival of HIV-positive men. </w:t>
      </w:r>
      <w:r>
        <w:rPr>
          <w:rFonts w:ascii="Times" w:hAnsi="Times" w:cs="Helvetica"/>
          <w:i/>
        </w:rPr>
        <w:t>Epidemiology</w:t>
      </w:r>
      <w:r>
        <w:rPr>
          <w:rFonts w:ascii="Times" w:hAnsi="Times" w:cs="Helvetica"/>
        </w:rPr>
        <w:t xml:space="preserve"> </w:t>
      </w:r>
      <w:r>
        <w:rPr>
          <w:rFonts w:hint="eastAsia" w:ascii="Times" w:hAnsi="Times" w:cs="Helvetica"/>
        </w:rPr>
        <w:t xml:space="preserve">2000, </w:t>
      </w:r>
      <w:r>
        <w:rPr>
          <w:rFonts w:ascii="Times" w:hAnsi="Times" w:cs="Helvetica"/>
        </w:rPr>
        <w:t>11</w:t>
      </w:r>
      <w:r>
        <w:rPr>
          <w:rFonts w:hint="eastAsia" w:ascii="Times" w:hAnsi="Times" w:cs="Helvetica"/>
        </w:rPr>
        <w:t xml:space="preserve">: </w:t>
      </w:r>
      <w:r>
        <w:rPr>
          <w:rFonts w:ascii="Times" w:hAnsi="Times" w:cs="Helvetica"/>
        </w:rPr>
        <w:t>561</w:t>
      </w:r>
      <w:r>
        <w:rPr>
          <w:rFonts w:hint="eastAsia" w:ascii="Times" w:hAnsi="Times" w:cs="Helvetica"/>
        </w:rPr>
        <w:t>-</w:t>
      </w:r>
      <w:r>
        <w:rPr>
          <w:rFonts w:ascii="Times" w:hAnsi="Times" w:cs="Helvetica"/>
        </w:rPr>
        <w:t>570.</w:t>
      </w:r>
    </w:p>
    <w:p>
      <w:pPr>
        <w:autoSpaceDE w:val="0"/>
        <w:autoSpaceDN w:val="0"/>
        <w:adjustRightInd w:val="0"/>
        <w:spacing w:line="360" w:lineRule="auto"/>
        <w:rPr>
          <w:rFonts w:ascii="Times" w:hAnsi="Times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2020603050004020304"/>
    <w:charset w:val="00"/>
    <w:family w:val="roman"/>
    <w:pitch w:val="default"/>
    <w:sig w:usb0="00000000" w:usb1="00000000" w:usb2="00000009" w:usb3="00000000" w:csb0="000001FF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Y2YxNWQ2Mzk1ZjNkZjlkZDA0NzA0ZThlOTdhMWEifQ=="/>
  </w:docVars>
  <w:rsids>
    <w:rsidRoot w:val="00000000"/>
    <w:rsid w:val="55A0155C"/>
    <w:rsid w:val="5B2D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240" w:after="100" w:afterAutospacing="1"/>
      <w:outlineLvl w:val="0"/>
    </w:pPr>
    <w:rPr>
      <w:rFonts w:ascii="Calibri Light" w:hAnsi="Calibri Light"/>
      <w:color w:val="2E75B5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792</Words>
  <Characters>4410</Characters>
  <Lines>0</Lines>
  <Paragraphs>0</Paragraphs>
  <TotalTime>1</TotalTime>
  <ScaleCrop>false</ScaleCrop>
  <LinksUpToDate>false</LinksUpToDate>
  <CharactersWithSpaces>5139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2022-06-10T00:06:52Z</dcterms:created>
  <dc:creator>boshi</dc:creator>
  <cp:lastModifiedBy>吴明</cp:lastModifiedBy>
  <dcterms:modified xsi:type="dcterms:W3CDTF">2022-06-10T00:08:27Z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D9DEB3459D804D198D5A3C2E03BCAD79</vt:lpwstr>
  </property>
</Properties>
</file>