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color w:val="auto"/>
          <w:kern w:val="0"/>
          <w:sz w:val="22"/>
          <w:szCs w:val="22"/>
          <w:highlight w:val="none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color w:val="auto"/>
          <w:kern w:val="0"/>
          <w:sz w:val="22"/>
          <w:szCs w:val="22"/>
          <w:highlight w:val="none"/>
          <w:lang w:val="en-US" w:eastAsia="zh-CN" w:bidi="ar"/>
        </w:rPr>
        <w:t>The process of therapy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>Endoscopic therapy: E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ndoscopic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therapy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includ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>ed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endoscopic injection sclerotherapy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 xml:space="preserve"> 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(EIS), N-buty-l-cyanoacrylate injection and endoscopic vari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ces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ligation (EVL). The patients had recheck endoscopies every 4-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>8 weeks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until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 xml:space="preserve"> the varices were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eradicated or until they had turned into F1, and endoscopic treatment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 xml:space="preserve"> was performed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again if necessary.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</w:pP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>NSBBs uasage: C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arvedilol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was started at 6.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>25 mg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every day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>,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>and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propranolol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was started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 xml:space="preserve"> 10 mg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twice a day, and the amount was gradually increased to 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 xml:space="preserve">the 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maximum tolerable dose. If adverse reactions 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>occurred</w:t>
      </w:r>
      <w:r>
        <w:rPr>
          <w:rFonts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, the dosage was reduced or discontinued.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</w:pP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>Covered TIPS: t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he Rups100 catheter sheath was routinely delivered into the hepatic vein. Indirect portal vein angiography was performed via 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 xml:space="preserve">the 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superior mesenteric artery. The 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Rups100 catheter sheath was delivered to the main portal vein through puncture of the intrahepatic portal vein branch from the hepatic vein and direct portal vein angiography was performed. 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>A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>covered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stent (</w:t>
      </w:r>
      <w:r>
        <w:rPr>
          <w:rFonts w:ascii="Times New Roman" w:hAnsi="Times New Roman" w:eastAsia="宋体" w:cs="Times New Roman"/>
          <w:color w:val="auto"/>
          <w:kern w:val="0"/>
          <w:sz w:val="22"/>
          <w:szCs w:val="22"/>
          <w:highlight w:val="none"/>
          <w:lang w:bidi="ar"/>
        </w:rPr>
        <w:t>8 mm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) (Fluency; Bard, Murray Hill, New Jersey, USA)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was inserted to the appropriate position in the liver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with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>a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n additional bare-metal stent (Luminexx;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Bard) when necessary to achieve optimal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positioning of the covered stent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or a 8-mm viatorr stent (Viatorr; Gore, California, USA) was used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.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  <w:t>The balloon stent was expanded, portal vein angiography was performed again.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val="en-US" w:eastAsia="zh-CN" w:bidi="ar"/>
        </w:rPr>
      </w:pPr>
    </w:p>
    <w:p>
      <w:pPr>
        <w:rPr>
          <w:rFonts w:hint="eastAsia" w:ascii="Times New Roman" w:hAnsi="Times New Roman" w:cs="Times New Roman"/>
          <w:color w:val="auto"/>
          <w:kern w:val="0"/>
          <w:sz w:val="22"/>
          <w:szCs w:val="22"/>
          <w:highlight w:val="none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CF7E65"/>
    <w:multiLevelType w:val="singleLevel"/>
    <w:tmpl w:val="2CCF7E6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zMTQxMWE0MDdhYmNhOGQ0OWJjM2MwYjM4ZmMxZmYifQ=="/>
  </w:docVars>
  <w:rsids>
    <w:rsidRoot w:val="256B2D88"/>
    <w:rsid w:val="256B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2022-06-28T15:26:00Z</dcterms:created>
  <dc:creator>曦wxxshine</dc:creator>
  <cp:lastModifiedBy>曦wxxshine</cp:lastModifiedBy>
  <dcterms:modified xsi:type="dcterms:W3CDTF">2022-06-28T15:36:54Z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A0C4E343B701445391AB2DC2310E3348</vt:lpwstr>
  </property>
</Properties>
</file>