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9A0B2" w14:textId="77777777" w:rsidR="005F7EC4" w:rsidRPr="005F7EC4" w:rsidRDefault="005F7EC4" w:rsidP="005F7EC4">
      <w:pPr>
        <w:pStyle w:val="a7"/>
        <w:rPr>
          <w:rFonts w:ascii="Times New Roman" w:hAnsi="Times New Roman" w:cs="Times New Roman"/>
        </w:rPr>
      </w:pPr>
      <w:r w:rsidRPr="005F7EC4">
        <w:rPr>
          <w:rFonts w:ascii="Times New Roman" w:hAnsi="Times New Roman" w:cs="Times New Roman"/>
        </w:rPr>
        <w:t>Supplementary material</w:t>
      </w:r>
    </w:p>
    <w:p w14:paraId="4176B73C" w14:textId="0394B023" w:rsidR="00186413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CA3365">
        <w:rPr>
          <w:rFonts w:ascii="Times New Roman" w:hAnsi="Times New Roman" w:cs="Times New Roman" w:hint="eastAsia"/>
          <w:b/>
          <w:bCs/>
        </w:rPr>
        <w:t>F</w:t>
      </w:r>
      <w:r w:rsidRPr="00CA3365">
        <w:rPr>
          <w:rFonts w:ascii="Times New Roman" w:hAnsi="Times New Roman" w:cs="Times New Roman"/>
          <w:b/>
          <w:bCs/>
        </w:rPr>
        <w:t xml:space="preserve">igure S1: </w:t>
      </w:r>
      <w:r w:rsidRPr="00CA3365">
        <w:rPr>
          <w:rFonts w:ascii="Times New Roman" w:hAnsi="Times New Roman" w:cs="Times New Roman"/>
        </w:rPr>
        <w:t xml:space="preserve">Isolation and characterization of </w:t>
      </w:r>
      <w:r>
        <w:rPr>
          <w:rFonts w:ascii="Times New Roman" w:hAnsi="Times New Roman" w:cs="Times New Roman"/>
        </w:rPr>
        <w:t>EV</w:t>
      </w:r>
      <w:r w:rsidRPr="00CA3365">
        <w:rPr>
          <w:rFonts w:ascii="Times New Roman" w:hAnsi="Times New Roman" w:cs="Times New Roman"/>
        </w:rPr>
        <w:t>s.</w:t>
      </w:r>
    </w:p>
    <w:p w14:paraId="7A35E14A" w14:textId="2079D11E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314889">
        <w:rPr>
          <w:rFonts w:ascii="Times New Roman" w:hAnsi="Times New Roman" w:cs="Times New Roman" w:hint="eastAsia"/>
          <w:b/>
          <w:bCs/>
        </w:rPr>
        <w:t>F</w:t>
      </w:r>
      <w:r w:rsidRPr="00314889">
        <w:rPr>
          <w:rFonts w:ascii="Times New Roman" w:hAnsi="Times New Roman" w:cs="Times New Roman"/>
          <w:b/>
          <w:bCs/>
        </w:rPr>
        <w:t xml:space="preserve">igure S2: </w:t>
      </w:r>
      <w:r>
        <w:rPr>
          <w:rFonts w:ascii="Times New Roman" w:hAnsi="Times New Roman" w:cs="Times New Roman"/>
        </w:rPr>
        <w:t>Dynamic changes of EV-biomarkers during ICI-related therapy.</w:t>
      </w:r>
    </w:p>
    <w:p w14:paraId="7C582524" w14:textId="5C364AEB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C32D4B">
        <w:rPr>
          <w:rFonts w:ascii="Times New Roman" w:hAnsi="Times New Roman" w:cs="Times New Roman" w:hint="eastAsia"/>
          <w:b/>
          <w:bCs/>
        </w:rPr>
        <w:t>F</w:t>
      </w:r>
      <w:r w:rsidRPr="00C32D4B">
        <w:rPr>
          <w:rFonts w:ascii="Times New Roman" w:hAnsi="Times New Roman" w:cs="Times New Roman"/>
          <w:b/>
          <w:bCs/>
        </w:rPr>
        <w:t xml:space="preserve">igure S3: </w:t>
      </w:r>
      <w:r>
        <w:rPr>
          <w:rFonts w:ascii="Times New Roman" w:hAnsi="Times New Roman" w:cs="Times New Roman"/>
        </w:rPr>
        <w:t>Expressional landscape of EV-derived lncRNA-GC1 in ICI-treated GC.</w:t>
      </w:r>
    </w:p>
    <w:p w14:paraId="29E505F2" w14:textId="6D887ABF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3C0149">
        <w:rPr>
          <w:rFonts w:ascii="Times New Roman" w:hAnsi="Times New Roman" w:cs="Times New Roman" w:hint="eastAsia"/>
          <w:b/>
          <w:bCs/>
        </w:rPr>
        <w:t>F</w:t>
      </w:r>
      <w:r w:rsidRPr="003C0149">
        <w:rPr>
          <w:rFonts w:ascii="Times New Roman" w:hAnsi="Times New Roman" w:cs="Times New Roman"/>
          <w:b/>
          <w:bCs/>
        </w:rPr>
        <w:t xml:space="preserve">igure S4: </w:t>
      </w:r>
      <w:r>
        <w:rPr>
          <w:rFonts w:ascii="Times New Roman" w:hAnsi="Times New Roman" w:cs="Times New Roman"/>
        </w:rPr>
        <w:t>EV-derived lncRNA-GC1 dynamically monitored immunotherapeutic outcomes of patients receiving ICI-related therapy in retrospective validation cohort (cohort 2).</w:t>
      </w:r>
    </w:p>
    <w:p w14:paraId="27D9D318" w14:textId="178B4B40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3F05CF">
        <w:rPr>
          <w:rFonts w:ascii="Times New Roman" w:hAnsi="Times New Roman" w:cs="Times New Roman" w:hint="eastAsia"/>
          <w:b/>
          <w:bCs/>
          <w:color w:val="000000" w:themeColor="text1"/>
        </w:rPr>
        <w:t>F</w:t>
      </w:r>
      <w:r w:rsidRPr="003F05CF">
        <w:rPr>
          <w:rFonts w:ascii="Times New Roman" w:hAnsi="Times New Roman" w:cs="Times New Roman"/>
          <w:b/>
          <w:bCs/>
          <w:color w:val="000000" w:themeColor="text1"/>
        </w:rPr>
        <w:t xml:space="preserve">igure S5: </w:t>
      </w:r>
      <w:r>
        <w:rPr>
          <w:rFonts w:ascii="Times New Roman" w:hAnsi="Times New Roman" w:cs="Times New Roman"/>
        </w:rPr>
        <w:t>EV-derived lncRNA-GC1 dynamically monitored immunotherapeutic outcomes of patients receiving ICI-related therapy in retrospective validation cohort (cohort 3).</w:t>
      </w:r>
    </w:p>
    <w:p w14:paraId="55D28754" w14:textId="52537B98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3F05CF">
        <w:rPr>
          <w:rFonts w:ascii="Times New Roman" w:hAnsi="Times New Roman" w:cs="Times New Roman" w:hint="eastAsia"/>
          <w:b/>
          <w:bCs/>
          <w:color w:val="000000" w:themeColor="text1"/>
        </w:rPr>
        <w:t>F</w:t>
      </w:r>
      <w:r w:rsidRPr="003F05CF">
        <w:rPr>
          <w:rFonts w:ascii="Times New Roman" w:hAnsi="Times New Roman" w:cs="Times New Roman"/>
          <w:b/>
          <w:bCs/>
          <w:color w:val="000000" w:themeColor="text1"/>
        </w:rPr>
        <w:t xml:space="preserve">igure S6: </w:t>
      </w:r>
      <w:r>
        <w:rPr>
          <w:rFonts w:ascii="Times New Roman" w:hAnsi="Times New Roman" w:cs="Times New Roman"/>
          <w:color w:val="000000" w:themeColor="text1"/>
        </w:rPr>
        <w:t xml:space="preserve">Low levels of circulating EV-derived lncRNA-GC1 are correlated with </w:t>
      </w:r>
      <w:r w:rsidRPr="00AA6EDC">
        <w:rPr>
          <w:rFonts w:ascii="Times New Roman" w:hAnsi="Times New Roman" w:cs="Times New Roman"/>
        </w:rPr>
        <w:t>strong antitumor immunity</w:t>
      </w:r>
      <w:r>
        <w:rPr>
          <w:rFonts w:ascii="Times New Roman" w:hAnsi="Times New Roman" w:cs="Times New Roman"/>
        </w:rPr>
        <w:t>.</w:t>
      </w:r>
    </w:p>
    <w:p w14:paraId="67B9547A" w14:textId="22F29122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  <w:r w:rsidRPr="00234781">
        <w:rPr>
          <w:rFonts w:ascii="Times New Roman" w:hAnsi="Times New Roman" w:cs="Times New Roman" w:hint="eastAsia"/>
          <w:b/>
          <w:bCs/>
        </w:rPr>
        <w:t>F</w:t>
      </w:r>
      <w:r w:rsidRPr="00234781">
        <w:rPr>
          <w:rFonts w:ascii="Times New Roman" w:hAnsi="Times New Roman" w:cs="Times New Roman"/>
          <w:b/>
          <w:bCs/>
        </w:rPr>
        <w:t xml:space="preserve">igure S7: </w:t>
      </w:r>
      <w:r w:rsidRPr="00234781">
        <w:rPr>
          <w:rFonts w:ascii="Times New Roman" w:hAnsi="Times New Roman" w:cs="Times New Roman"/>
        </w:rPr>
        <w:t xml:space="preserve">The stability of circulating </w:t>
      </w:r>
      <w:r>
        <w:rPr>
          <w:rFonts w:ascii="Times New Roman" w:hAnsi="Times New Roman" w:cs="Times New Roman"/>
        </w:rPr>
        <w:t xml:space="preserve">EV-derived </w:t>
      </w:r>
      <w:r w:rsidRPr="00234781">
        <w:rPr>
          <w:rFonts w:ascii="Times New Roman" w:hAnsi="Times New Roman" w:cs="Times New Roman"/>
        </w:rPr>
        <w:t xml:space="preserve">lncRNA-GC1 in </w:t>
      </w:r>
      <w:r>
        <w:rPr>
          <w:rFonts w:ascii="Times New Roman" w:hAnsi="Times New Roman" w:cs="Times New Roman"/>
        </w:rPr>
        <w:t>retrospective expanding cohort (cohort 5)</w:t>
      </w:r>
      <w:r w:rsidRPr="00234781">
        <w:rPr>
          <w:rFonts w:ascii="Times New Roman" w:hAnsi="Times New Roman" w:cs="Times New Roman"/>
        </w:rPr>
        <w:t>.</w:t>
      </w:r>
    </w:p>
    <w:p w14:paraId="4EB68EDB" w14:textId="4C9348AA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49578B2F" w14:textId="3E83535B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4F219643" w14:textId="568E57C3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2DC9C25C" w14:textId="30321A31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0D238A51" w14:textId="277E07F7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29044D99" w14:textId="2521A945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176788DF" w14:textId="79FA8D74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1C118F0F" w14:textId="68A9E5EC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58E686C5" w14:textId="1ECD0CF5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3B76E13B" w14:textId="5AAB602F" w:rsidR="005F7EC4" w:rsidRDefault="005F7EC4" w:rsidP="005F7EC4">
      <w:pPr>
        <w:spacing w:line="480" w:lineRule="auto"/>
        <w:rPr>
          <w:rFonts w:ascii="Times New Roman" w:hAnsi="Times New Roman" w:cs="Times New Roman"/>
        </w:rPr>
      </w:pPr>
    </w:p>
    <w:p w14:paraId="7B95DD69" w14:textId="3F9629F2" w:rsidR="005F7EC4" w:rsidRPr="005F7EC4" w:rsidRDefault="005F7EC4" w:rsidP="005F7EC4">
      <w:pPr>
        <w:spacing w:line="480" w:lineRule="auto"/>
        <w:rPr>
          <w:rFonts w:ascii="Times New Roman" w:hAnsi="Times New Roman" w:cs="Times New Roman"/>
          <w:b/>
          <w:bCs/>
        </w:rPr>
      </w:pPr>
      <w:r w:rsidRPr="005F7EC4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5F7EC4">
        <w:rPr>
          <w:rFonts w:ascii="Times New Roman" w:hAnsi="Times New Roman" w:cs="Times New Roman"/>
          <w:b/>
          <w:bCs/>
        </w:rPr>
        <w:t>igure S1</w:t>
      </w:r>
    </w:p>
    <w:p w14:paraId="7ED3F0D7" w14:textId="79082B36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7438DF8" wp14:editId="08C4D97B">
            <wp:extent cx="4245429" cy="1314110"/>
            <wp:effectExtent l="0" t="0" r="317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413" cy="131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EAF7A" w14:textId="5F8C55A1" w:rsidR="005F7EC4" w:rsidRDefault="005F7EC4" w:rsidP="00A24A16">
      <w:pPr>
        <w:spacing w:line="360" w:lineRule="auto"/>
        <w:jc w:val="center"/>
        <w:rPr>
          <w:rFonts w:ascii="Times New Roman" w:hAnsi="Times New Roman" w:cs="Times New Roman"/>
        </w:rPr>
      </w:pPr>
      <w:r w:rsidRPr="00CA3365">
        <w:rPr>
          <w:rFonts w:ascii="Times New Roman" w:hAnsi="Times New Roman" w:cs="Times New Roman" w:hint="eastAsia"/>
          <w:b/>
          <w:bCs/>
        </w:rPr>
        <w:t>F</w:t>
      </w:r>
      <w:r w:rsidRPr="00CA3365">
        <w:rPr>
          <w:rFonts w:ascii="Times New Roman" w:hAnsi="Times New Roman" w:cs="Times New Roman"/>
          <w:b/>
          <w:bCs/>
        </w:rPr>
        <w:t xml:space="preserve">igure S1: </w:t>
      </w:r>
      <w:r w:rsidRPr="00CA3365">
        <w:rPr>
          <w:rFonts w:ascii="Times New Roman" w:hAnsi="Times New Roman" w:cs="Times New Roman"/>
        </w:rPr>
        <w:t xml:space="preserve">Isolation and characterization of </w:t>
      </w:r>
      <w:r>
        <w:rPr>
          <w:rFonts w:ascii="Times New Roman" w:hAnsi="Times New Roman" w:cs="Times New Roman"/>
        </w:rPr>
        <w:t>EV</w:t>
      </w:r>
      <w:r w:rsidRPr="00CA3365">
        <w:rPr>
          <w:rFonts w:ascii="Times New Roman" w:hAnsi="Times New Roman" w:cs="Times New Roman"/>
        </w:rPr>
        <w:t>s. (</w:t>
      </w:r>
      <w:r>
        <w:rPr>
          <w:rFonts w:ascii="Times New Roman" w:hAnsi="Times New Roman" w:cs="Times New Roman"/>
        </w:rPr>
        <w:t>A</w:t>
      </w:r>
      <w:r w:rsidRPr="00CA3365">
        <w:rPr>
          <w:rFonts w:ascii="Times New Roman" w:hAnsi="Times New Roman" w:cs="Times New Roman"/>
        </w:rPr>
        <w:t>) E</w:t>
      </w:r>
      <w:r>
        <w:rPr>
          <w:rFonts w:ascii="Times New Roman" w:hAnsi="Times New Roman" w:cs="Times New Roman"/>
        </w:rPr>
        <w:t>V</w:t>
      </w:r>
      <w:r w:rsidRPr="00CA3365">
        <w:rPr>
          <w:rFonts w:ascii="Times New Roman" w:hAnsi="Times New Roman" w:cs="Times New Roman"/>
        </w:rPr>
        <w:t>s were observed using electron microscopy, which revealed characteristic vesicular structures. Scale bar = 100 nm. (</w:t>
      </w:r>
      <w:r>
        <w:rPr>
          <w:rFonts w:ascii="Times New Roman" w:hAnsi="Times New Roman" w:cs="Times New Roman"/>
        </w:rPr>
        <w:t>B</w:t>
      </w:r>
      <w:r w:rsidRPr="00CA3365">
        <w:rPr>
          <w:rFonts w:ascii="Times New Roman" w:hAnsi="Times New Roman" w:cs="Times New Roman"/>
        </w:rPr>
        <w:t xml:space="preserve">) The size distributions of </w:t>
      </w:r>
      <w:r>
        <w:rPr>
          <w:rFonts w:ascii="Times New Roman" w:hAnsi="Times New Roman" w:cs="Times New Roman"/>
        </w:rPr>
        <w:t>EV</w:t>
      </w:r>
      <w:r w:rsidRPr="00CA3365">
        <w:rPr>
          <w:rFonts w:ascii="Times New Roman" w:hAnsi="Times New Roman" w:cs="Times New Roman"/>
        </w:rPr>
        <w:t>s were analyzed using NanoSight particle-tracking analysis, which revealed particle sizes ranging from 80 nm to 120 nm. (</w:t>
      </w:r>
      <w:r>
        <w:rPr>
          <w:rFonts w:ascii="Times New Roman" w:hAnsi="Times New Roman" w:cs="Times New Roman"/>
        </w:rPr>
        <w:t>C</w:t>
      </w:r>
      <w:r w:rsidRPr="00CA3365">
        <w:rPr>
          <w:rFonts w:ascii="Times New Roman" w:hAnsi="Times New Roman" w:cs="Times New Roman"/>
        </w:rPr>
        <w:t xml:space="preserve">) Western blot analysis detected the </w:t>
      </w:r>
      <w:r>
        <w:rPr>
          <w:rFonts w:ascii="Times New Roman" w:hAnsi="Times New Roman" w:cs="Times New Roman"/>
        </w:rPr>
        <w:t>EVs’</w:t>
      </w:r>
      <w:r w:rsidRPr="00CA3365">
        <w:rPr>
          <w:rFonts w:ascii="Times New Roman" w:hAnsi="Times New Roman" w:cs="Times New Roman"/>
        </w:rPr>
        <w:t xml:space="preserve"> markers CD9</w:t>
      </w:r>
      <w:r>
        <w:rPr>
          <w:rFonts w:ascii="Times New Roman" w:hAnsi="Times New Roman" w:cs="Times New Roman"/>
        </w:rPr>
        <w:t>,</w:t>
      </w:r>
      <w:r w:rsidRPr="00CA3365">
        <w:rPr>
          <w:rFonts w:ascii="Times New Roman" w:hAnsi="Times New Roman" w:cs="Times New Roman"/>
        </w:rPr>
        <w:t xml:space="preserve"> CD63</w:t>
      </w:r>
      <w:r>
        <w:rPr>
          <w:rFonts w:ascii="Times New Roman" w:hAnsi="Times New Roman" w:cs="Times New Roman"/>
        </w:rPr>
        <w:t xml:space="preserve"> and CD81</w:t>
      </w:r>
      <w:r w:rsidRPr="00CA3365">
        <w:rPr>
          <w:rFonts w:ascii="Times New Roman" w:hAnsi="Times New Roman" w:cs="Times New Roman"/>
        </w:rPr>
        <w:t>.</w:t>
      </w:r>
    </w:p>
    <w:p w14:paraId="25BDE6A5" w14:textId="014603AA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76073B50" w14:textId="0E7B72DD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30F23E9C" w14:textId="5858B499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5E1527D3" w14:textId="6CA5A61D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29E285EC" w14:textId="72386B0D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796FB407" w14:textId="4D5A565F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1DB04EA9" w14:textId="0FC65C33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47CBC9D9" w14:textId="700B61F2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7FB97221" w14:textId="085C4784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5730393E" w14:textId="7010D264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5064427C" w14:textId="31576823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0142DF6F" w14:textId="02D7FF55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336B0379" w14:textId="54D235A8" w:rsidR="005F7EC4" w:rsidRDefault="005F7EC4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1F614DA4" w14:textId="77777777" w:rsidR="00A24A16" w:rsidRDefault="00A24A16" w:rsidP="005F7EC4">
      <w:pPr>
        <w:spacing w:line="480" w:lineRule="auto"/>
        <w:jc w:val="center"/>
        <w:rPr>
          <w:rFonts w:ascii="Times New Roman" w:hAnsi="Times New Roman" w:cs="Times New Roman" w:hint="eastAsia"/>
        </w:rPr>
      </w:pPr>
    </w:p>
    <w:p w14:paraId="0CF17E03" w14:textId="44D13B58" w:rsidR="005F7EC4" w:rsidRPr="005F7EC4" w:rsidRDefault="005F7EC4" w:rsidP="005F7EC4">
      <w:pPr>
        <w:spacing w:line="480" w:lineRule="auto"/>
        <w:rPr>
          <w:rFonts w:ascii="Times New Roman" w:hAnsi="Times New Roman" w:cs="Times New Roman"/>
          <w:b/>
          <w:bCs/>
        </w:rPr>
      </w:pPr>
      <w:r w:rsidRPr="005F7EC4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5F7EC4">
        <w:rPr>
          <w:rFonts w:ascii="Times New Roman" w:hAnsi="Times New Roman" w:cs="Times New Roman"/>
          <w:b/>
          <w:bCs/>
        </w:rPr>
        <w:t>igure S2</w:t>
      </w:r>
    </w:p>
    <w:p w14:paraId="29DE88D8" w14:textId="240C586D" w:rsidR="005F7EC4" w:rsidRDefault="00C769E8" w:rsidP="005F7EC4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EDBF871" wp14:editId="46F85F3B">
            <wp:extent cx="3366197" cy="2951603"/>
            <wp:effectExtent l="0" t="0" r="5715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196" cy="295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CA024" w14:textId="13C94D7F" w:rsidR="00A24A16" w:rsidRDefault="00A24A16" w:rsidP="00A24A16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</w:rPr>
      </w:pPr>
      <w:r w:rsidRPr="00314889">
        <w:rPr>
          <w:rFonts w:ascii="Times New Roman" w:hAnsi="Times New Roman" w:cs="Times New Roman" w:hint="eastAsia"/>
          <w:b/>
          <w:bCs/>
        </w:rPr>
        <w:t>F</w:t>
      </w:r>
      <w:r w:rsidRPr="00314889">
        <w:rPr>
          <w:rFonts w:ascii="Times New Roman" w:hAnsi="Times New Roman" w:cs="Times New Roman"/>
          <w:b/>
          <w:bCs/>
        </w:rPr>
        <w:t xml:space="preserve">igure S2: </w:t>
      </w:r>
      <w:r>
        <w:rPr>
          <w:rFonts w:ascii="Times New Roman" w:hAnsi="Times New Roman" w:cs="Times New Roman"/>
        </w:rPr>
        <w:t>Dynamic changes of EV-biomarkers during ICI-related therapy. The EV-biomarkers CD9 (A), CD63 (B) and CD81 (C) remained stable at baseline and for all time points. NS, no significance.</w:t>
      </w:r>
    </w:p>
    <w:p w14:paraId="2CAEBB0F" w14:textId="464AF196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4422D7BE" w14:textId="07BB5C1C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39C9479C" w14:textId="79CCF04E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462BC8DC" w14:textId="18C588C0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6D1BE5A5" w14:textId="6245D81C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2C809D0A" w14:textId="5D154D91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154D91B7" w14:textId="72EC5DB9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70D4778B" w14:textId="416A255D" w:rsidR="00A24A16" w:rsidRDefault="00A24A16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/>
        </w:rPr>
      </w:pPr>
    </w:p>
    <w:p w14:paraId="20282CD7" w14:textId="77777777" w:rsidR="00C769E8" w:rsidRDefault="00C769E8" w:rsidP="00A24A16">
      <w:pPr>
        <w:spacing w:beforeLines="50" w:before="156" w:afterLines="50" w:after="156" w:line="480" w:lineRule="auto"/>
        <w:jc w:val="center"/>
        <w:rPr>
          <w:rFonts w:ascii="Times New Roman" w:hAnsi="Times New Roman" w:cs="Times New Roman" w:hint="eastAsia"/>
        </w:rPr>
      </w:pPr>
    </w:p>
    <w:p w14:paraId="1A164765" w14:textId="5B652302" w:rsidR="00A24A16" w:rsidRPr="00A24A16" w:rsidRDefault="00A24A16" w:rsidP="00A24A16">
      <w:pPr>
        <w:spacing w:beforeLines="50" w:before="156" w:afterLines="50" w:after="156" w:line="480" w:lineRule="auto"/>
        <w:rPr>
          <w:rFonts w:ascii="Times New Roman" w:hAnsi="Times New Roman" w:cs="Times New Roman" w:hint="eastAsia"/>
          <w:b/>
          <w:bCs/>
        </w:rPr>
      </w:pPr>
      <w:r w:rsidRPr="00A24A16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24A16">
        <w:rPr>
          <w:rFonts w:ascii="Times New Roman" w:hAnsi="Times New Roman" w:cs="Times New Roman"/>
          <w:b/>
          <w:bCs/>
        </w:rPr>
        <w:t>igure S3</w:t>
      </w:r>
    </w:p>
    <w:p w14:paraId="7AED5086" w14:textId="160898F1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D965FD1" wp14:editId="3C7956ED">
            <wp:extent cx="2925611" cy="3667648"/>
            <wp:effectExtent l="0" t="0" r="825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212" cy="367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01D08" w14:textId="240F5CA2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 w:rsidRPr="00C32D4B">
        <w:rPr>
          <w:rFonts w:ascii="Times New Roman" w:hAnsi="Times New Roman" w:cs="Times New Roman" w:hint="eastAsia"/>
          <w:b/>
          <w:bCs/>
        </w:rPr>
        <w:t>F</w:t>
      </w:r>
      <w:r w:rsidRPr="00C32D4B">
        <w:rPr>
          <w:rFonts w:ascii="Times New Roman" w:hAnsi="Times New Roman" w:cs="Times New Roman"/>
          <w:b/>
          <w:bCs/>
        </w:rPr>
        <w:t xml:space="preserve">igure S3: </w:t>
      </w:r>
      <w:r>
        <w:rPr>
          <w:rFonts w:ascii="Times New Roman" w:hAnsi="Times New Roman" w:cs="Times New Roman"/>
        </w:rPr>
        <w:t>Expressional landscape of EV-derived lncRNA-GC1 in ICI-treated GC. (A) Levels of EV-derived PD-L1 in tissue CPS-negative and CPS-positive GC patients. (B) Levels of EV-derived lncRNA-GC1 in tissue CPS-negative and CPS-positive GC patients. (C) Correlation between circulating T (left panel) or B cells (right panel) and EV-derived T cell marker CD3 or B cell marker CD19 at baseline. (D) Correlation between circulating T (left panel) or B cells (right panel) and EV-derived T cell marker CD3 or B cell marker CD19 for all time points. CPS-negative, CPS=0. CPS-positive, CPS</w:t>
      </w:r>
      <w:r w:rsidRPr="00E87559">
        <w:rPr>
          <w:rFonts w:ascii="Times New Roman" w:eastAsia="等线" w:hAnsi="Times New Roman" w:cs="Times New Roman"/>
        </w:rPr>
        <w:t>≥</w:t>
      </w:r>
      <w:r>
        <w:rPr>
          <w:rFonts w:ascii="Times New Roman" w:hAnsi="Times New Roman" w:cs="Times New Roman"/>
        </w:rPr>
        <w:t>1. BL, baseline. NS, no significance.</w:t>
      </w:r>
    </w:p>
    <w:p w14:paraId="7C6171B7" w14:textId="41546288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5D54C85B" w14:textId="189739CE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7C915924" w14:textId="6F15BAF4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2FB20CAA" w14:textId="21FAFAB8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34713BFD" w14:textId="771715E6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</w:p>
    <w:p w14:paraId="4BB01336" w14:textId="77777777" w:rsidR="00A24A16" w:rsidRDefault="00A24A16" w:rsidP="005F7EC4">
      <w:pPr>
        <w:spacing w:line="480" w:lineRule="auto"/>
        <w:jc w:val="center"/>
        <w:rPr>
          <w:rFonts w:ascii="Times New Roman" w:hAnsi="Times New Roman" w:cs="Times New Roman" w:hint="eastAsia"/>
        </w:rPr>
      </w:pPr>
    </w:p>
    <w:p w14:paraId="022BD0B5" w14:textId="7BCB0805" w:rsidR="00A24A16" w:rsidRPr="00A24A16" w:rsidRDefault="00A24A16" w:rsidP="00A24A16">
      <w:pPr>
        <w:spacing w:line="480" w:lineRule="auto"/>
        <w:rPr>
          <w:rFonts w:ascii="Times New Roman" w:hAnsi="Times New Roman" w:cs="Times New Roman"/>
          <w:b/>
          <w:bCs/>
        </w:rPr>
      </w:pPr>
      <w:r w:rsidRPr="00A24A16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24A16">
        <w:rPr>
          <w:rFonts w:ascii="Times New Roman" w:hAnsi="Times New Roman" w:cs="Times New Roman"/>
          <w:b/>
          <w:bCs/>
        </w:rPr>
        <w:t>igure S4</w:t>
      </w:r>
    </w:p>
    <w:p w14:paraId="1D1AF407" w14:textId="7201A5EA" w:rsidR="00A24A16" w:rsidRDefault="00A24A16" w:rsidP="005F7EC4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CA872C1" wp14:editId="620EEF5D">
            <wp:extent cx="4422848" cy="3959051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256" cy="3965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6E7C3" w14:textId="3CDDE5CB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3C0149">
        <w:rPr>
          <w:rFonts w:ascii="Times New Roman" w:hAnsi="Times New Roman" w:cs="Times New Roman" w:hint="eastAsia"/>
          <w:b/>
          <w:bCs/>
        </w:rPr>
        <w:t>F</w:t>
      </w:r>
      <w:r w:rsidRPr="003C0149">
        <w:rPr>
          <w:rFonts w:ascii="Times New Roman" w:hAnsi="Times New Roman" w:cs="Times New Roman"/>
          <w:b/>
          <w:bCs/>
        </w:rPr>
        <w:t xml:space="preserve">igure S4: </w:t>
      </w:r>
      <w:r>
        <w:rPr>
          <w:rFonts w:ascii="Times New Roman" w:hAnsi="Times New Roman" w:cs="Times New Roman"/>
        </w:rPr>
        <w:t xml:space="preserve">EV-derived lncRNA-GC1 dynamically monitored immunotherapeutic outcomes of patients receiving ICI-related therapy in retrospective validation cohort (cohort 2). (A) </w:t>
      </w:r>
      <w:r w:rsidRPr="00A6367D">
        <w:rPr>
          <w:rFonts w:ascii="Times New Roman" w:hAnsi="Times New Roman" w:cs="Times New Roman"/>
          <w:color w:val="000000" w:themeColor="text1"/>
        </w:rPr>
        <w:t>Kaplan-Meier curves of PFS according to levels</w:t>
      </w:r>
      <w:r>
        <w:rPr>
          <w:rFonts w:ascii="Times New Roman" w:hAnsi="Times New Roman" w:cs="Times New Roman"/>
          <w:color w:val="000000" w:themeColor="text1"/>
        </w:rPr>
        <w:t xml:space="preserve"> of circulating EV-derived lncRNA-GC1. (B) </w:t>
      </w:r>
      <w:r w:rsidRPr="00A6367D">
        <w:rPr>
          <w:rFonts w:ascii="Times New Roman" w:hAnsi="Times New Roman" w:cs="Times New Roman"/>
          <w:color w:val="000000" w:themeColor="text1"/>
        </w:rPr>
        <w:t xml:space="preserve">Kaplan-Meier curves of </w:t>
      </w:r>
      <w:r>
        <w:rPr>
          <w:rFonts w:ascii="Times New Roman" w:hAnsi="Times New Roman" w:cs="Times New Roman"/>
          <w:color w:val="000000" w:themeColor="text1"/>
        </w:rPr>
        <w:t>O</w:t>
      </w:r>
      <w:r w:rsidRPr="00A6367D">
        <w:rPr>
          <w:rFonts w:ascii="Times New Roman" w:hAnsi="Times New Roman" w:cs="Times New Roman"/>
          <w:color w:val="000000" w:themeColor="text1"/>
        </w:rPr>
        <w:t>S according to levels</w:t>
      </w:r>
      <w:r>
        <w:rPr>
          <w:rFonts w:ascii="Times New Roman" w:hAnsi="Times New Roman" w:cs="Times New Roman"/>
          <w:color w:val="000000" w:themeColor="text1"/>
        </w:rPr>
        <w:t xml:space="preserve"> of circulating EV-derived lncRNA-GC1. (C) Dynamic changes of circulating EV-derived lncRNA-GC1 along with the timeline of </w:t>
      </w:r>
      <w:r w:rsidRPr="00D628C2">
        <w:rPr>
          <w:rFonts w:ascii="Times New Roman" w:hAnsi="Times New Roman" w:cs="Times New Roman"/>
          <w:color w:val="000000" w:themeColor="text1"/>
        </w:rPr>
        <w:t>ICI</w:t>
      </w:r>
      <w:r>
        <w:rPr>
          <w:rFonts w:ascii="Times New Roman" w:hAnsi="Times New Roman" w:cs="Times New Roman"/>
          <w:color w:val="000000" w:themeColor="text1"/>
        </w:rPr>
        <w:t>-related therapy were compared between patients defined as EV-derived lncRNA-GC1</w:t>
      </w:r>
      <w:r>
        <w:rPr>
          <w:rFonts w:ascii="Times New Roman" w:hAnsi="Times New Roman" w:cs="Times New Roman"/>
          <w:color w:val="000000" w:themeColor="text1"/>
          <w:vertAlign w:val="superscript"/>
        </w:rPr>
        <w:t>high</w:t>
      </w:r>
      <w:r>
        <w:rPr>
          <w:rFonts w:ascii="Times New Roman" w:hAnsi="Times New Roman" w:cs="Times New Roman"/>
          <w:color w:val="000000" w:themeColor="text1"/>
        </w:rPr>
        <w:t xml:space="preserve"> or EV-derived lncRNA-GC1</w:t>
      </w:r>
      <w:r>
        <w:rPr>
          <w:rFonts w:ascii="Times New Roman" w:hAnsi="Times New Roman" w:cs="Times New Roman"/>
          <w:color w:val="000000" w:themeColor="text1"/>
          <w:vertAlign w:val="superscript"/>
        </w:rPr>
        <w:t>low</w:t>
      </w:r>
      <w:r>
        <w:rPr>
          <w:rFonts w:ascii="Times New Roman" w:hAnsi="Times New Roman" w:cs="Times New Roman"/>
          <w:color w:val="000000" w:themeColor="text1"/>
        </w:rPr>
        <w:t xml:space="preserve">. (D-G) </w:t>
      </w:r>
      <w:r w:rsidRPr="00D628C2">
        <w:rPr>
          <w:rFonts w:ascii="Times New Roman" w:hAnsi="Times New Roman" w:cs="Times New Roman"/>
          <w:color w:val="000000" w:themeColor="text1"/>
        </w:rPr>
        <w:t xml:space="preserve">Dynamic changes of </w:t>
      </w:r>
      <w:r>
        <w:rPr>
          <w:rFonts w:ascii="Times New Roman" w:hAnsi="Times New Roman" w:cs="Times New Roman"/>
          <w:color w:val="000000" w:themeColor="text1"/>
        </w:rPr>
        <w:t xml:space="preserve">circulating </w:t>
      </w:r>
      <w:r w:rsidRPr="00D628C2">
        <w:rPr>
          <w:rFonts w:ascii="Times New Roman" w:hAnsi="Times New Roman" w:cs="Times New Roman"/>
          <w:color w:val="000000" w:themeColor="text1"/>
        </w:rPr>
        <w:t>EV-</w:t>
      </w:r>
      <w:r>
        <w:rPr>
          <w:rFonts w:ascii="Times New Roman" w:hAnsi="Times New Roman" w:cs="Times New Roman"/>
          <w:color w:val="000000" w:themeColor="text1"/>
        </w:rPr>
        <w:t>derived lncRNA-GC1</w:t>
      </w:r>
      <w:r w:rsidRPr="00D628C2">
        <w:rPr>
          <w:rFonts w:ascii="Times New Roman" w:hAnsi="Times New Roman" w:cs="Times New Roman"/>
          <w:color w:val="000000" w:themeColor="text1"/>
        </w:rPr>
        <w:t xml:space="preserve"> along with the timeline of ICI</w:t>
      </w:r>
      <w:r>
        <w:rPr>
          <w:rFonts w:ascii="Times New Roman" w:hAnsi="Times New Roman" w:cs="Times New Roman"/>
          <w:color w:val="000000" w:themeColor="text1"/>
        </w:rPr>
        <w:t>-related therapy</w:t>
      </w:r>
      <w:r w:rsidRPr="00D628C2">
        <w:rPr>
          <w:rFonts w:ascii="Times New Roman" w:hAnsi="Times New Roman" w:cs="Times New Roman"/>
          <w:color w:val="000000" w:themeColor="text1"/>
        </w:rPr>
        <w:t xml:space="preserve"> were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D628C2">
        <w:rPr>
          <w:rFonts w:ascii="Times New Roman" w:hAnsi="Times New Roman" w:cs="Times New Roman"/>
          <w:color w:val="000000" w:themeColor="text1"/>
        </w:rPr>
        <w:t>compared between patients with/without overall response</w:t>
      </w:r>
      <w:r>
        <w:rPr>
          <w:rFonts w:ascii="Times New Roman" w:hAnsi="Times New Roman" w:cs="Times New Roman"/>
          <w:color w:val="000000" w:themeColor="text1"/>
        </w:rPr>
        <w:t xml:space="preserve"> (D)</w:t>
      </w:r>
      <w:r w:rsidRPr="00D628C2">
        <w:rPr>
          <w:rFonts w:ascii="Times New Roman" w:hAnsi="Times New Roman" w:cs="Times New Roman"/>
          <w:color w:val="000000" w:themeColor="text1"/>
        </w:rPr>
        <w:t>, disease control</w:t>
      </w:r>
      <w:r>
        <w:rPr>
          <w:rFonts w:ascii="Times New Roman" w:hAnsi="Times New Roman" w:cs="Times New Roman"/>
          <w:color w:val="000000" w:themeColor="text1"/>
        </w:rPr>
        <w:t xml:space="preserve"> (E)</w:t>
      </w:r>
      <w:r w:rsidRPr="00D628C2">
        <w:rPr>
          <w:rFonts w:ascii="Times New Roman" w:hAnsi="Times New Roman" w:cs="Times New Roman"/>
          <w:color w:val="000000" w:themeColor="text1"/>
        </w:rPr>
        <w:t>, disease progression</w:t>
      </w:r>
      <w:r>
        <w:rPr>
          <w:rFonts w:ascii="Times New Roman" w:hAnsi="Times New Roman" w:cs="Times New Roman"/>
          <w:color w:val="000000" w:themeColor="text1"/>
        </w:rPr>
        <w:t xml:space="preserve"> (F)</w:t>
      </w:r>
      <w:r w:rsidRPr="00D628C2">
        <w:rPr>
          <w:rFonts w:ascii="Times New Roman" w:hAnsi="Times New Roman" w:cs="Times New Roman"/>
          <w:color w:val="000000" w:themeColor="text1"/>
        </w:rPr>
        <w:t xml:space="preserve"> and cancer death</w:t>
      </w:r>
      <w:r>
        <w:rPr>
          <w:rFonts w:ascii="Times New Roman" w:hAnsi="Times New Roman" w:cs="Times New Roman"/>
          <w:color w:val="000000" w:themeColor="text1"/>
        </w:rPr>
        <w:t xml:space="preserve"> (G)</w:t>
      </w:r>
      <w:r w:rsidRPr="00D628C2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(H)</w:t>
      </w:r>
      <w:r w:rsidRPr="009F1772">
        <w:rPr>
          <w:rFonts w:ascii="Times New Roman" w:hAnsi="Times New Roman" w:cs="Times New Roman"/>
          <w:color w:val="000000" w:themeColor="text1"/>
        </w:rPr>
        <w:t xml:space="preserve"> </w:t>
      </w:r>
      <w:r w:rsidRPr="003C392E">
        <w:rPr>
          <w:rFonts w:ascii="Times New Roman" w:hAnsi="Times New Roman" w:cs="Times New Roman"/>
          <w:color w:val="000000" w:themeColor="text1"/>
        </w:rPr>
        <w:t xml:space="preserve">Proportion of patients who </w:t>
      </w:r>
      <w:r>
        <w:rPr>
          <w:rFonts w:ascii="Times New Roman" w:hAnsi="Times New Roman" w:cs="Times New Roman"/>
          <w:color w:val="000000" w:themeColor="text1"/>
        </w:rPr>
        <w:t>were DCB</w:t>
      </w:r>
      <w:r w:rsidRPr="003C392E">
        <w:rPr>
          <w:rFonts w:ascii="Times New Roman" w:hAnsi="Times New Roman" w:cs="Times New Roman"/>
          <w:color w:val="000000" w:themeColor="text1"/>
        </w:rPr>
        <w:t xml:space="preserve"> or </w:t>
      </w:r>
      <w:r>
        <w:rPr>
          <w:rFonts w:ascii="Times New Roman" w:hAnsi="Times New Roman" w:cs="Times New Roman"/>
          <w:color w:val="000000" w:themeColor="text1"/>
        </w:rPr>
        <w:t>NCB</w:t>
      </w:r>
      <w:r w:rsidRPr="003C392E">
        <w:rPr>
          <w:rFonts w:ascii="Times New Roman" w:hAnsi="Times New Roman" w:cs="Times New Roman"/>
          <w:color w:val="000000" w:themeColor="text1"/>
        </w:rPr>
        <w:t xml:space="preserve"> according to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3C392E">
        <w:rPr>
          <w:rFonts w:ascii="Times New Roman" w:hAnsi="Times New Roman" w:cs="Times New Roman"/>
          <w:color w:val="000000" w:themeColor="text1"/>
        </w:rPr>
        <w:t>level</w:t>
      </w:r>
      <w:r>
        <w:rPr>
          <w:rFonts w:ascii="Times New Roman" w:hAnsi="Times New Roman" w:cs="Times New Roman"/>
          <w:color w:val="000000" w:themeColor="text1"/>
        </w:rPr>
        <w:t>s</w:t>
      </w:r>
      <w:r w:rsidRPr="003C392E"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/>
          <w:color w:val="000000" w:themeColor="text1"/>
        </w:rPr>
        <w:t>circulating EV-derived lncRNA-GC1</w:t>
      </w:r>
      <w:r w:rsidRPr="003C392E">
        <w:rPr>
          <w:rFonts w:ascii="Times New Roman" w:hAnsi="Times New Roman" w:cs="Times New Roman"/>
          <w:color w:val="000000" w:themeColor="text1"/>
        </w:rPr>
        <w:t xml:space="preserve"> classified as high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C392E">
        <w:rPr>
          <w:rFonts w:ascii="Times New Roman" w:hAnsi="Times New Roman" w:cs="Times New Roman"/>
          <w:color w:val="000000" w:themeColor="text1"/>
        </w:rPr>
        <w:t>and low.</w:t>
      </w:r>
      <w:r>
        <w:rPr>
          <w:rFonts w:ascii="Times New Roman" w:hAnsi="Times New Roman" w:cs="Times New Roman"/>
          <w:color w:val="000000" w:themeColor="text1"/>
        </w:rPr>
        <w:t xml:space="preserve"> (I) </w:t>
      </w:r>
      <w:r w:rsidRPr="00F32145">
        <w:rPr>
          <w:rFonts w:ascii="Times New Roman" w:hAnsi="Times New Roman" w:cs="Times New Roman"/>
          <w:color w:val="000000" w:themeColor="text1"/>
        </w:rPr>
        <w:t xml:space="preserve">ROC curve was used to measure the specificity and sensitivity of </w:t>
      </w:r>
      <w:r>
        <w:rPr>
          <w:rFonts w:ascii="Times New Roman" w:hAnsi="Times New Roman" w:cs="Times New Roman"/>
          <w:color w:val="000000" w:themeColor="text1"/>
        </w:rPr>
        <w:t xml:space="preserve">circulating </w:t>
      </w:r>
      <w:r w:rsidRPr="00F32145">
        <w:rPr>
          <w:rFonts w:ascii="Times New Roman" w:hAnsi="Times New Roman" w:cs="Times New Roman"/>
          <w:color w:val="000000" w:themeColor="text1"/>
        </w:rPr>
        <w:t xml:space="preserve">EV-derived </w:t>
      </w:r>
      <w:r>
        <w:rPr>
          <w:rFonts w:ascii="Times New Roman" w:hAnsi="Times New Roman" w:cs="Times New Roman"/>
          <w:color w:val="000000" w:themeColor="text1"/>
        </w:rPr>
        <w:t>lncRNA-GC1</w:t>
      </w:r>
      <w:r w:rsidRPr="00F32145">
        <w:rPr>
          <w:rFonts w:ascii="Times New Roman" w:hAnsi="Times New Roman" w:cs="Times New Roman"/>
          <w:color w:val="000000" w:themeColor="text1"/>
        </w:rPr>
        <w:t xml:space="preserve"> in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32145">
        <w:rPr>
          <w:rFonts w:ascii="Times New Roman" w:hAnsi="Times New Roman" w:cs="Times New Roman"/>
          <w:color w:val="000000" w:themeColor="text1"/>
        </w:rPr>
        <w:t xml:space="preserve">characterizing patients reached </w:t>
      </w:r>
      <w:r>
        <w:rPr>
          <w:rFonts w:ascii="Times New Roman" w:hAnsi="Times New Roman" w:cs="Times New Roman"/>
          <w:color w:val="000000" w:themeColor="text1"/>
        </w:rPr>
        <w:t>progression</w:t>
      </w:r>
      <w:r w:rsidRPr="00F32145">
        <w:rPr>
          <w:rFonts w:ascii="Times New Roman" w:hAnsi="Times New Roman" w:cs="Times New Roman"/>
          <w:color w:val="000000" w:themeColor="text1"/>
        </w:rPr>
        <w:t xml:space="preserve"> longer than 6 months.</w:t>
      </w:r>
      <w:r>
        <w:rPr>
          <w:rFonts w:ascii="Times New Roman" w:hAnsi="Times New Roman" w:cs="Times New Roman"/>
          <w:color w:val="000000" w:themeColor="text1"/>
        </w:rPr>
        <w:t xml:space="preserve"> ORR, o</w:t>
      </w:r>
      <w:r w:rsidRPr="007546FF">
        <w:rPr>
          <w:rFonts w:ascii="Times New Roman" w:hAnsi="Times New Roman" w:cs="Times New Roman"/>
          <w:color w:val="000000" w:themeColor="text1"/>
        </w:rPr>
        <w:t>bjective response rate</w:t>
      </w:r>
      <w:r>
        <w:rPr>
          <w:rFonts w:ascii="Times New Roman" w:hAnsi="Times New Roman" w:cs="Times New Roman"/>
          <w:color w:val="000000" w:themeColor="text1"/>
        </w:rPr>
        <w:t xml:space="preserve">. DCR, </w:t>
      </w:r>
      <w:r w:rsidRPr="007546FF">
        <w:rPr>
          <w:rFonts w:ascii="Times New Roman" w:hAnsi="Times New Roman" w:cs="Times New Roman"/>
          <w:color w:val="000000" w:themeColor="text1"/>
        </w:rPr>
        <w:t>disease control rate</w:t>
      </w:r>
      <w:r>
        <w:rPr>
          <w:rFonts w:ascii="Times New Roman" w:hAnsi="Times New Roman" w:cs="Times New Roman"/>
          <w:color w:val="000000" w:themeColor="text1"/>
        </w:rPr>
        <w:t xml:space="preserve">. PFS, progression-free survival. OS, overall survival. ROC, </w:t>
      </w:r>
      <w:r w:rsidRPr="00F32145">
        <w:rPr>
          <w:rFonts w:ascii="Times New Roman" w:hAnsi="Times New Roman" w:cs="Times New Roman"/>
          <w:color w:val="000000" w:themeColor="text1"/>
        </w:rPr>
        <w:t>receiver operator characteristic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7C57B28" w14:textId="6BCCA996" w:rsidR="00A24A16" w:rsidRPr="00A24A16" w:rsidRDefault="00A24A16" w:rsidP="00A24A1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A24A16">
        <w:rPr>
          <w:rFonts w:ascii="Times New Roman" w:hAnsi="Times New Roman" w:cs="Times New Roman" w:hint="eastAsia"/>
          <w:b/>
          <w:bCs/>
          <w:color w:val="000000" w:themeColor="text1"/>
        </w:rPr>
        <w:lastRenderedPageBreak/>
        <w:t>F</w:t>
      </w:r>
      <w:r w:rsidRPr="00A24A16">
        <w:rPr>
          <w:rFonts w:ascii="Times New Roman" w:hAnsi="Times New Roman" w:cs="Times New Roman"/>
          <w:b/>
          <w:bCs/>
          <w:color w:val="000000" w:themeColor="text1"/>
        </w:rPr>
        <w:t>igure S5</w:t>
      </w:r>
    </w:p>
    <w:p w14:paraId="071CA1FB" w14:textId="0E8561CF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BF2FC76" wp14:editId="328E0C94">
            <wp:extent cx="3747883" cy="3436537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550" cy="344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60616" w14:textId="28F4D567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3F05CF">
        <w:rPr>
          <w:rFonts w:ascii="Times New Roman" w:hAnsi="Times New Roman" w:cs="Times New Roman" w:hint="eastAsia"/>
          <w:b/>
          <w:bCs/>
          <w:color w:val="000000" w:themeColor="text1"/>
        </w:rPr>
        <w:t>F</w:t>
      </w:r>
      <w:r w:rsidRPr="003F05CF">
        <w:rPr>
          <w:rFonts w:ascii="Times New Roman" w:hAnsi="Times New Roman" w:cs="Times New Roman"/>
          <w:b/>
          <w:bCs/>
          <w:color w:val="000000" w:themeColor="text1"/>
        </w:rPr>
        <w:t xml:space="preserve">igure S5: </w:t>
      </w:r>
      <w:r>
        <w:rPr>
          <w:rFonts w:ascii="Times New Roman" w:hAnsi="Times New Roman" w:cs="Times New Roman"/>
        </w:rPr>
        <w:t xml:space="preserve">EV-derived lncRNA-GC1 dynamically monitored immunotherapeutic outcomes of patients receiving ICI-related therapy in retrospective validation cohort (cohort 3). (A) </w:t>
      </w:r>
      <w:r w:rsidRPr="00A6367D">
        <w:rPr>
          <w:rFonts w:ascii="Times New Roman" w:hAnsi="Times New Roman" w:cs="Times New Roman"/>
          <w:color w:val="000000" w:themeColor="text1"/>
        </w:rPr>
        <w:t>Kaplan-Meier curves of PFS according to levels</w:t>
      </w:r>
      <w:r>
        <w:rPr>
          <w:rFonts w:ascii="Times New Roman" w:hAnsi="Times New Roman" w:cs="Times New Roman"/>
          <w:color w:val="000000" w:themeColor="text1"/>
        </w:rPr>
        <w:t xml:space="preserve"> of circulating EV-derived lncRNA-GC1. (B) </w:t>
      </w:r>
      <w:r w:rsidRPr="00A6367D">
        <w:rPr>
          <w:rFonts w:ascii="Times New Roman" w:hAnsi="Times New Roman" w:cs="Times New Roman"/>
          <w:color w:val="000000" w:themeColor="text1"/>
        </w:rPr>
        <w:t xml:space="preserve">Kaplan-Meier curves of </w:t>
      </w:r>
      <w:r>
        <w:rPr>
          <w:rFonts w:ascii="Times New Roman" w:hAnsi="Times New Roman" w:cs="Times New Roman"/>
          <w:color w:val="000000" w:themeColor="text1"/>
        </w:rPr>
        <w:t>O</w:t>
      </w:r>
      <w:r w:rsidRPr="00A6367D">
        <w:rPr>
          <w:rFonts w:ascii="Times New Roman" w:hAnsi="Times New Roman" w:cs="Times New Roman"/>
          <w:color w:val="000000" w:themeColor="text1"/>
        </w:rPr>
        <w:t>S according to levels</w:t>
      </w:r>
      <w:r>
        <w:rPr>
          <w:rFonts w:ascii="Times New Roman" w:hAnsi="Times New Roman" w:cs="Times New Roman"/>
          <w:color w:val="000000" w:themeColor="text1"/>
        </w:rPr>
        <w:t xml:space="preserve"> of circulating EV-derived lncRNA-GC1. (C) Dynamic changes of circulating EV-derived lncRNA-GC1 along with the timeline of </w:t>
      </w:r>
      <w:r w:rsidRPr="00D628C2">
        <w:rPr>
          <w:rFonts w:ascii="Times New Roman" w:hAnsi="Times New Roman" w:cs="Times New Roman"/>
          <w:color w:val="000000" w:themeColor="text1"/>
        </w:rPr>
        <w:t>ICI</w:t>
      </w:r>
      <w:r>
        <w:rPr>
          <w:rFonts w:ascii="Times New Roman" w:hAnsi="Times New Roman" w:cs="Times New Roman"/>
          <w:color w:val="000000" w:themeColor="text1"/>
        </w:rPr>
        <w:t>-related therapy were compared between patients defined as EV-derived lncRNA-GC1</w:t>
      </w:r>
      <w:r>
        <w:rPr>
          <w:rFonts w:ascii="Times New Roman" w:hAnsi="Times New Roman" w:cs="Times New Roman"/>
          <w:color w:val="000000" w:themeColor="text1"/>
          <w:vertAlign w:val="superscript"/>
        </w:rPr>
        <w:t>high</w:t>
      </w:r>
      <w:r>
        <w:rPr>
          <w:rFonts w:ascii="Times New Roman" w:hAnsi="Times New Roman" w:cs="Times New Roman"/>
          <w:color w:val="000000" w:themeColor="text1"/>
        </w:rPr>
        <w:t xml:space="preserve"> or EV-derived lncRNA-GC1</w:t>
      </w:r>
      <w:r>
        <w:rPr>
          <w:rFonts w:ascii="Times New Roman" w:hAnsi="Times New Roman" w:cs="Times New Roman"/>
          <w:color w:val="000000" w:themeColor="text1"/>
          <w:vertAlign w:val="superscript"/>
        </w:rPr>
        <w:t>low</w:t>
      </w:r>
      <w:r>
        <w:rPr>
          <w:rFonts w:ascii="Times New Roman" w:hAnsi="Times New Roman" w:cs="Times New Roman"/>
          <w:color w:val="000000" w:themeColor="text1"/>
        </w:rPr>
        <w:t xml:space="preserve">. (D-G) </w:t>
      </w:r>
      <w:r w:rsidRPr="00D628C2">
        <w:rPr>
          <w:rFonts w:ascii="Times New Roman" w:hAnsi="Times New Roman" w:cs="Times New Roman"/>
          <w:color w:val="000000" w:themeColor="text1"/>
        </w:rPr>
        <w:t xml:space="preserve">Dynamic changes of </w:t>
      </w:r>
      <w:r>
        <w:rPr>
          <w:rFonts w:ascii="Times New Roman" w:hAnsi="Times New Roman" w:cs="Times New Roman"/>
          <w:color w:val="000000" w:themeColor="text1"/>
        </w:rPr>
        <w:t xml:space="preserve">circulating </w:t>
      </w:r>
      <w:r w:rsidRPr="00D628C2">
        <w:rPr>
          <w:rFonts w:ascii="Times New Roman" w:hAnsi="Times New Roman" w:cs="Times New Roman"/>
          <w:color w:val="000000" w:themeColor="text1"/>
        </w:rPr>
        <w:t>EV-</w:t>
      </w:r>
      <w:r>
        <w:rPr>
          <w:rFonts w:ascii="Times New Roman" w:hAnsi="Times New Roman" w:cs="Times New Roman"/>
          <w:color w:val="000000" w:themeColor="text1"/>
        </w:rPr>
        <w:t>derived lncRNA-GC1</w:t>
      </w:r>
      <w:r w:rsidRPr="00D628C2">
        <w:rPr>
          <w:rFonts w:ascii="Times New Roman" w:hAnsi="Times New Roman" w:cs="Times New Roman"/>
          <w:color w:val="000000" w:themeColor="text1"/>
        </w:rPr>
        <w:t xml:space="preserve"> along with the timeline of ICI</w:t>
      </w:r>
      <w:r>
        <w:rPr>
          <w:rFonts w:ascii="Times New Roman" w:hAnsi="Times New Roman" w:cs="Times New Roman"/>
          <w:color w:val="000000" w:themeColor="text1"/>
        </w:rPr>
        <w:t>-related therapy</w:t>
      </w:r>
      <w:r w:rsidRPr="00D628C2">
        <w:rPr>
          <w:rFonts w:ascii="Times New Roman" w:hAnsi="Times New Roman" w:cs="Times New Roman"/>
          <w:color w:val="000000" w:themeColor="text1"/>
        </w:rPr>
        <w:t xml:space="preserve"> were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D628C2">
        <w:rPr>
          <w:rFonts w:ascii="Times New Roman" w:hAnsi="Times New Roman" w:cs="Times New Roman"/>
          <w:color w:val="000000" w:themeColor="text1"/>
        </w:rPr>
        <w:t>compared between patients with/without overall response</w:t>
      </w:r>
      <w:r>
        <w:rPr>
          <w:rFonts w:ascii="Times New Roman" w:hAnsi="Times New Roman" w:cs="Times New Roman"/>
          <w:color w:val="000000" w:themeColor="text1"/>
        </w:rPr>
        <w:t xml:space="preserve"> (D)</w:t>
      </w:r>
      <w:r w:rsidRPr="00D628C2">
        <w:rPr>
          <w:rFonts w:ascii="Times New Roman" w:hAnsi="Times New Roman" w:cs="Times New Roman"/>
          <w:color w:val="000000" w:themeColor="text1"/>
        </w:rPr>
        <w:t>, disease control</w:t>
      </w:r>
      <w:r>
        <w:rPr>
          <w:rFonts w:ascii="Times New Roman" w:hAnsi="Times New Roman" w:cs="Times New Roman"/>
          <w:color w:val="000000" w:themeColor="text1"/>
        </w:rPr>
        <w:t xml:space="preserve"> (E)</w:t>
      </w:r>
      <w:r w:rsidRPr="00D628C2">
        <w:rPr>
          <w:rFonts w:ascii="Times New Roman" w:hAnsi="Times New Roman" w:cs="Times New Roman"/>
          <w:color w:val="000000" w:themeColor="text1"/>
        </w:rPr>
        <w:t>, disease progression</w:t>
      </w:r>
      <w:r>
        <w:rPr>
          <w:rFonts w:ascii="Times New Roman" w:hAnsi="Times New Roman" w:cs="Times New Roman"/>
          <w:color w:val="000000" w:themeColor="text1"/>
        </w:rPr>
        <w:t xml:space="preserve"> (F)</w:t>
      </w:r>
      <w:r w:rsidRPr="00D628C2">
        <w:rPr>
          <w:rFonts w:ascii="Times New Roman" w:hAnsi="Times New Roman" w:cs="Times New Roman"/>
          <w:color w:val="000000" w:themeColor="text1"/>
        </w:rPr>
        <w:t xml:space="preserve"> and cancer death</w:t>
      </w:r>
      <w:r>
        <w:rPr>
          <w:rFonts w:ascii="Times New Roman" w:hAnsi="Times New Roman" w:cs="Times New Roman"/>
          <w:color w:val="000000" w:themeColor="text1"/>
        </w:rPr>
        <w:t xml:space="preserve"> (G)</w:t>
      </w:r>
      <w:r w:rsidRPr="00D628C2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(H)</w:t>
      </w:r>
      <w:r w:rsidRPr="009F1772">
        <w:rPr>
          <w:rFonts w:ascii="Times New Roman" w:hAnsi="Times New Roman" w:cs="Times New Roman"/>
          <w:color w:val="000000" w:themeColor="text1"/>
        </w:rPr>
        <w:t xml:space="preserve"> </w:t>
      </w:r>
      <w:r w:rsidRPr="003C392E">
        <w:rPr>
          <w:rFonts w:ascii="Times New Roman" w:hAnsi="Times New Roman" w:cs="Times New Roman"/>
          <w:color w:val="000000" w:themeColor="text1"/>
        </w:rPr>
        <w:t xml:space="preserve">Proportion of patients who </w:t>
      </w:r>
      <w:r>
        <w:rPr>
          <w:rFonts w:ascii="Times New Roman" w:hAnsi="Times New Roman" w:cs="Times New Roman"/>
          <w:color w:val="000000" w:themeColor="text1"/>
        </w:rPr>
        <w:t>were DCB</w:t>
      </w:r>
      <w:r w:rsidRPr="003C392E">
        <w:rPr>
          <w:rFonts w:ascii="Times New Roman" w:hAnsi="Times New Roman" w:cs="Times New Roman"/>
          <w:color w:val="000000" w:themeColor="text1"/>
        </w:rPr>
        <w:t xml:space="preserve"> or </w:t>
      </w:r>
      <w:r>
        <w:rPr>
          <w:rFonts w:ascii="Times New Roman" w:hAnsi="Times New Roman" w:cs="Times New Roman"/>
          <w:color w:val="000000" w:themeColor="text1"/>
        </w:rPr>
        <w:t>NCB</w:t>
      </w:r>
      <w:r w:rsidRPr="003C392E">
        <w:rPr>
          <w:rFonts w:ascii="Times New Roman" w:hAnsi="Times New Roman" w:cs="Times New Roman"/>
          <w:color w:val="000000" w:themeColor="text1"/>
        </w:rPr>
        <w:t xml:space="preserve"> according to </w:t>
      </w:r>
      <w:r>
        <w:rPr>
          <w:rFonts w:ascii="Times New Roman" w:hAnsi="Times New Roman" w:cs="Times New Roman"/>
          <w:color w:val="000000" w:themeColor="text1"/>
        </w:rPr>
        <w:t xml:space="preserve">the </w:t>
      </w:r>
      <w:r w:rsidRPr="003C392E">
        <w:rPr>
          <w:rFonts w:ascii="Times New Roman" w:hAnsi="Times New Roman" w:cs="Times New Roman"/>
          <w:color w:val="000000" w:themeColor="text1"/>
        </w:rPr>
        <w:t>level</w:t>
      </w:r>
      <w:r>
        <w:rPr>
          <w:rFonts w:ascii="Times New Roman" w:hAnsi="Times New Roman" w:cs="Times New Roman"/>
          <w:color w:val="000000" w:themeColor="text1"/>
        </w:rPr>
        <w:t>s</w:t>
      </w:r>
      <w:r w:rsidRPr="003C392E">
        <w:rPr>
          <w:rFonts w:ascii="Times New Roman" w:hAnsi="Times New Roman" w:cs="Times New Roman"/>
          <w:color w:val="000000" w:themeColor="text1"/>
        </w:rPr>
        <w:t xml:space="preserve"> of </w:t>
      </w:r>
      <w:r>
        <w:rPr>
          <w:rFonts w:ascii="Times New Roman" w:hAnsi="Times New Roman" w:cs="Times New Roman"/>
          <w:color w:val="000000" w:themeColor="text1"/>
        </w:rPr>
        <w:t>circulating EV-derived lncRNA-GC1</w:t>
      </w:r>
      <w:r w:rsidRPr="003C392E">
        <w:rPr>
          <w:rFonts w:ascii="Times New Roman" w:hAnsi="Times New Roman" w:cs="Times New Roman"/>
          <w:color w:val="000000" w:themeColor="text1"/>
        </w:rPr>
        <w:t xml:space="preserve"> classified as high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3C392E">
        <w:rPr>
          <w:rFonts w:ascii="Times New Roman" w:hAnsi="Times New Roman" w:cs="Times New Roman"/>
          <w:color w:val="000000" w:themeColor="text1"/>
        </w:rPr>
        <w:t>and low.</w:t>
      </w:r>
      <w:r>
        <w:rPr>
          <w:rFonts w:ascii="Times New Roman" w:hAnsi="Times New Roman" w:cs="Times New Roman"/>
          <w:color w:val="000000" w:themeColor="text1"/>
        </w:rPr>
        <w:t xml:space="preserve"> (I) </w:t>
      </w:r>
      <w:r w:rsidRPr="00F32145">
        <w:rPr>
          <w:rFonts w:ascii="Times New Roman" w:hAnsi="Times New Roman" w:cs="Times New Roman"/>
          <w:color w:val="000000" w:themeColor="text1"/>
        </w:rPr>
        <w:t xml:space="preserve">ROC curve was used to measure the specificity and sensitivity of </w:t>
      </w:r>
      <w:r>
        <w:rPr>
          <w:rFonts w:ascii="Times New Roman" w:hAnsi="Times New Roman" w:cs="Times New Roman"/>
          <w:color w:val="000000" w:themeColor="text1"/>
        </w:rPr>
        <w:t xml:space="preserve">circulating </w:t>
      </w:r>
      <w:r w:rsidRPr="00F32145">
        <w:rPr>
          <w:rFonts w:ascii="Times New Roman" w:hAnsi="Times New Roman" w:cs="Times New Roman"/>
          <w:color w:val="000000" w:themeColor="text1"/>
        </w:rPr>
        <w:t xml:space="preserve">EV-derived </w:t>
      </w:r>
      <w:r>
        <w:rPr>
          <w:rFonts w:ascii="Times New Roman" w:hAnsi="Times New Roman" w:cs="Times New Roman"/>
          <w:color w:val="000000" w:themeColor="text1"/>
        </w:rPr>
        <w:t>lncRNA-GC1</w:t>
      </w:r>
      <w:r w:rsidRPr="00F32145">
        <w:rPr>
          <w:rFonts w:ascii="Times New Roman" w:hAnsi="Times New Roman" w:cs="Times New Roman"/>
          <w:color w:val="000000" w:themeColor="text1"/>
        </w:rPr>
        <w:t xml:space="preserve"> in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32145">
        <w:rPr>
          <w:rFonts w:ascii="Times New Roman" w:hAnsi="Times New Roman" w:cs="Times New Roman"/>
          <w:color w:val="000000" w:themeColor="text1"/>
        </w:rPr>
        <w:t xml:space="preserve">characterizing patients reached </w:t>
      </w:r>
      <w:r>
        <w:rPr>
          <w:rFonts w:ascii="Times New Roman" w:hAnsi="Times New Roman" w:cs="Times New Roman"/>
          <w:color w:val="000000" w:themeColor="text1"/>
        </w:rPr>
        <w:t>progression</w:t>
      </w:r>
      <w:r w:rsidRPr="00F32145">
        <w:rPr>
          <w:rFonts w:ascii="Times New Roman" w:hAnsi="Times New Roman" w:cs="Times New Roman"/>
          <w:color w:val="000000" w:themeColor="text1"/>
        </w:rPr>
        <w:t xml:space="preserve"> longer than 6 months.</w:t>
      </w:r>
      <w:r>
        <w:rPr>
          <w:rFonts w:ascii="Times New Roman" w:hAnsi="Times New Roman" w:cs="Times New Roman"/>
          <w:color w:val="000000" w:themeColor="text1"/>
        </w:rPr>
        <w:t xml:space="preserve"> ORR, o</w:t>
      </w:r>
      <w:r w:rsidRPr="007546FF">
        <w:rPr>
          <w:rFonts w:ascii="Times New Roman" w:hAnsi="Times New Roman" w:cs="Times New Roman"/>
          <w:color w:val="000000" w:themeColor="text1"/>
        </w:rPr>
        <w:t>bjective response rate</w:t>
      </w:r>
      <w:r>
        <w:rPr>
          <w:rFonts w:ascii="Times New Roman" w:hAnsi="Times New Roman" w:cs="Times New Roman"/>
          <w:color w:val="000000" w:themeColor="text1"/>
        </w:rPr>
        <w:t xml:space="preserve">. DCR, </w:t>
      </w:r>
      <w:r w:rsidRPr="007546FF">
        <w:rPr>
          <w:rFonts w:ascii="Times New Roman" w:hAnsi="Times New Roman" w:cs="Times New Roman"/>
          <w:color w:val="000000" w:themeColor="text1"/>
        </w:rPr>
        <w:t>disease control rate</w:t>
      </w:r>
      <w:r>
        <w:rPr>
          <w:rFonts w:ascii="Times New Roman" w:hAnsi="Times New Roman" w:cs="Times New Roman"/>
          <w:color w:val="000000" w:themeColor="text1"/>
        </w:rPr>
        <w:t xml:space="preserve">. PFS, progression-free survival. OS, overall survival. ROC, </w:t>
      </w:r>
      <w:r w:rsidRPr="00F32145">
        <w:rPr>
          <w:rFonts w:ascii="Times New Roman" w:hAnsi="Times New Roman" w:cs="Times New Roman"/>
          <w:color w:val="000000" w:themeColor="text1"/>
        </w:rPr>
        <w:t>receiver operator characteristic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53AB9AE5" w14:textId="79623228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72B291C" w14:textId="5DD4E552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B6E65F0" w14:textId="65497849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4E986907" w14:textId="6C89EA2A" w:rsidR="00A24A16" w:rsidRPr="00A24A16" w:rsidRDefault="00A24A16" w:rsidP="00A24A1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A24A16">
        <w:rPr>
          <w:rFonts w:ascii="Times New Roman" w:hAnsi="Times New Roman" w:cs="Times New Roman" w:hint="eastAsia"/>
          <w:b/>
          <w:bCs/>
          <w:color w:val="000000" w:themeColor="text1"/>
        </w:rPr>
        <w:lastRenderedPageBreak/>
        <w:t>F</w:t>
      </w:r>
      <w:r w:rsidRPr="00A24A16">
        <w:rPr>
          <w:rFonts w:ascii="Times New Roman" w:hAnsi="Times New Roman" w:cs="Times New Roman"/>
          <w:b/>
          <w:bCs/>
          <w:color w:val="000000" w:themeColor="text1"/>
        </w:rPr>
        <w:t>igure S6</w:t>
      </w:r>
    </w:p>
    <w:p w14:paraId="11368361" w14:textId="15DE59D6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E0BFE66" wp14:editId="682CB310">
            <wp:extent cx="4449176" cy="254223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367" cy="255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004C7" w14:textId="75E873F0" w:rsidR="00A24A16" w:rsidRPr="006B434B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 w:rsidRPr="003F05CF">
        <w:rPr>
          <w:rFonts w:ascii="Times New Roman" w:hAnsi="Times New Roman" w:cs="Times New Roman" w:hint="eastAsia"/>
          <w:b/>
          <w:bCs/>
          <w:color w:val="000000" w:themeColor="text1"/>
        </w:rPr>
        <w:t>F</w:t>
      </w:r>
      <w:r w:rsidRPr="003F05CF">
        <w:rPr>
          <w:rFonts w:ascii="Times New Roman" w:hAnsi="Times New Roman" w:cs="Times New Roman"/>
          <w:b/>
          <w:bCs/>
          <w:color w:val="000000" w:themeColor="text1"/>
        </w:rPr>
        <w:t xml:space="preserve">igure S6: </w:t>
      </w:r>
      <w:r>
        <w:rPr>
          <w:rFonts w:ascii="Times New Roman" w:hAnsi="Times New Roman" w:cs="Times New Roman"/>
          <w:color w:val="000000" w:themeColor="text1"/>
        </w:rPr>
        <w:t xml:space="preserve">Low levels of circulating EV-derived lncRNA-GC1 are correlated with </w:t>
      </w:r>
      <w:r w:rsidRPr="00AA6EDC">
        <w:rPr>
          <w:rFonts w:ascii="Times New Roman" w:hAnsi="Times New Roman" w:cs="Times New Roman"/>
        </w:rPr>
        <w:t>strong antitumor immunity</w:t>
      </w:r>
      <w:r>
        <w:rPr>
          <w:rFonts w:ascii="Times New Roman" w:hAnsi="Times New Roman" w:cs="Times New Roman"/>
        </w:rPr>
        <w:t xml:space="preserve">. (A) </w:t>
      </w:r>
      <w:r w:rsidRPr="005F271E">
        <w:rPr>
          <w:rFonts w:ascii="Times New Roman" w:hAnsi="Times New Roman" w:cs="Times New Roman"/>
        </w:rPr>
        <w:t>Correlation of immune cell lineages and level</w:t>
      </w:r>
      <w:r>
        <w:rPr>
          <w:rFonts w:ascii="Times New Roman" w:hAnsi="Times New Roman" w:cs="Times New Roman"/>
        </w:rPr>
        <w:t>s of circulating EV-derived lncRNA-GC1</w:t>
      </w:r>
      <w:r w:rsidRPr="005F271E">
        <w:rPr>
          <w:rFonts w:ascii="Times New Roman" w:hAnsi="Times New Roman" w:cs="Times New Roman"/>
        </w:rPr>
        <w:t>. Dot size depicts the</w:t>
      </w:r>
      <w:r>
        <w:rPr>
          <w:rFonts w:ascii="Times New Roman" w:hAnsi="Times New Roman" w:cs="Times New Roman" w:hint="eastAsia"/>
        </w:rPr>
        <w:t xml:space="preserve"> </w:t>
      </w:r>
      <w:r w:rsidRPr="005F271E">
        <w:rPr>
          <w:rFonts w:ascii="Times New Roman" w:hAnsi="Times New Roman" w:cs="Times New Roman"/>
        </w:rPr>
        <w:t>correlation coefficient while the color is indicative of positive or negative correlation. (B) Histogram</w:t>
      </w:r>
      <w:r>
        <w:rPr>
          <w:rFonts w:ascii="Times New Roman" w:hAnsi="Times New Roman" w:cs="Times New Roman" w:hint="eastAsia"/>
        </w:rPr>
        <w:t xml:space="preserve"> </w:t>
      </w:r>
      <w:r w:rsidRPr="005F271E">
        <w:rPr>
          <w:rFonts w:ascii="Times New Roman" w:hAnsi="Times New Roman" w:cs="Times New Roman"/>
        </w:rPr>
        <w:t>representation of B-cell score (in relative units, RU) according to baseline plasmatic level of LIF classified as high or low</w:t>
      </w:r>
      <w:r>
        <w:rPr>
          <w:rFonts w:ascii="Times New Roman" w:hAnsi="Times New Roman" w:cs="Times New Roman"/>
        </w:rPr>
        <w:t xml:space="preserve">. (B) </w:t>
      </w:r>
      <w:r w:rsidRPr="005F271E">
        <w:rPr>
          <w:rFonts w:ascii="Times New Roman" w:hAnsi="Times New Roman" w:cs="Times New Roman"/>
        </w:rPr>
        <w:t>Histogram</w:t>
      </w:r>
      <w:r>
        <w:rPr>
          <w:rFonts w:ascii="Times New Roman" w:hAnsi="Times New Roman" w:cs="Times New Roman" w:hint="eastAsia"/>
        </w:rPr>
        <w:t xml:space="preserve"> </w:t>
      </w:r>
      <w:r w:rsidRPr="005F271E">
        <w:rPr>
          <w:rFonts w:ascii="Times New Roman" w:hAnsi="Times New Roman" w:cs="Times New Roman"/>
        </w:rPr>
        <w:t xml:space="preserve">representation of B-cell score (in relative units, RU) according to baseline level of </w:t>
      </w:r>
      <w:r>
        <w:rPr>
          <w:rFonts w:ascii="Times New Roman" w:hAnsi="Times New Roman" w:cs="Times New Roman"/>
        </w:rPr>
        <w:t>circulating EV-derived lncRNA-GC1</w:t>
      </w:r>
      <w:r w:rsidRPr="005F271E">
        <w:rPr>
          <w:rFonts w:ascii="Times New Roman" w:hAnsi="Times New Roman" w:cs="Times New Roman"/>
        </w:rPr>
        <w:t xml:space="preserve"> classified as high or low</w:t>
      </w:r>
      <w:r>
        <w:rPr>
          <w:rFonts w:ascii="Times New Roman" w:hAnsi="Times New Roman" w:cs="Times New Roman"/>
        </w:rPr>
        <w:t xml:space="preserve">. (C) </w:t>
      </w:r>
      <w:r w:rsidRPr="006B434B">
        <w:rPr>
          <w:rFonts w:ascii="Times New Roman" w:hAnsi="Times New Roman" w:cs="Times New Roman"/>
        </w:rPr>
        <w:t xml:space="preserve">Proportion of patients with </w:t>
      </w:r>
      <w:r>
        <w:rPr>
          <w:rFonts w:ascii="Times New Roman" w:hAnsi="Times New Roman" w:cs="Times New Roman"/>
        </w:rPr>
        <w:t>positive</w:t>
      </w:r>
      <w:r w:rsidRPr="006B434B">
        <w:rPr>
          <w:rFonts w:ascii="Times New Roman" w:hAnsi="Times New Roman" w:cs="Times New Roman"/>
        </w:rPr>
        <w:t xml:space="preserve"> or </w:t>
      </w:r>
      <w:r>
        <w:rPr>
          <w:rFonts w:ascii="Times New Roman" w:hAnsi="Times New Roman" w:cs="Times New Roman"/>
        </w:rPr>
        <w:t>negative</w:t>
      </w:r>
      <w:r w:rsidRPr="006B434B">
        <w:rPr>
          <w:rFonts w:ascii="Times New Roman" w:hAnsi="Times New Roman" w:cs="Times New Roman"/>
        </w:rPr>
        <w:t xml:space="preserve"> of intratumoral TLS according to baseline </w:t>
      </w:r>
      <w:r>
        <w:rPr>
          <w:rFonts w:ascii="Times New Roman" w:hAnsi="Times New Roman" w:cs="Times New Roman"/>
        </w:rPr>
        <w:t xml:space="preserve">levels of circulating EV-derived lncRNA-GC1. </w:t>
      </w:r>
      <w:r w:rsidRPr="006B434B">
        <w:rPr>
          <w:rFonts w:ascii="Times New Roman" w:hAnsi="Times New Roman" w:cs="Times New Roman"/>
        </w:rPr>
        <w:t>TLS, tertiary lymphoid structures</w:t>
      </w:r>
      <w:r>
        <w:rPr>
          <w:rFonts w:ascii="Times New Roman" w:hAnsi="Times New Roman" w:cs="Times New Roman"/>
        </w:rPr>
        <w:t>.</w:t>
      </w:r>
    </w:p>
    <w:p w14:paraId="0E29253C" w14:textId="5B863501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46AC48C5" w14:textId="0B432E93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2B5E7D8B" w14:textId="6303038D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05AC320F" w14:textId="3A092A43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0CA72AC1" w14:textId="041FDC7F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555AB852" w14:textId="145E06DF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763A4DC2" w14:textId="35C606E2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0902EC3D" w14:textId="502D955C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7FC7C2E9" w14:textId="2D8D5257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219CAA73" w14:textId="1243C543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4CF359C1" w14:textId="2EC726B8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29252003" w14:textId="4BBFFE03" w:rsidR="00A24A16" w:rsidRPr="00A24A16" w:rsidRDefault="00A24A16" w:rsidP="00A24A16">
      <w:pPr>
        <w:spacing w:line="360" w:lineRule="auto"/>
        <w:rPr>
          <w:rFonts w:ascii="Times New Roman" w:hAnsi="Times New Roman" w:cs="Times New Roman"/>
          <w:b/>
          <w:bCs/>
        </w:rPr>
      </w:pPr>
      <w:r w:rsidRPr="00A24A16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A24A16">
        <w:rPr>
          <w:rFonts w:ascii="Times New Roman" w:hAnsi="Times New Roman" w:cs="Times New Roman"/>
          <w:b/>
          <w:bCs/>
        </w:rPr>
        <w:t>igure S7</w:t>
      </w:r>
    </w:p>
    <w:p w14:paraId="7A089232" w14:textId="4003CEC0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3E9C48" wp14:editId="7286FF7A">
            <wp:extent cx="3562141" cy="3849051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807" cy="385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495F3" w14:textId="2F100AD8" w:rsidR="00A24A16" w:rsidRDefault="00A24A16" w:rsidP="00A24A16">
      <w:pPr>
        <w:spacing w:line="360" w:lineRule="auto"/>
        <w:jc w:val="center"/>
        <w:rPr>
          <w:rFonts w:ascii="Times New Roman" w:hAnsi="Times New Roman" w:cs="Times New Roman"/>
        </w:rPr>
      </w:pPr>
      <w:r w:rsidRPr="00234781">
        <w:rPr>
          <w:rFonts w:ascii="Times New Roman" w:hAnsi="Times New Roman" w:cs="Times New Roman" w:hint="eastAsia"/>
          <w:b/>
          <w:bCs/>
        </w:rPr>
        <w:t>F</w:t>
      </w:r>
      <w:r w:rsidRPr="00234781">
        <w:rPr>
          <w:rFonts w:ascii="Times New Roman" w:hAnsi="Times New Roman" w:cs="Times New Roman"/>
          <w:b/>
          <w:bCs/>
        </w:rPr>
        <w:t xml:space="preserve">igure S7: </w:t>
      </w:r>
      <w:r w:rsidRPr="00234781">
        <w:rPr>
          <w:rFonts w:ascii="Times New Roman" w:hAnsi="Times New Roman" w:cs="Times New Roman"/>
        </w:rPr>
        <w:t xml:space="preserve">The stability of circulating </w:t>
      </w:r>
      <w:r>
        <w:rPr>
          <w:rFonts w:ascii="Times New Roman" w:hAnsi="Times New Roman" w:cs="Times New Roman"/>
        </w:rPr>
        <w:t xml:space="preserve">EV-derived </w:t>
      </w:r>
      <w:r w:rsidRPr="00234781">
        <w:rPr>
          <w:rFonts w:ascii="Times New Roman" w:hAnsi="Times New Roman" w:cs="Times New Roman"/>
        </w:rPr>
        <w:t xml:space="preserve">lncRNA-GC1 in </w:t>
      </w:r>
      <w:r>
        <w:rPr>
          <w:rFonts w:ascii="Times New Roman" w:hAnsi="Times New Roman" w:cs="Times New Roman"/>
        </w:rPr>
        <w:t>retrospective expanding cohort (cohort 5)</w:t>
      </w:r>
      <w:r w:rsidRPr="0023478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L</w:t>
      </w:r>
      <w:r w:rsidRPr="00234781">
        <w:rPr>
          <w:rFonts w:ascii="Times New Roman" w:hAnsi="Times New Roman" w:cs="Times New Roman"/>
        </w:rPr>
        <w:t xml:space="preserve">evels of circulating </w:t>
      </w:r>
      <w:r>
        <w:rPr>
          <w:rFonts w:ascii="Times New Roman" w:hAnsi="Times New Roman" w:cs="Times New Roman"/>
        </w:rPr>
        <w:t xml:space="preserve">EV-derived </w:t>
      </w:r>
      <w:r w:rsidRPr="00234781">
        <w:rPr>
          <w:rFonts w:ascii="Times New Roman" w:hAnsi="Times New Roman" w:cs="Times New Roman"/>
        </w:rPr>
        <w:t xml:space="preserve">lncRNA-GC1 in patients with GC (n = </w:t>
      </w:r>
      <w:r>
        <w:rPr>
          <w:rFonts w:ascii="Times New Roman" w:hAnsi="Times New Roman" w:cs="Times New Roman"/>
        </w:rPr>
        <w:t>30</w:t>
      </w:r>
      <w:r w:rsidRPr="00234781">
        <w:rPr>
          <w:rFonts w:ascii="Times New Roman" w:hAnsi="Times New Roman" w:cs="Times New Roman"/>
        </w:rPr>
        <w:t xml:space="preserve">) when </w:t>
      </w:r>
      <w:r>
        <w:rPr>
          <w:rFonts w:ascii="Times New Roman" w:hAnsi="Times New Roman" w:cs="Times New Roman"/>
        </w:rPr>
        <w:t>EV</w:t>
      </w:r>
      <w:r w:rsidRPr="00234781">
        <w:rPr>
          <w:rFonts w:ascii="Times New Roman" w:hAnsi="Times New Roman" w:cs="Times New Roman"/>
        </w:rPr>
        <w:t>s were (</w:t>
      </w:r>
      <w:r>
        <w:rPr>
          <w:rFonts w:ascii="Times New Roman" w:hAnsi="Times New Roman" w:cs="Times New Roman"/>
        </w:rPr>
        <w:t>A</w:t>
      </w:r>
      <w:r w:rsidRPr="00234781">
        <w:rPr>
          <w:rFonts w:ascii="Times New Roman" w:hAnsi="Times New Roman" w:cs="Times New Roman"/>
        </w:rPr>
        <w:t>) treated with or without RNase A (5 µg/ml) for 30 min, (</w:t>
      </w:r>
      <w:r>
        <w:rPr>
          <w:rFonts w:ascii="Times New Roman" w:hAnsi="Times New Roman" w:cs="Times New Roman"/>
        </w:rPr>
        <w:t>B</w:t>
      </w:r>
      <w:r w:rsidRPr="00234781">
        <w:rPr>
          <w:rFonts w:ascii="Times New Roman" w:hAnsi="Times New Roman" w:cs="Times New Roman"/>
        </w:rPr>
        <w:t>) subjected to prolonged incubation to room temperature and (</w:t>
      </w:r>
      <w:r>
        <w:rPr>
          <w:rFonts w:ascii="Times New Roman" w:hAnsi="Times New Roman" w:cs="Times New Roman"/>
        </w:rPr>
        <w:t>C</w:t>
      </w:r>
      <w:r w:rsidRPr="00234781">
        <w:rPr>
          <w:rFonts w:ascii="Times New Roman" w:hAnsi="Times New Roman" w:cs="Times New Roman"/>
        </w:rPr>
        <w:t>) subjected to with repeated freezing and thawing. (</w:t>
      </w:r>
      <w:r>
        <w:rPr>
          <w:rFonts w:ascii="Times New Roman" w:hAnsi="Times New Roman" w:cs="Times New Roman"/>
        </w:rPr>
        <w:t>D</w:t>
      </w:r>
      <w:r w:rsidRPr="0023478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L</w:t>
      </w:r>
      <w:r w:rsidRPr="00234781">
        <w:rPr>
          <w:rFonts w:ascii="Times New Roman" w:hAnsi="Times New Roman" w:cs="Times New Roman"/>
        </w:rPr>
        <w:t xml:space="preserve">evels of lncRNA-GC1 in </w:t>
      </w:r>
      <w:r>
        <w:rPr>
          <w:rFonts w:ascii="Times New Roman" w:hAnsi="Times New Roman" w:cs="Times New Roman"/>
        </w:rPr>
        <w:t>EV</w:t>
      </w:r>
      <w:r w:rsidRPr="00234781">
        <w:rPr>
          <w:rFonts w:ascii="Times New Roman" w:hAnsi="Times New Roman" w:cs="Times New Roman"/>
        </w:rPr>
        <w:t xml:space="preserve">s and </w:t>
      </w:r>
      <w:r>
        <w:rPr>
          <w:rFonts w:ascii="Times New Roman" w:hAnsi="Times New Roman" w:cs="Times New Roman"/>
        </w:rPr>
        <w:t>EV</w:t>
      </w:r>
      <w:r w:rsidRPr="00234781">
        <w:rPr>
          <w:rFonts w:ascii="Times New Roman" w:hAnsi="Times New Roman" w:cs="Times New Roman"/>
        </w:rPr>
        <w:t xml:space="preserve">-depleted sera of patients with GC (n = </w:t>
      </w:r>
      <w:r>
        <w:rPr>
          <w:rFonts w:ascii="Times New Roman" w:hAnsi="Times New Roman" w:cs="Times New Roman"/>
        </w:rPr>
        <w:t>30</w:t>
      </w:r>
      <w:r w:rsidRPr="00234781">
        <w:rPr>
          <w:rFonts w:ascii="Times New Roman" w:hAnsi="Times New Roman" w:cs="Times New Roman"/>
        </w:rPr>
        <w:t xml:space="preserve">). (e) Positive correlations between </w:t>
      </w:r>
      <w:r>
        <w:rPr>
          <w:rFonts w:ascii="Times New Roman" w:hAnsi="Times New Roman" w:cs="Times New Roman"/>
        </w:rPr>
        <w:t>levels of circulating EV-derived</w:t>
      </w:r>
      <w:r w:rsidRPr="00234781">
        <w:rPr>
          <w:rFonts w:ascii="Times New Roman" w:hAnsi="Times New Roman" w:cs="Times New Roman"/>
        </w:rPr>
        <w:t xml:space="preserve"> lncRNA-GC1 and </w:t>
      </w:r>
      <w:r>
        <w:rPr>
          <w:rFonts w:ascii="Times New Roman" w:hAnsi="Times New Roman" w:cs="Times New Roman"/>
        </w:rPr>
        <w:t xml:space="preserve">levels of </w:t>
      </w:r>
      <w:r w:rsidRPr="00234781">
        <w:rPr>
          <w:rFonts w:ascii="Times New Roman" w:hAnsi="Times New Roman" w:cs="Times New Roman"/>
        </w:rPr>
        <w:t xml:space="preserve">total </w:t>
      </w:r>
      <w:r>
        <w:rPr>
          <w:rFonts w:ascii="Times New Roman" w:hAnsi="Times New Roman" w:cs="Times New Roman"/>
        </w:rPr>
        <w:t xml:space="preserve">circulating </w:t>
      </w:r>
      <w:r w:rsidRPr="00234781">
        <w:rPr>
          <w:rFonts w:ascii="Times New Roman" w:hAnsi="Times New Roman" w:cs="Times New Roman"/>
        </w:rPr>
        <w:t xml:space="preserve">lncRNA-GC1 in patients with GC (n = </w:t>
      </w:r>
      <w:r>
        <w:rPr>
          <w:rFonts w:ascii="Times New Roman" w:hAnsi="Times New Roman" w:cs="Times New Roman"/>
        </w:rPr>
        <w:t>30</w:t>
      </w:r>
      <w:r w:rsidRPr="00234781">
        <w:rPr>
          <w:rFonts w:ascii="Times New Roman" w:hAnsi="Times New Roman" w:cs="Times New Roman"/>
        </w:rPr>
        <w:t>). The results are presented as the mean ± SD.</w:t>
      </w:r>
    </w:p>
    <w:p w14:paraId="6D1F7716" w14:textId="77777777" w:rsidR="00A24A16" w:rsidRPr="005F7EC4" w:rsidRDefault="00A24A16" w:rsidP="00A24A16">
      <w:pPr>
        <w:spacing w:line="360" w:lineRule="auto"/>
        <w:jc w:val="center"/>
        <w:rPr>
          <w:rFonts w:ascii="Times New Roman" w:hAnsi="Times New Roman" w:cs="Times New Roman" w:hint="eastAsia"/>
        </w:rPr>
      </w:pPr>
    </w:p>
    <w:sectPr w:rsidR="00A24A16" w:rsidRPr="005F7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FE050" w14:textId="77777777" w:rsidR="00E77D97" w:rsidRDefault="00E77D97" w:rsidP="005F7EC4">
      <w:r>
        <w:separator/>
      </w:r>
    </w:p>
  </w:endnote>
  <w:endnote w:type="continuationSeparator" w:id="0">
    <w:p w14:paraId="5DD2C646" w14:textId="77777777" w:rsidR="00E77D97" w:rsidRDefault="00E77D97" w:rsidP="005F7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5D26B" w14:textId="77777777" w:rsidR="00E77D97" w:rsidRDefault="00E77D97" w:rsidP="005F7EC4">
      <w:r>
        <w:separator/>
      </w:r>
    </w:p>
  </w:footnote>
  <w:footnote w:type="continuationSeparator" w:id="0">
    <w:p w14:paraId="22155D79" w14:textId="77777777" w:rsidR="00E77D97" w:rsidRDefault="00E77D97" w:rsidP="005F7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318"/>
    <w:rsid w:val="001E15BA"/>
    <w:rsid w:val="005F7EC4"/>
    <w:rsid w:val="00604318"/>
    <w:rsid w:val="00A24A16"/>
    <w:rsid w:val="00C544CE"/>
    <w:rsid w:val="00C769E8"/>
    <w:rsid w:val="00E7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E1F54"/>
  <w15:chartTrackingRefBased/>
  <w15:docId w15:val="{716DF7EE-DAEB-44FD-82AE-ABD4C185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7EC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E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7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7EC4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7EC4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Title"/>
    <w:basedOn w:val="a"/>
    <w:next w:val="a"/>
    <w:link w:val="a8"/>
    <w:uiPriority w:val="10"/>
    <w:qFormat/>
    <w:rsid w:val="005F7EC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5F7EC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1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903</Words>
  <Characters>5150</Characters>
  <Application>Microsoft Office Word</Application>
  <DocSecurity>0</DocSecurity>
  <Lines>42</Lines>
  <Paragraphs>12</Paragraphs>
  <ScaleCrop>false</ScaleCrop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小慧</dc:creator>
  <cp:keywords/>
  <dc:description/>
  <cp:lastModifiedBy>吕 小慧</cp:lastModifiedBy>
  <cp:revision>3</cp:revision>
  <dcterms:created xsi:type="dcterms:W3CDTF">2022-07-26T08:53:00Z</dcterms:created>
  <dcterms:modified xsi:type="dcterms:W3CDTF">2022-07-26T09:18:00Z</dcterms:modified>
</cp:coreProperties>
</file>