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5EE03" w14:textId="77777777" w:rsidR="003A04D3" w:rsidRDefault="000B756A">
      <w:pPr>
        <w:pStyle w:val="BodyA"/>
        <w:widowControl w:val="0"/>
        <w:spacing w:before="40" w:after="40" w:line="360" w:lineRule="auto"/>
        <w:jc w:val="both"/>
        <w:rPr>
          <w:rStyle w:val="None"/>
          <w:sz w:val="22"/>
          <w:szCs w:val="22"/>
        </w:rPr>
      </w:pPr>
      <w:bookmarkStart w:id="0" w:name="_GoBack"/>
      <w:bookmarkEnd w:id="0"/>
      <w:r>
        <w:rPr>
          <w:rStyle w:val="None"/>
          <w:b/>
          <w:bCs/>
          <w:sz w:val="22"/>
          <w:szCs w:val="22"/>
        </w:rPr>
        <w:t xml:space="preserve">Figure S1. </w:t>
      </w:r>
      <w:r>
        <w:rPr>
          <w:rStyle w:val="None"/>
          <w:sz w:val="22"/>
          <w:szCs w:val="22"/>
        </w:rPr>
        <w:t xml:space="preserve">Selected stress-induced paancRNAs critically affect the morphology of non-malignant cells. </w:t>
      </w:r>
      <w:r>
        <w:rPr>
          <w:rStyle w:val="None"/>
          <w:b/>
          <w:bCs/>
          <w:sz w:val="22"/>
          <w:szCs w:val="22"/>
        </w:rPr>
        <w:t>A.</w:t>
      </w:r>
      <w:r>
        <w:rPr>
          <w:rStyle w:val="None"/>
          <w:sz w:val="22"/>
          <w:szCs w:val="22"/>
        </w:rPr>
        <w:t xml:space="preserve"> The morphology of MRC5 fibroblasts was significantly altered upon over-expression of all four selected si-paancRNAs</w:t>
      </w:r>
      <w:r>
        <w:rPr>
          <w:rStyle w:val="None"/>
          <w:sz w:val="22"/>
          <w:szCs w:val="22"/>
        </w:rPr>
        <w:t xml:space="preserve"> compared to their normal phenotype. In brief, MRC5 control cells showed the expected small spindle morphology, which, upon over-expression of all si-paancRNAs, changed to a flattened and relatively enlarged shape. GFP fluorescence intensity was used to ad</w:t>
      </w:r>
      <w:r>
        <w:rPr>
          <w:rStyle w:val="None"/>
          <w:sz w:val="22"/>
          <w:szCs w:val="22"/>
        </w:rPr>
        <w:t xml:space="preserve">just the expression levels of all paancRNA clones to similar levels with the empty pCDH vector. </w:t>
      </w:r>
      <w:r>
        <w:rPr>
          <w:rStyle w:val="None"/>
          <w:b/>
          <w:bCs/>
          <w:sz w:val="22"/>
          <w:szCs w:val="22"/>
        </w:rPr>
        <w:t>B.</w:t>
      </w:r>
      <w:r>
        <w:rPr>
          <w:rStyle w:val="None"/>
          <w:sz w:val="22"/>
          <w:szCs w:val="22"/>
        </w:rPr>
        <w:t xml:space="preserve"> Quantification of genomic integration of vector sequences, LTR-GAG transgene, and GFP by qRT-PCR. Titrations were confirmed by FACS and PCR in target cell li</w:t>
      </w:r>
      <w:r>
        <w:rPr>
          <w:rStyle w:val="None"/>
          <w:sz w:val="22"/>
          <w:szCs w:val="22"/>
        </w:rPr>
        <w:t>nes using specific primers. Specific primers for LTR-GAG: 5′- TGTGTGCCCGTCTGTTGTGTGAC-3′. 5′-TCGGGCGCCACTGCTAGA G-3′; and for GFP: 5′-AGAGCACCAAAGGCGCCCTG-3′; and 5′-TGCGGGTG TTGGTGTAGC-3′ were used to determine lentiviral genomic integration.</w:t>
      </w:r>
    </w:p>
    <w:p w14:paraId="78D89950" w14:textId="77777777" w:rsidR="003A04D3" w:rsidRDefault="003A04D3">
      <w:pPr>
        <w:pStyle w:val="BodyA"/>
        <w:widowControl w:val="0"/>
        <w:spacing w:before="40" w:after="40" w:line="360" w:lineRule="auto"/>
        <w:jc w:val="both"/>
        <w:rPr>
          <w:rStyle w:val="NoneA"/>
          <w:sz w:val="22"/>
          <w:szCs w:val="22"/>
        </w:rPr>
      </w:pPr>
    </w:p>
    <w:p w14:paraId="287E89F3" w14:textId="008D6D62" w:rsidR="003A04D3" w:rsidRDefault="000B756A">
      <w:pPr>
        <w:pStyle w:val="NormalWeb"/>
        <w:spacing w:line="360" w:lineRule="auto"/>
        <w:jc w:val="both"/>
        <w:rPr>
          <w:rStyle w:val="None"/>
          <w:rFonts w:eastAsia="Arial Unicode MS"/>
          <w:sz w:val="22"/>
          <w:szCs w:val="22"/>
        </w:rPr>
      </w:pPr>
      <w:r>
        <w:rPr>
          <w:rStyle w:val="None"/>
          <w:rFonts w:eastAsia="Arial Unicode MS"/>
          <w:b/>
          <w:bCs/>
          <w:sz w:val="22"/>
          <w:szCs w:val="22"/>
        </w:rPr>
        <w:t xml:space="preserve">Figure S2. </w:t>
      </w:r>
      <w:r>
        <w:rPr>
          <w:rStyle w:val="None"/>
          <w:rFonts w:eastAsia="Arial Unicode MS"/>
          <w:sz w:val="22"/>
          <w:szCs w:val="22"/>
        </w:rPr>
        <w:t xml:space="preserve">Genomic characterization of </w:t>
      </w:r>
      <w:r>
        <w:rPr>
          <w:rStyle w:val="None"/>
          <w:rFonts w:eastAsia="Arial Unicode MS"/>
          <w:i/>
          <w:iCs/>
          <w:sz w:val="22"/>
          <w:szCs w:val="22"/>
        </w:rPr>
        <w:t>KDM7A-DT</w:t>
      </w:r>
      <w:r>
        <w:rPr>
          <w:rStyle w:val="None"/>
          <w:rFonts w:eastAsia="Arial Unicode MS"/>
          <w:sz w:val="22"/>
          <w:szCs w:val="22"/>
        </w:rPr>
        <w:t xml:space="preserve"> locus.</w:t>
      </w:r>
      <w:r>
        <w:rPr>
          <w:rStyle w:val="None"/>
          <w:rFonts w:eastAsia="Arial Unicode MS"/>
          <w:b/>
          <w:bCs/>
          <w:sz w:val="22"/>
          <w:szCs w:val="22"/>
        </w:rPr>
        <w:t xml:space="preserve"> A. </w:t>
      </w:r>
      <w:r>
        <w:rPr>
          <w:rStyle w:val="None"/>
          <w:rFonts w:eastAsia="Arial Unicode MS"/>
          <w:i/>
          <w:iCs/>
          <w:sz w:val="22"/>
          <w:szCs w:val="22"/>
        </w:rPr>
        <w:t>KDM7A-DT</w:t>
      </w:r>
      <w:r>
        <w:rPr>
          <w:rStyle w:val="None"/>
          <w:rFonts w:eastAsia="Arial Unicode MS"/>
          <w:sz w:val="22"/>
          <w:szCs w:val="22"/>
        </w:rPr>
        <w:t xml:space="preserve"> is located on the promoter of a divergent transcription locus. At 30 minutes of OS, it is transiently but acutely significantly elongating in the antisense direction of the promoter of the </w:t>
      </w:r>
      <w:r>
        <w:rPr>
          <w:rStyle w:val="None"/>
          <w:rFonts w:eastAsia="Arial Unicode MS"/>
          <w:i/>
          <w:iCs/>
          <w:sz w:val="22"/>
          <w:szCs w:val="22"/>
        </w:rPr>
        <w:t>KDM7A</w:t>
      </w:r>
      <w:r>
        <w:rPr>
          <w:rStyle w:val="None"/>
          <w:rFonts w:eastAsia="Arial Unicode MS"/>
          <w:sz w:val="22"/>
          <w:szCs w:val="22"/>
        </w:rPr>
        <w:t xml:space="preserve"> codin</w:t>
      </w:r>
      <w:r>
        <w:rPr>
          <w:rStyle w:val="None"/>
          <w:rFonts w:eastAsia="Arial Unicode MS"/>
          <w:sz w:val="22"/>
          <w:szCs w:val="22"/>
        </w:rPr>
        <w:t>g gene, visualized by the integrative genome viewer (IGV). Tracks presented are total pol2 and S5-pol2 ChIP-sequencing (upper panel), and normalized sequencing reads from MRC5 cells untreated (in blue) or treated with OS for 30 minutes (in pink) and 2 hour</w:t>
      </w:r>
      <w:r>
        <w:rPr>
          <w:rStyle w:val="None"/>
          <w:rFonts w:eastAsia="Arial Unicode MS"/>
          <w:sz w:val="22"/>
          <w:szCs w:val="22"/>
        </w:rPr>
        <w:t xml:space="preserve">s (in red). </w:t>
      </w:r>
      <w:r>
        <w:rPr>
          <w:rStyle w:val="None"/>
          <w:rFonts w:eastAsia="Arial Unicode MS"/>
          <w:b/>
          <w:bCs/>
          <w:sz w:val="22"/>
          <w:szCs w:val="22"/>
        </w:rPr>
        <w:t>B.</w:t>
      </w:r>
      <w:r>
        <w:rPr>
          <w:rStyle w:val="None"/>
          <w:rFonts w:eastAsia="Arial Unicode MS"/>
          <w:sz w:val="22"/>
          <w:szCs w:val="22"/>
        </w:rPr>
        <w:t xml:space="preserve"> Representation of gene walking primer pairs at a rolling window of approximately 250 bps in length across </w:t>
      </w:r>
      <w:r>
        <w:rPr>
          <w:rStyle w:val="None"/>
          <w:rFonts w:eastAsia="Arial Unicode MS"/>
          <w:i/>
          <w:iCs/>
          <w:sz w:val="22"/>
          <w:szCs w:val="22"/>
        </w:rPr>
        <w:t>KDM7A-DT</w:t>
      </w:r>
      <w:r>
        <w:rPr>
          <w:rStyle w:val="None"/>
          <w:rFonts w:eastAsia="Arial Unicode MS"/>
          <w:sz w:val="22"/>
          <w:szCs w:val="22"/>
        </w:rPr>
        <w:t xml:space="preserve">’s gene, northern blot probes that utilized (in red), and amplicons, ASOs, LNAs, qPCR primer, repeat elements. </w:t>
      </w:r>
    </w:p>
    <w:p w14:paraId="197EFABC" w14:textId="77777777" w:rsidR="003A04D3" w:rsidRDefault="003A04D3">
      <w:pPr>
        <w:pStyle w:val="BodyA"/>
        <w:spacing w:line="360" w:lineRule="auto"/>
        <w:jc w:val="both"/>
        <w:rPr>
          <w:rStyle w:val="NoneA"/>
          <w:sz w:val="22"/>
          <w:szCs w:val="22"/>
        </w:rPr>
      </w:pPr>
    </w:p>
    <w:p w14:paraId="3765AE67" w14:textId="77777777" w:rsidR="003A04D3" w:rsidRDefault="000B756A">
      <w:pPr>
        <w:pStyle w:val="BodyA"/>
        <w:spacing w:line="360" w:lineRule="auto"/>
        <w:jc w:val="both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Figure S3. </w:t>
      </w:r>
      <w:r>
        <w:rPr>
          <w:rStyle w:val="None"/>
          <w:sz w:val="22"/>
          <w:szCs w:val="22"/>
        </w:rPr>
        <w:t>Str</w:t>
      </w:r>
      <w:r>
        <w:rPr>
          <w:rStyle w:val="None"/>
          <w:sz w:val="22"/>
          <w:szCs w:val="22"/>
        </w:rPr>
        <w:t>and</w:t>
      </w:r>
      <w:r>
        <w:rPr>
          <w:rStyle w:val="None"/>
          <w:b/>
          <w:bCs/>
          <w:sz w:val="22"/>
          <w:szCs w:val="22"/>
        </w:rPr>
        <w:t xml:space="preserve"> </w:t>
      </w:r>
      <w:r>
        <w:rPr>
          <w:rStyle w:val="None"/>
          <w:sz w:val="22"/>
          <w:szCs w:val="22"/>
        </w:rPr>
        <w:t xml:space="preserve">specificity dictates KDM7A-DT regulatory function in the cell cycle and DDR/R. </w:t>
      </w:r>
      <w:r>
        <w:rPr>
          <w:rStyle w:val="None"/>
          <w:b/>
          <w:bCs/>
          <w:sz w:val="22"/>
          <w:szCs w:val="22"/>
        </w:rPr>
        <w:t xml:space="preserve">A. </w:t>
      </w:r>
      <w:r>
        <w:rPr>
          <w:rStyle w:val="None"/>
          <w:sz w:val="22"/>
          <w:szCs w:val="22"/>
        </w:rPr>
        <w:t>MRC5 cells over-expressing the complementary strand of KDM7A-DT transcript (labeled as antisense KDM7A-DT) does not affect the morphology of normal fibroblast MRC5 compar</w:t>
      </w:r>
      <w:r>
        <w:rPr>
          <w:rStyle w:val="None"/>
          <w:sz w:val="22"/>
          <w:szCs w:val="22"/>
        </w:rPr>
        <w:t xml:space="preserve">ed to cells over-expressing just the vehicle control. In addition, the forced expression of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’s complementary strand is also not affecting. </w:t>
      </w:r>
      <w:r>
        <w:rPr>
          <w:rStyle w:val="None"/>
          <w:b/>
          <w:bCs/>
          <w:sz w:val="22"/>
          <w:szCs w:val="22"/>
        </w:rPr>
        <w:t xml:space="preserve">B. </w:t>
      </w:r>
      <w:r>
        <w:rPr>
          <w:rStyle w:val="None"/>
          <w:sz w:val="22"/>
          <w:szCs w:val="22"/>
        </w:rPr>
        <w:t xml:space="preserve">normal cell cycle progression. </w:t>
      </w:r>
      <w:r>
        <w:rPr>
          <w:rStyle w:val="None"/>
          <w:b/>
          <w:bCs/>
          <w:sz w:val="22"/>
          <w:szCs w:val="22"/>
        </w:rPr>
        <w:t xml:space="preserve">C. </w:t>
      </w:r>
      <w:r>
        <w:rPr>
          <w:rStyle w:val="None"/>
          <w:sz w:val="22"/>
          <w:szCs w:val="22"/>
        </w:rPr>
        <w:t>phosphorylation levels of the H2AX protein compared to control cells.</w:t>
      </w:r>
    </w:p>
    <w:p w14:paraId="52E0706C" w14:textId="77777777" w:rsidR="003A04D3" w:rsidRDefault="003A04D3">
      <w:pPr>
        <w:pStyle w:val="BodyA"/>
        <w:spacing w:line="360" w:lineRule="auto"/>
        <w:jc w:val="both"/>
        <w:rPr>
          <w:rStyle w:val="NoneA"/>
          <w:sz w:val="22"/>
          <w:szCs w:val="22"/>
        </w:rPr>
      </w:pPr>
    </w:p>
    <w:p w14:paraId="0745B242" w14:textId="77777777" w:rsidR="003A04D3" w:rsidRDefault="000B756A">
      <w:pPr>
        <w:pStyle w:val="BodyA"/>
        <w:spacing w:line="360" w:lineRule="auto"/>
        <w:jc w:val="both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  <w:lang w:val="it-IT"/>
        </w:rPr>
        <w:t>F</w:t>
      </w:r>
      <w:r>
        <w:rPr>
          <w:rStyle w:val="None"/>
          <w:b/>
          <w:bCs/>
          <w:sz w:val="22"/>
          <w:szCs w:val="22"/>
          <w:lang w:val="it-IT"/>
        </w:rPr>
        <w:t>igure S4</w:t>
      </w:r>
      <w:r>
        <w:rPr>
          <w:rStyle w:val="None"/>
          <w:sz w:val="22"/>
          <w:szCs w:val="22"/>
        </w:rPr>
        <w:t xml:space="preserve">. Genetic alterations (Copy number alterations (CNA) and significant classes of mutations). </w:t>
      </w:r>
      <w:r>
        <w:rPr>
          <w:rStyle w:val="None"/>
          <w:b/>
          <w:bCs/>
          <w:sz w:val="22"/>
          <w:szCs w:val="22"/>
        </w:rPr>
        <w:t>A.</w:t>
      </w:r>
      <w:r>
        <w:rPr>
          <w:rStyle w:val="None"/>
          <w:sz w:val="22"/>
          <w:szCs w:val="22"/>
        </w:rPr>
        <w:t xml:space="preserve"> genes </w:t>
      </w:r>
      <w:r>
        <w:rPr>
          <w:rStyle w:val="None"/>
          <w:i/>
          <w:iCs/>
          <w:sz w:val="22"/>
          <w:szCs w:val="22"/>
          <w:lang w:val="de-DE"/>
        </w:rPr>
        <w:t>KDM7A-DT</w:t>
      </w:r>
      <w:r>
        <w:rPr>
          <w:rStyle w:val="None"/>
          <w:sz w:val="22"/>
          <w:szCs w:val="22"/>
        </w:rPr>
        <w:t xml:space="preserve">, </w:t>
      </w:r>
      <w:r>
        <w:rPr>
          <w:rStyle w:val="None"/>
          <w:i/>
          <w:iCs/>
          <w:sz w:val="22"/>
          <w:szCs w:val="22"/>
          <w:lang w:val="pt-PT"/>
        </w:rPr>
        <w:t>TP53BP1</w:t>
      </w:r>
      <w:r>
        <w:rPr>
          <w:rStyle w:val="None"/>
          <w:sz w:val="22"/>
          <w:szCs w:val="22"/>
        </w:rPr>
        <w:t xml:space="preserve">, </w:t>
      </w:r>
      <w:r>
        <w:rPr>
          <w:rStyle w:val="None"/>
          <w:i/>
          <w:iCs/>
          <w:sz w:val="22"/>
          <w:szCs w:val="22"/>
        </w:rPr>
        <w:t>BCL2,</w:t>
      </w:r>
      <w:r>
        <w:rPr>
          <w:rStyle w:val="None"/>
          <w:sz w:val="22"/>
          <w:szCs w:val="22"/>
        </w:rPr>
        <w:t xml:space="preserve"> and </w:t>
      </w:r>
      <w:r>
        <w:rPr>
          <w:rStyle w:val="None"/>
          <w:i/>
          <w:iCs/>
          <w:sz w:val="22"/>
          <w:szCs w:val="22"/>
        </w:rPr>
        <w:t>TP53</w:t>
      </w:r>
      <w:r>
        <w:rPr>
          <w:rStyle w:val="None"/>
          <w:sz w:val="22"/>
          <w:szCs w:val="22"/>
        </w:rPr>
        <w:t xml:space="preserve"> were defined in 2,583 tumor samples represented by the Pan-Cancer Analysis of Whole Genomes (PCAWG) Consortium. S</w:t>
      </w:r>
      <w:r>
        <w:rPr>
          <w:rStyle w:val="None"/>
          <w:sz w:val="22"/>
          <w:szCs w:val="22"/>
        </w:rPr>
        <w:t xml:space="preserve">ource data from UCSC Xena and ICGC Data Portal. About in 7.3% of cases (189/2583), the </w:t>
      </w:r>
      <w:r>
        <w:rPr>
          <w:rStyle w:val="None"/>
          <w:i/>
          <w:iCs/>
          <w:sz w:val="22"/>
          <w:szCs w:val="22"/>
          <w:lang w:val="de-DE"/>
        </w:rPr>
        <w:t>KDM7A-DT</w:t>
      </w:r>
      <w:r>
        <w:rPr>
          <w:rStyle w:val="None"/>
          <w:sz w:val="22"/>
          <w:szCs w:val="22"/>
        </w:rPr>
        <w:t xml:space="preserve"> locus was amplified. The 2.7%, 6%, and 36% gene alterations were found for protein-coding genes </w:t>
      </w:r>
      <w:r>
        <w:rPr>
          <w:rStyle w:val="None"/>
          <w:i/>
          <w:iCs/>
          <w:sz w:val="22"/>
          <w:szCs w:val="22"/>
          <w:lang w:val="pt-PT"/>
        </w:rPr>
        <w:t>TP53BP1</w:t>
      </w:r>
      <w:r>
        <w:rPr>
          <w:rStyle w:val="None"/>
          <w:sz w:val="22"/>
          <w:szCs w:val="22"/>
        </w:rPr>
        <w:t xml:space="preserve">, </w:t>
      </w:r>
      <w:r>
        <w:rPr>
          <w:rStyle w:val="None"/>
          <w:i/>
          <w:iCs/>
          <w:sz w:val="22"/>
          <w:szCs w:val="22"/>
        </w:rPr>
        <w:t>BCL2,</w:t>
      </w:r>
      <w:r>
        <w:rPr>
          <w:rStyle w:val="None"/>
          <w:sz w:val="22"/>
          <w:szCs w:val="22"/>
        </w:rPr>
        <w:t xml:space="preserve"> and </w:t>
      </w:r>
      <w:r>
        <w:rPr>
          <w:rStyle w:val="None"/>
          <w:i/>
          <w:iCs/>
          <w:sz w:val="22"/>
          <w:szCs w:val="22"/>
        </w:rPr>
        <w:t>TP53,</w:t>
      </w:r>
      <w:r>
        <w:rPr>
          <w:rStyle w:val="None"/>
          <w:sz w:val="22"/>
          <w:szCs w:val="22"/>
        </w:rPr>
        <w:t xml:space="preserve"> respectively. </w:t>
      </w:r>
      <w:r>
        <w:rPr>
          <w:rStyle w:val="None"/>
          <w:b/>
          <w:bCs/>
          <w:sz w:val="22"/>
          <w:szCs w:val="22"/>
        </w:rPr>
        <w:t>B. C. D. E.</w:t>
      </w:r>
      <w:r>
        <w:rPr>
          <w:rStyle w:val="None"/>
          <w:sz w:val="22"/>
          <w:szCs w:val="22"/>
        </w:rPr>
        <w:t xml:space="preserve"> Association of </w:t>
      </w:r>
      <w:r>
        <w:rPr>
          <w:rStyle w:val="None"/>
          <w:i/>
          <w:iCs/>
          <w:sz w:val="22"/>
          <w:szCs w:val="22"/>
        </w:rPr>
        <w:t>TP53</w:t>
      </w:r>
      <w:r>
        <w:rPr>
          <w:rStyle w:val="None"/>
          <w:sz w:val="22"/>
          <w:szCs w:val="22"/>
        </w:rPr>
        <w:t xml:space="preserve"> mutation types and expression patterns of KDM7A-DT and TP53 across BC subtypes and </w:t>
      </w:r>
      <w:r>
        <w:rPr>
          <w:rStyle w:val="None"/>
          <w:i/>
          <w:iCs/>
          <w:sz w:val="22"/>
          <w:szCs w:val="22"/>
          <w:lang w:val="de-DE"/>
        </w:rPr>
        <w:t>KDM7A-DT</w:t>
      </w:r>
      <w:r>
        <w:rPr>
          <w:rStyle w:val="None"/>
          <w:sz w:val="22"/>
          <w:szCs w:val="22"/>
        </w:rPr>
        <w:t xml:space="preserve"> CNA categories (TCGA data have been analyzed, see Method for details).</w:t>
      </w:r>
    </w:p>
    <w:p w14:paraId="17D44B58" w14:textId="77777777" w:rsidR="003A04D3" w:rsidRDefault="003A04D3">
      <w:pPr>
        <w:pStyle w:val="BodyA"/>
        <w:spacing w:line="360" w:lineRule="auto"/>
        <w:jc w:val="both"/>
        <w:rPr>
          <w:rStyle w:val="NoneA"/>
          <w:sz w:val="22"/>
          <w:szCs w:val="22"/>
        </w:rPr>
      </w:pPr>
    </w:p>
    <w:p w14:paraId="465B3FBE" w14:textId="77777777" w:rsidR="003A04D3" w:rsidRDefault="000B756A">
      <w:pPr>
        <w:pStyle w:val="BodyA"/>
        <w:spacing w:line="360" w:lineRule="auto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  <w:lang w:val="it-IT"/>
        </w:rPr>
        <w:t>Figure S5</w:t>
      </w:r>
      <w:r>
        <w:rPr>
          <w:rStyle w:val="None"/>
          <w:sz w:val="22"/>
          <w:szCs w:val="22"/>
        </w:rPr>
        <w:t>. Association of KDM7A-DT expression with BC subtypes, clinica</w:t>
      </w:r>
      <w:r>
        <w:rPr>
          <w:rStyle w:val="None"/>
          <w:sz w:val="22"/>
          <w:szCs w:val="22"/>
        </w:rPr>
        <w:t xml:space="preserve">l characteristics, estrogen receptor, </w:t>
      </w:r>
      <w:r>
        <w:rPr>
          <w:rStyle w:val="None"/>
          <w:b/>
          <w:bCs/>
          <w:sz w:val="22"/>
          <w:szCs w:val="22"/>
        </w:rPr>
        <w:t>A. D.</w:t>
      </w:r>
      <w:r>
        <w:rPr>
          <w:rStyle w:val="None"/>
          <w:sz w:val="22"/>
          <w:szCs w:val="22"/>
        </w:rPr>
        <w:t xml:space="preserve"> Boxplots of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 expression across BC subtypes. </w:t>
      </w:r>
      <w:r>
        <w:rPr>
          <w:rStyle w:val="None"/>
          <w:b/>
          <w:bCs/>
          <w:sz w:val="22"/>
          <w:szCs w:val="22"/>
        </w:rPr>
        <w:t>B. E.</w:t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 expression is positively correlated with histological grade. </w:t>
      </w:r>
      <w:r>
        <w:rPr>
          <w:rStyle w:val="None"/>
          <w:b/>
          <w:bCs/>
          <w:sz w:val="22"/>
          <w:szCs w:val="22"/>
        </w:rPr>
        <w:t>C. F.</w:t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 expression is positively correlated with </w:t>
      </w:r>
      <w:r>
        <w:rPr>
          <w:rStyle w:val="None"/>
          <w:sz w:val="22"/>
          <w:szCs w:val="22"/>
        </w:rPr>
        <w:lastRenderedPageBreak/>
        <w:t xml:space="preserve">positive ER status. </w:t>
      </w:r>
      <w:r>
        <w:rPr>
          <w:rStyle w:val="None"/>
          <w:b/>
          <w:bCs/>
          <w:sz w:val="22"/>
          <w:szCs w:val="22"/>
        </w:rPr>
        <w:t>G. H.</w:t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i/>
          <w:iCs/>
          <w:sz w:val="22"/>
          <w:szCs w:val="22"/>
        </w:rPr>
        <w:t>KD</w:t>
      </w:r>
      <w:r>
        <w:rPr>
          <w:rStyle w:val="None"/>
          <w:i/>
          <w:iCs/>
          <w:sz w:val="22"/>
          <w:szCs w:val="22"/>
        </w:rPr>
        <w:t>M7A-DT</w:t>
      </w:r>
      <w:r>
        <w:rPr>
          <w:rStyle w:val="None"/>
          <w:sz w:val="22"/>
          <w:szCs w:val="22"/>
        </w:rPr>
        <w:t xml:space="preserve"> expression is negatively correlated with </w:t>
      </w:r>
      <w:r>
        <w:rPr>
          <w:rStyle w:val="None"/>
          <w:i/>
          <w:iCs/>
          <w:sz w:val="22"/>
          <w:szCs w:val="22"/>
        </w:rPr>
        <w:t xml:space="preserve">ESR1 </w:t>
      </w:r>
      <w:r>
        <w:rPr>
          <w:rStyle w:val="None"/>
          <w:sz w:val="22"/>
          <w:szCs w:val="22"/>
        </w:rPr>
        <w:t>RNA and protein expression.</w:t>
      </w:r>
    </w:p>
    <w:p w14:paraId="35A92E85" w14:textId="77777777" w:rsidR="003A04D3" w:rsidRDefault="003A04D3">
      <w:pPr>
        <w:pStyle w:val="BodyA"/>
        <w:spacing w:line="360" w:lineRule="auto"/>
        <w:jc w:val="both"/>
        <w:rPr>
          <w:rStyle w:val="NoneA"/>
          <w:sz w:val="22"/>
          <w:szCs w:val="22"/>
        </w:rPr>
      </w:pPr>
    </w:p>
    <w:p w14:paraId="366A7DA2" w14:textId="77777777" w:rsidR="003A04D3" w:rsidRDefault="000B756A">
      <w:pPr>
        <w:pStyle w:val="BodyA"/>
        <w:spacing w:line="360" w:lineRule="auto"/>
        <w:jc w:val="both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Figure S6. </w:t>
      </w:r>
      <w:r>
        <w:rPr>
          <w:rStyle w:val="None"/>
          <w:sz w:val="22"/>
          <w:szCs w:val="22"/>
        </w:rPr>
        <w:t>Protein-protein networks of</w:t>
      </w:r>
      <w:r>
        <w:rPr>
          <w:rStyle w:val="None"/>
          <w:b/>
          <w:bCs/>
          <w:sz w:val="22"/>
          <w:szCs w:val="22"/>
        </w:rPr>
        <w:t xml:space="preserve"> </w:t>
      </w:r>
      <w:r>
        <w:rPr>
          <w:rStyle w:val="None"/>
          <w:sz w:val="22"/>
          <w:szCs w:val="22"/>
        </w:rPr>
        <w:t>46 DDR proteins positively and negatively correlated with KDM7-DT RNA expression data were downloaded from sBioPortal (TCGA, 2018). The</w:t>
      </w:r>
      <w:r>
        <w:rPr>
          <w:rStyle w:val="None"/>
          <w:sz w:val="22"/>
          <w:szCs w:val="22"/>
        </w:rPr>
        <w:t xml:space="preserve"> proteins have been selected as described in the Methods. Each protein expression is also correlated with corresponding mRNA levels of a DDR gene encoding these products. STRING 11.5 is used for annotation, network construction, and enrichment analysis. Th</w:t>
      </w:r>
      <w:r>
        <w:rPr>
          <w:rStyle w:val="None"/>
          <w:sz w:val="22"/>
          <w:szCs w:val="22"/>
        </w:rPr>
        <w:t>ese results are concordant with our experimental data analyses.</w:t>
      </w:r>
    </w:p>
    <w:p w14:paraId="2E62771C" w14:textId="77777777" w:rsidR="003A04D3" w:rsidRDefault="003A04D3">
      <w:pPr>
        <w:pStyle w:val="BodyA"/>
        <w:spacing w:line="360" w:lineRule="auto"/>
        <w:rPr>
          <w:rStyle w:val="None"/>
          <w:b/>
          <w:bCs/>
          <w:sz w:val="22"/>
          <w:szCs w:val="22"/>
        </w:rPr>
      </w:pPr>
    </w:p>
    <w:p w14:paraId="12803D0C" w14:textId="77777777" w:rsidR="003A04D3" w:rsidRDefault="000B756A">
      <w:pPr>
        <w:pStyle w:val="BodyA"/>
        <w:spacing w:line="360" w:lineRule="auto"/>
        <w:jc w:val="both"/>
        <w:rPr>
          <w:rStyle w:val="NoneA"/>
        </w:rPr>
      </w:pPr>
      <w:r>
        <w:rPr>
          <w:rStyle w:val="None"/>
          <w:b/>
          <w:bCs/>
          <w:sz w:val="22"/>
          <w:szCs w:val="22"/>
        </w:rPr>
        <w:t xml:space="preserve">Figure S7. </w:t>
      </w:r>
      <w:r>
        <w:rPr>
          <w:rStyle w:val="None"/>
          <w:sz w:val="22"/>
          <w:szCs w:val="22"/>
        </w:rPr>
        <w:t xml:space="preserve">Mutations in </w:t>
      </w:r>
      <w:r>
        <w:rPr>
          <w:rStyle w:val="None"/>
          <w:i/>
          <w:iCs/>
          <w:sz w:val="22"/>
          <w:szCs w:val="22"/>
        </w:rPr>
        <w:t>GATA3</w:t>
      </w:r>
      <w:r>
        <w:rPr>
          <w:rStyle w:val="None"/>
          <w:sz w:val="22"/>
          <w:szCs w:val="22"/>
        </w:rPr>
        <w:t xml:space="preserve"> and </w:t>
      </w:r>
      <w:r>
        <w:rPr>
          <w:rStyle w:val="None"/>
          <w:i/>
          <w:iCs/>
          <w:sz w:val="22"/>
          <w:szCs w:val="22"/>
        </w:rPr>
        <w:t>TP53</w:t>
      </w:r>
      <w:r>
        <w:rPr>
          <w:rStyle w:val="None"/>
          <w:sz w:val="22"/>
          <w:szCs w:val="22"/>
        </w:rPr>
        <w:t xml:space="preserve"> affect the expression of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. </w:t>
      </w:r>
      <w:r>
        <w:rPr>
          <w:rStyle w:val="None"/>
          <w:b/>
          <w:bCs/>
          <w:sz w:val="22"/>
          <w:szCs w:val="22"/>
        </w:rPr>
        <w:t xml:space="preserve">A. </w:t>
      </w:r>
      <w:r>
        <w:rPr>
          <w:rStyle w:val="None"/>
          <w:sz w:val="22"/>
          <w:szCs w:val="22"/>
        </w:rPr>
        <w:t xml:space="preserve">Heatmap of top 10 correlated proteins with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 expression. </w:t>
      </w:r>
      <w:r>
        <w:rPr>
          <w:rStyle w:val="None"/>
          <w:b/>
          <w:bCs/>
          <w:sz w:val="22"/>
          <w:szCs w:val="22"/>
        </w:rPr>
        <w:t>B.</w:t>
      </w:r>
      <w:r>
        <w:rPr>
          <w:rStyle w:val="None"/>
          <w:sz w:val="22"/>
          <w:szCs w:val="22"/>
        </w:rPr>
        <w:t xml:space="preserve">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 xml:space="preserve"> expression and GATA3, TP53BP1, p53 pro</w:t>
      </w:r>
      <w:r>
        <w:rPr>
          <w:rStyle w:val="None"/>
          <w:sz w:val="22"/>
          <w:szCs w:val="22"/>
        </w:rPr>
        <w:t xml:space="preserve">tein levels alterations in </w:t>
      </w:r>
      <w:r>
        <w:rPr>
          <w:rStyle w:val="None"/>
          <w:i/>
          <w:iCs/>
          <w:sz w:val="22"/>
          <w:szCs w:val="22"/>
        </w:rPr>
        <w:t>TP53</w:t>
      </w:r>
      <w:r>
        <w:rPr>
          <w:rStyle w:val="None"/>
          <w:sz w:val="22"/>
          <w:szCs w:val="22"/>
        </w:rPr>
        <w:t xml:space="preserve"> and </w:t>
      </w:r>
      <w:r>
        <w:rPr>
          <w:rStyle w:val="None"/>
          <w:i/>
          <w:iCs/>
          <w:sz w:val="22"/>
          <w:szCs w:val="22"/>
        </w:rPr>
        <w:t>GATA3</w:t>
      </w:r>
      <w:r>
        <w:rPr>
          <w:rStyle w:val="None"/>
          <w:sz w:val="22"/>
          <w:szCs w:val="22"/>
        </w:rPr>
        <w:t xml:space="preserve"> mutated samples compared to non-mutated samples. The green arrow represents a statistically significant increase, and the orange arrow a statistically significant decrease (p&lt;0.05). </w:t>
      </w:r>
      <w:r>
        <w:rPr>
          <w:rStyle w:val="None"/>
          <w:b/>
          <w:bCs/>
          <w:sz w:val="22"/>
          <w:szCs w:val="22"/>
        </w:rPr>
        <w:t xml:space="preserve">C. </w:t>
      </w:r>
      <w:r>
        <w:rPr>
          <w:rStyle w:val="None"/>
          <w:i/>
          <w:sz w:val="22"/>
          <w:szCs w:val="22"/>
        </w:rPr>
        <w:t>TP53</w:t>
      </w:r>
      <w:r>
        <w:rPr>
          <w:rStyle w:val="None"/>
          <w:sz w:val="22"/>
          <w:szCs w:val="22"/>
        </w:rPr>
        <w:t xml:space="preserve"> and </w:t>
      </w:r>
      <w:r>
        <w:rPr>
          <w:rStyle w:val="None"/>
          <w:i/>
          <w:sz w:val="22"/>
          <w:szCs w:val="22"/>
        </w:rPr>
        <w:t>GATA3</w:t>
      </w:r>
      <w:r>
        <w:rPr>
          <w:rStyle w:val="None"/>
          <w:sz w:val="22"/>
          <w:szCs w:val="22"/>
        </w:rPr>
        <w:t xml:space="preserve"> mutated samples across breast cancer subtypes in the TCGA dataset.</w:t>
      </w:r>
    </w:p>
    <w:p w14:paraId="5CB2C0F6" w14:textId="77777777" w:rsidR="003A04D3" w:rsidRDefault="003A04D3">
      <w:pPr>
        <w:pStyle w:val="BodyA"/>
        <w:spacing w:line="360" w:lineRule="auto"/>
        <w:rPr>
          <w:rStyle w:val="None"/>
          <w:b/>
          <w:bCs/>
          <w:sz w:val="22"/>
          <w:szCs w:val="22"/>
        </w:rPr>
      </w:pPr>
    </w:p>
    <w:p w14:paraId="50A181C5" w14:textId="2F132A22" w:rsidR="003A04D3" w:rsidRDefault="000B756A">
      <w:pPr>
        <w:pStyle w:val="BodyA"/>
        <w:spacing w:line="360" w:lineRule="auto"/>
        <w:jc w:val="both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Figure S8. </w:t>
      </w:r>
      <w:r>
        <w:rPr>
          <w:rStyle w:val="None"/>
          <w:sz w:val="22"/>
          <w:szCs w:val="22"/>
        </w:rPr>
        <w:t>Knock-down of</w:t>
      </w:r>
      <w:r>
        <w:rPr>
          <w:rStyle w:val="None"/>
          <w:b/>
          <w:bCs/>
          <w:sz w:val="22"/>
          <w:szCs w:val="22"/>
        </w:rPr>
        <w:t xml:space="preserve"> </w:t>
      </w:r>
      <w:r>
        <w:rPr>
          <w:rStyle w:val="None"/>
          <w:sz w:val="22"/>
          <w:szCs w:val="22"/>
        </w:rPr>
        <w:t xml:space="preserve">KDM7A-DT targeting either the start or the end of the transcript increases H2AX phosphorylation levels in T47D BC cells. </w:t>
      </w:r>
      <w:r>
        <w:rPr>
          <w:rStyle w:val="None"/>
          <w:b/>
          <w:bCs/>
          <w:sz w:val="22"/>
          <w:szCs w:val="22"/>
        </w:rPr>
        <w:t>A</w:t>
      </w:r>
      <w:r>
        <w:rPr>
          <w:rStyle w:val="None"/>
          <w:sz w:val="22"/>
          <w:szCs w:val="22"/>
        </w:rPr>
        <w:t>. Knock-down experiments with three diff</w:t>
      </w:r>
      <w:r>
        <w:rPr>
          <w:rStyle w:val="None"/>
          <w:sz w:val="22"/>
          <w:szCs w:val="22"/>
        </w:rPr>
        <w:t xml:space="preserve">erent ASO gapmers targeting the beginning of KDM7A-DT significantly downregulate transcript levels compared to a control ASO (NC ASO), as quantified by RT-qPCR using a primer at the transcript’s end. </w:t>
      </w:r>
      <w:r>
        <w:rPr>
          <w:rStyle w:val="None"/>
          <w:b/>
          <w:bCs/>
          <w:sz w:val="22"/>
          <w:szCs w:val="22"/>
        </w:rPr>
        <w:t xml:space="preserve">B. </w:t>
      </w:r>
      <w:r>
        <w:rPr>
          <w:rStyle w:val="None"/>
          <w:sz w:val="22"/>
          <w:szCs w:val="22"/>
        </w:rPr>
        <w:t>All three different ASO gapmers significantly inhibit</w:t>
      </w:r>
      <w:r>
        <w:rPr>
          <w:rStyle w:val="None"/>
          <w:sz w:val="22"/>
          <w:szCs w:val="22"/>
        </w:rPr>
        <w:t xml:space="preserve"> T47D cell viability compared to cells transfected with or without a control ASO. </w:t>
      </w:r>
      <w:r>
        <w:rPr>
          <w:rStyle w:val="None"/>
          <w:b/>
          <w:bCs/>
          <w:sz w:val="22"/>
          <w:szCs w:val="22"/>
        </w:rPr>
        <w:t xml:space="preserve">C. </w:t>
      </w:r>
      <w:r>
        <w:rPr>
          <w:rStyle w:val="None"/>
          <w:sz w:val="22"/>
          <w:szCs w:val="22"/>
        </w:rPr>
        <w:t xml:space="preserve">All three ASOs significantly increase the phosphorylation levels of H2AX protein compared to control ASO. </w:t>
      </w:r>
      <w:r>
        <w:rPr>
          <w:rStyle w:val="None"/>
          <w:b/>
          <w:bCs/>
          <w:sz w:val="22"/>
          <w:szCs w:val="22"/>
        </w:rPr>
        <w:t>D.</w:t>
      </w:r>
      <w:r>
        <w:rPr>
          <w:rStyle w:val="None"/>
          <w:sz w:val="22"/>
          <w:szCs w:val="22"/>
        </w:rPr>
        <w:t xml:space="preserve"> Four different LNAs (IS1, IS2, IS3, IS4) targeting the beginni</w:t>
      </w:r>
      <w:r>
        <w:rPr>
          <w:rStyle w:val="None"/>
          <w:sz w:val="22"/>
          <w:szCs w:val="22"/>
        </w:rPr>
        <w:t xml:space="preserve">ng of </w:t>
      </w:r>
      <w:r>
        <w:rPr>
          <w:rStyle w:val="None"/>
          <w:i/>
          <w:iCs/>
          <w:sz w:val="22"/>
          <w:szCs w:val="22"/>
        </w:rPr>
        <w:t>KDM7A-DT</w:t>
      </w:r>
      <w:r>
        <w:rPr>
          <w:rStyle w:val="None"/>
          <w:sz w:val="22"/>
          <w:szCs w:val="22"/>
        </w:rPr>
        <w:t>,</w:t>
      </w:r>
      <w:r>
        <w:rPr>
          <w:rStyle w:val="None"/>
          <w:i/>
          <w:iCs/>
          <w:sz w:val="22"/>
          <w:szCs w:val="22"/>
        </w:rPr>
        <w:t xml:space="preserve"> </w:t>
      </w:r>
      <w:r>
        <w:rPr>
          <w:rStyle w:val="None"/>
          <w:sz w:val="22"/>
          <w:szCs w:val="22"/>
        </w:rPr>
        <w:t xml:space="preserve">as analyzed by qPCR using a primer pair amplifying the end of KDM7A-DT transcript, compared to control LNA. </w:t>
      </w:r>
      <w:r>
        <w:rPr>
          <w:rStyle w:val="None"/>
          <w:b/>
          <w:bCs/>
          <w:sz w:val="22"/>
          <w:szCs w:val="22"/>
        </w:rPr>
        <w:t>E.</w:t>
      </w:r>
      <w:r>
        <w:rPr>
          <w:rStyle w:val="None"/>
          <w:sz w:val="22"/>
          <w:szCs w:val="22"/>
        </w:rPr>
        <w:t xml:space="preserve"> Four different LNAs (L1, L2, L3, and L4) target the transcript's end. </w:t>
      </w:r>
      <w:r>
        <w:rPr>
          <w:rStyle w:val="None"/>
          <w:b/>
          <w:bCs/>
          <w:sz w:val="22"/>
          <w:szCs w:val="22"/>
        </w:rPr>
        <w:t>F.</w:t>
      </w:r>
      <w:r>
        <w:rPr>
          <w:rStyle w:val="None"/>
          <w:sz w:val="22"/>
          <w:szCs w:val="22"/>
        </w:rPr>
        <w:t xml:space="preserve"> Three out of four LNAs (IS2, IS3, IS4) targeting the beg</w:t>
      </w:r>
      <w:r>
        <w:rPr>
          <w:rStyle w:val="None"/>
          <w:sz w:val="22"/>
          <w:szCs w:val="22"/>
        </w:rPr>
        <w:t xml:space="preserve">inning of the transcript modestly increase the phosphorylation of H2AX compared to control LNA. </w:t>
      </w:r>
      <w:r>
        <w:rPr>
          <w:rStyle w:val="None"/>
          <w:b/>
          <w:bCs/>
          <w:sz w:val="22"/>
          <w:szCs w:val="22"/>
        </w:rPr>
        <w:t>G. H.</w:t>
      </w:r>
      <w:r>
        <w:rPr>
          <w:rStyle w:val="None"/>
          <w:sz w:val="22"/>
          <w:szCs w:val="22"/>
        </w:rPr>
        <w:t xml:space="preserve"> Three out of four LNAs (L</w:t>
      </w:r>
      <w:r w:rsidR="00E21022">
        <w:rPr>
          <w:rStyle w:val="None"/>
          <w:sz w:val="22"/>
          <w:szCs w:val="22"/>
        </w:rPr>
        <w:t>1</w:t>
      </w:r>
      <w:r>
        <w:rPr>
          <w:rStyle w:val="None"/>
          <w:sz w:val="22"/>
          <w:szCs w:val="22"/>
        </w:rPr>
        <w:t xml:space="preserve">, L3, L4) targeting the end of the transcript significantly increase the phosphorylation of H2AX, compared to control LNA, when </w:t>
      </w:r>
      <w:r>
        <w:rPr>
          <w:rStyle w:val="None"/>
          <w:sz w:val="22"/>
          <w:szCs w:val="22"/>
        </w:rPr>
        <w:t>cells are not treated with H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>O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>, while all of them, as well as the control LNA, strongly increase the phosphorylation of H2AX, when cells are treated with H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>O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>.</w:t>
      </w:r>
    </w:p>
    <w:p w14:paraId="5EFC4BB0" w14:textId="77777777" w:rsidR="003A04D3" w:rsidRDefault="003A04D3">
      <w:pPr>
        <w:pStyle w:val="BodyA"/>
        <w:spacing w:line="360" w:lineRule="auto"/>
        <w:rPr>
          <w:rStyle w:val="NoneA"/>
          <w:sz w:val="22"/>
          <w:szCs w:val="22"/>
        </w:rPr>
      </w:pPr>
    </w:p>
    <w:p w14:paraId="0FF09913" w14:textId="4C8F87B7" w:rsidR="003A04D3" w:rsidRPr="00007A8E" w:rsidRDefault="000B756A">
      <w:pPr>
        <w:pStyle w:val="BodyA"/>
        <w:spacing w:line="360" w:lineRule="auto"/>
        <w:jc w:val="both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Figure S9. </w:t>
      </w:r>
      <w:r>
        <w:rPr>
          <w:rStyle w:val="None"/>
          <w:sz w:val="22"/>
          <w:szCs w:val="22"/>
        </w:rPr>
        <w:t xml:space="preserve">Oxidative stress induces H2AX phosphorylation and the DDR/R </w:t>
      </w:r>
      <w:r>
        <w:rPr>
          <w:rStyle w:val="None"/>
          <w:i/>
          <w:iCs/>
          <w:sz w:val="22"/>
          <w:szCs w:val="22"/>
        </w:rPr>
        <w:t>via</w:t>
      </w:r>
      <w:r>
        <w:rPr>
          <w:rStyle w:val="None"/>
          <w:sz w:val="22"/>
          <w:szCs w:val="22"/>
        </w:rPr>
        <w:t xml:space="preserve"> the NHEJ pathway. </w:t>
      </w:r>
      <w:r>
        <w:rPr>
          <w:rStyle w:val="None"/>
          <w:b/>
          <w:bCs/>
          <w:sz w:val="22"/>
          <w:szCs w:val="22"/>
        </w:rPr>
        <w:t>A</w:t>
      </w:r>
      <w:r>
        <w:rPr>
          <w:rStyle w:val="None"/>
          <w:b/>
          <w:bCs/>
          <w:sz w:val="22"/>
          <w:szCs w:val="22"/>
        </w:rPr>
        <w:t xml:space="preserve">. </w:t>
      </w:r>
      <w:r>
        <w:rPr>
          <w:rStyle w:val="None"/>
          <w:sz w:val="22"/>
          <w:szCs w:val="22"/>
        </w:rPr>
        <w:t>OS (H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>O</w:t>
      </w:r>
      <w:r>
        <w:rPr>
          <w:rStyle w:val="None"/>
          <w:sz w:val="22"/>
          <w:szCs w:val="22"/>
          <w:vertAlign w:val="subscript"/>
        </w:rPr>
        <w:t>2</w:t>
      </w:r>
      <w:r>
        <w:rPr>
          <w:rStyle w:val="None"/>
          <w:sz w:val="22"/>
          <w:szCs w:val="22"/>
        </w:rPr>
        <w:t xml:space="preserve">, 0.2 mM) is activating H2AX phosphorylation in T47D BC cells similar to classical DNA-damage inducers, such as Doxorubicin (1 mM) and Etoposide (10 μM). </w:t>
      </w:r>
      <w:r>
        <w:rPr>
          <w:rStyle w:val="None"/>
          <w:b/>
          <w:bCs/>
          <w:sz w:val="22"/>
          <w:szCs w:val="22"/>
        </w:rPr>
        <w:t xml:space="preserve">B. </w:t>
      </w:r>
      <w:r>
        <w:rPr>
          <w:rStyle w:val="None"/>
          <w:sz w:val="22"/>
          <w:szCs w:val="22"/>
        </w:rPr>
        <w:t xml:space="preserve">In T47D cells, the expression levels of TP53BP1 and RAD51 proteins are analyzed at </w:t>
      </w:r>
      <w:r w:rsidRPr="00007A8E">
        <w:rPr>
          <w:rStyle w:val="None"/>
          <w:sz w:val="22"/>
          <w:szCs w:val="22"/>
        </w:rPr>
        <w:t xml:space="preserve">three </w:t>
      </w:r>
      <w:r w:rsidRPr="00007A8E">
        <w:rPr>
          <w:rStyle w:val="None"/>
          <w:sz w:val="22"/>
          <w:szCs w:val="22"/>
        </w:rPr>
        <w:t>different time points (30 min, 2 hours, and 24 hours) following H</w:t>
      </w:r>
      <w:r w:rsidRPr="00007A8E">
        <w:rPr>
          <w:rStyle w:val="None"/>
          <w:sz w:val="22"/>
          <w:szCs w:val="22"/>
          <w:vertAlign w:val="subscript"/>
        </w:rPr>
        <w:t>2</w:t>
      </w:r>
      <w:r w:rsidRPr="00007A8E">
        <w:rPr>
          <w:rStyle w:val="None"/>
          <w:sz w:val="22"/>
          <w:szCs w:val="22"/>
        </w:rPr>
        <w:t>O</w:t>
      </w:r>
      <w:r w:rsidRPr="00007A8E">
        <w:rPr>
          <w:rStyle w:val="None"/>
          <w:sz w:val="22"/>
          <w:szCs w:val="22"/>
          <w:vertAlign w:val="subscript"/>
        </w:rPr>
        <w:t>2</w:t>
      </w:r>
      <w:r w:rsidRPr="00007A8E">
        <w:rPr>
          <w:rStyle w:val="None"/>
          <w:sz w:val="22"/>
          <w:szCs w:val="22"/>
        </w:rPr>
        <w:t xml:space="preserve"> treatment. In brief, RAD51 levels are downregulated at the 24-hour time-point (and remain unaffected at 30 minutes and 2 hours), compared to untreated cells. In contrast, TP53BP1 levels are sharply upregulated at 30 minutes, reaching</w:t>
      </w:r>
      <w:r w:rsidRPr="00007A8E">
        <w:rPr>
          <w:rStyle w:val="None"/>
          <w:color w:val="auto"/>
          <w:sz w:val="22"/>
          <w:szCs w:val="22"/>
        </w:rPr>
        <w:t xml:space="preserve"> a maximum </w:t>
      </w:r>
      <w:r w:rsidRPr="00007A8E">
        <w:rPr>
          <w:rStyle w:val="None"/>
          <w:sz w:val="22"/>
          <w:szCs w:val="22"/>
        </w:rPr>
        <w:t xml:space="preserve">at 2 hours </w:t>
      </w:r>
      <w:r w:rsidRPr="00007A8E">
        <w:rPr>
          <w:rStyle w:val="None"/>
          <w:sz w:val="22"/>
          <w:szCs w:val="22"/>
        </w:rPr>
        <w:t xml:space="preserve">and reducing at 24 hours. Essentially, three TP53BP1 protein isoforms occurred at 2 hr, while two isoforms occurred at 30 min and 24 hr. Therefore, the 30-minute time-point was selected for further analysis. </w:t>
      </w:r>
      <w:r w:rsidRPr="00007A8E">
        <w:rPr>
          <w:rStyle w:val="None"/>
          <w:bCs/>
          <w:sz w:val="22"/>
          <w:szCs w:val="22"/>
        </w:rPr>
        <w:t>A</w:t>
      </w:r>
      <w:r w:rsidRPr="00007A8E">
        <w:rPr>
          <w:rStyle w:val="None"/>
          <w:sz w:val="22"/>
          <w:szCs w:val="22"/>
        </w:rPr>
        <w:t xml:space="preserve"> relative TP53BP1</w:t>
      </w:r>
      <w:r w:rsidR="00C5260A" w:rsidRPr="00007A8E">
        <w:rPr>
          <w:rStyle w:val="None"/>
          <w:sz w:val="22"/>
          <w:szCs w:val="22"/>
        </w:rPr>
        <w:t xml:space="preserve"> </w:t>
      </w:r>
      <w:r w:rsidRPr="00007A8E">
        <w:rPr>
          <w:rStyle w:val="None"/>
          <w:sz w:val="22"/>
          <w:szCs w:val="22"/>
        </w:rPr>
        <w:t>expression (</w:t>
      </w:r>
      <w:r w:rsidRPr="00007A8E">
        <w:rPr>
          <w:rStyle w:val="None"/>
          <w:b/>
          <w:sz w:val="22"/>
          <w:szCs w:val="22"/>
        </w:rPr>
        <w:t>C</w:t>
      </w:r>
      <w:r w:rsidRPr="00007A8E">
        <w:rPr>
          <w:rStyle w:val="None"/>
          <w:sz w:val="22"/>
          <w:szCs w:val="22"/>
        </w:rPr>
        <w:t>) and a relative</w:t>
      </w:r>
      <w:r w:rsidRPr="00007A8E">
        <w:rPr>
          <w:rStyle w:val="None"/>
          <w:sz w:val="22"/>
          <w:szCs w:val="22"/>
        </w:rPr>
        <w:t xml:space="preserve"> </w:t>
      </w:r>
      <w:r w:rsidRPr="00007A8E">
        <w:rPr>
          <w:rStyle w:val="None"/>
          <w:sz w:val="22"/>
          <w:szCs w:val="22"/>
        </w:rPr>
        <w:lastRenderedPageBreak/>
        <w:t>phosphorylated ATM level</w:t>
      </w:r>
      <w:r w:rsidR="00007A8E" w:rsidRPr="00007A8E">
        <w:rPr>
          <w:rStyle w:val="None"/>
          <w:sz w:val="22"/>
          <w:szCs w:val="22"/>
        </w:rPr>
        <w:t xml:space="preserve"> (D)</w:t>
      </w:r>
      <w:r w:rsidRPr="00007A8E">
        <w:rPr>
          <w:rStyle w:val="None"/>
          <w:sz w:val="22"/>
          <w:szCs w:val="22"/>
        </w:rPr>
        <w:t xml:space="preserve"> in KDM7A-DT knock-down v.s. control in a </w:t>
      </w:r>
      <w:r w:rsidR="00C5260A" w:rsidRPr="00007A8E">
        <w:rPr>
          <w:rStyle w:val="None"/>
          <w:sz w:val="22"/>
          <w:szCs w:val="22"/>
        </w:rPr>
        <w:t xml:space="preserve">nuclear area T47D BC cell </w:t>
      </w:r>
      <w:r w:rsidRPr="00007A8E">
        <w:rPr>
          <w:rStyle w:val="None"/>
          <w:sz w:val="22"/>
          <w:szCs w:val="22"/>
        </w:rPr>
        <w:t>under untreated conditions and after 30 minutes of OS (H</w:t>
      </w:r>
      <w:r w:rsidRPr="00007A8E">
        <w:rPr>
          <w:rStyle w:val="None"/>
          <w:sz w:val="22"/>
          <w:szCs w:val="22"/>
          <w:vertAlign w:val="subscript"/>
        </w:rPr>
        <w:t>2</w:t>
      </w:r>
      <w:r w:rsidRPr="00007A8E">
        <w:rPr>
          <w:rStyle w:val="None"/>
          <w:sz w:val="22"/>
          <w:szCs w:val="22"/>
        </w:rPr>
        <w:t>O</w:t>
      </w:r>
      <w:r w:rsidRPr="00007A8E">
        <w:rPr>
          <w:rStyle w:val="None"/>
          <w:sz w:val="22"/>
          <w:szCs w:val="22"/>
          <w:vertAlign w:val="subscript"/>
        </w:rPr>
        <w:t>2</w:t>
      </w:r>
      <w:r w:rsidRPr="00007A8E">
        <w:rPr>
          <w:rStyle w:val="None"/>
          <w:sz w:val="22"/>
          <w:szCs w:val="22"/>
        </w:rPr>
        <w:t xml:space="preserve">, 0.2 mM) compared to control cells (Nc LNA).  </w:t>
      </w:r>
    </w:p>
    <w:p w14:paraId="1C2D243A" w14:textId="77777777" w:rsidR="003A04D3" w:rsidRPr="00007A8E" w:rsidRDefault="003A04D3">
      <w:pPr>
        <w:pStyle w:val="BodyA"/>
        <w:spacing w:line="360" w:lineRule="auto"/>
        <w:rPr>
          <w:rStyle w:val="NoneA"/>
          <w:sz w:val="22"/>
          <w:szCs w:val="22"/>
        </w:rPr>
      </w:pPr>
    </w:p>
    <w:p w14:paraId="0AD39300" w14:textId="13524750" w:rsidR="003A04D3" w:rsidRDefault="000B756A">
      <w:pPr>
        <w:pStyle w:val="BodyA"/>
        <w:spacing w:line="360" w:lineRule="auto"/>
        <w:jc w:val="both"/>
        <w:rPr>
          <w:rStyle w:val="NoneA"/>
          <w:sz w:val="22"/>
          <w:szCs w:val="22"/>
        </w:rPr>
      </w:pPr>
      <w:bookmarkStart w:id="1" w:name="_Hlk107517602"/>
      <w:r w:rsidRPr="00007A8E">
        <w:rPr>
          <w:rStyle w:val="None"/>
          <w:b/>
          <w:bCs/>
          <w:color w:val="000000" w:themeColor="text1"/>
          <w:sz w:val="22"/>
          <w:szCs w:val="22"/>
          <w:lang w:val="it-IT"/>
        </w:rPr>
        <w:t>Figure S10</w:t>
      </w:r>
      <w:r w:rsidRPr="00007A8E">
        <w:rPr>
          <w:rStyle w:val="None"/>
          <w:color w:val="000000" w:themeColor="text1"/>
          <w:sz w:val="22"/>
          <w:szCs w:val="22"/>
        </w:rPr>
        <w:t xml:space="preserve">. </w:t>
      </w:r>
      <w:r w:rsidRPr="00007A8E">
        <w:rPr>
          <w:rStyle w:val="NoneA"/>
          <w:sz w:val="22"/>
          <w:szCs w:val="22"/>
        </w:rPr>
        <w:t>Venn diagram of TCGA BRCA samples genes</w:t>
      </w:r>
      <w:r w:rsidRPr="00007A8E">
        <w:rPr>
          <w:rStyle w:val="NoneA"/>
          <w:sz w:val="22"/>
          <w:szCs w:val="22"/>
        </w:rPr>
        <w:t xml:space="preserve"> that are positive- (</w:t>
      </w:r>
      <w:r w:rsidRPr="00007A8E">
        <w:rPr>
          <w:rStyle w:val="NoneA"/>
          <w:b/>
          <w:bCs/>
          <w:sz w:val="22"/>
          <w:szCs w:val="22"/>
        </w:rPr>
        <w:t>A</w:t>
      </w:r>
      <w:r w:rsidRPr="00007A8E">
        <w:rPr>
          <w:rStyle w:val="NoneA"/>
          <w:sz w:val="22"/>
          <w:szCs w:val="22"/>
        </w:rPr>
        <w:t>) and negative- (</w:t>
      </w:r>
      <w:r w:rsidRPr="00007A8E">
        <w:rPr>
          <w:rStyle w:val="NoneA"/>
          <w:b/>
          <w:bCs/>
          <w:sz w:val="22"/>
          <w:szCs w:val="22"/>
        </w:rPr>
        <w:t>B</w:t>
      </w:r>
      <w:r w:rsidRPr="00007A8E">
        <w:rPr>
          <w:rStyle w:val="NoneA"/>
          <w:sz w:val="22"/>
          <w:szCs w:val="22"/>
        </w:rPr>
        <w:t xml:space="preserve">) correlated with the expression level of KDM7A-DT RNA. TCGA data gene subsets were categorized into Tumor suppressors and Oncogenes, and also Type II EMT genes (BRCA RNA-seq expression data were </w:t>
      </w:r>
      <w:r w:rsidR="00007A8E" w:rsidRPr="00007A8E">
        <w:rPr>
          <w:rStyle w:val="NoneA"/>
          <w:sz w:val="22"/>
          <w:szCs w:val="22"/>
        </w:rPr>
        <w:t>analyzed</w:t>
      </w:r>
      <w:r w:rsidRPr="00007A8E">
        <w:rPr>
          <w:rStyle w:val="NoneA"/>
          <w:sz w:val="22"/>
          <w:szCs w:val="22"/>
        </w:rPr>
        <w:t>, see Method</w:t>
      </w:r>
      <w:r w:rsidRPr="00007A8E">
        <w:rPr>
          <w:rStyle w:val="NoneA"/>
          <w:sz w:val="22"/>
          <w:szCs w:val="22"/>
        </w:rPr>
        <w:t>s).</w:t>
      </w:r>
      <w:r w:rsidRPr="00007A8E">
        <w:rPr>
          <w:sz w:val="22"/>
          <w:szCs w:val="22"/>
          <w:lang w:val="en-GB"/>
        </w:rPr>
        <w:t xml:space="preserve"> </w:t>
      </w:r>
      <w:r w:rsidRPr="00007A8E">
        <w:rPr>
          <w:rStyle w:val="None"/>
          <w:sz w:val="22"/>
          <w:szCs w:val="22"/>
          <w:lang w:val="en-GB"/>
        </w:rPr>
        <w:t>Datasets from the dbEMT-2 database were used.</w:t>
      </w:r>
      <w:bookmarkEnd w:id="1"/>
    </w:p>
    <w:p w14:paraId="71BB16E0" w14:textId="77777777" w:rsidR="003A04D3" w:rsidRDefault="003A04D3">
      <w:pPr>
        <w:pStyle w:val="BodyA"/>
        <w:spacing w:line="360" w:lineRule="auto"/>
        <w:rPr>
          <w:rStyle w:val="NoneA"/>
          <w:sz w:val="22"/>
          <w:szCs w:val="22"/>
        </w:rPr>
      </w:pPr>
    </w:p>
    <w:p w14:paraId="31699233" w14:textId="1A769566" w:rsidR="003A04D3" w:rsidRDefault="000B756A">
      <w:pPr>
        <w:pStyle w:val="BodyA"/>
        <w:spacing w:line="360" w:lineRule="auto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Figure S11. </w:t>
      </w:r>
      <w:r>
        <w:rPr>
          <w:rStyle w:val="None"/>
          <w:sz w:val="22"/>
          <w:szCs w:val="22"/>
        </w:rPr>
        <w:t xml:space="preserve"> Survival prediction analysis of BC patients defined by the mRNA level of tumor suppressor SMAD3 that expression was negatively correlated with KDM7A-DT expression.</w:t>
      </w:r>
      <w:r>
        <w:rPr>
          <w:rStyle w:val="None"/>
          <w:b/>
          <w:bCs/>
          <w:sz w:val="22"/>
          <w:szCs w:val="22"/>
        </w:rPr>
        <w:t xml:space="preserve"> A</w:t>
      </w:r>
      <w:r>
        <w:rPr>
          <w:rStyle w:val="None"/>
          <w:sz w:val="22"/>
          <w:szCs w:val="22"/>
        </w:rPr>
        <w:t xml:space="preserve">. Affymetrix U133A </w:t>
      </w:r>
      <w:r>
        <w:rPr>
          <w:rStyle w:val="None"/>
          <w:sz w:val="22"/>
          <w:szCs w:val="22"/>
        </w:rPr>
        <w:t>microarray expression data of SMAD3 (</w:t>
      </w:r>
      <w:r>
        <w:rPr>
          <w:rStyle w:val="None"/>
          <w:sz w:val="22"/>
          <w:szCs w:val="22"/>
          <w:lang w:val="de-DE"/>
        </w:rPr>
        <w:t xml:space="preserve">probesets 205396_at), </w:t>
      </w:r>
      <w:r>
        <w:rPr>
          <w:rStyle w:val="None"/>
          <w:sz w:val="22"/>
          <w:szCs w:val="22"/>
        </w:rPr>
        <w:t>progression-free survival (PFS) time, and events for all BC 4,929 patients available from the Kaplan-Meier Plotter (K-M plotter) database (</w:t>
      </w:r>
      <w:hyperlink r:id="rId6">
        <w:r>
          <w:rPr>
            <w:rStyle w:val="Hyperlink4"/>
          </w:rPr>
          <w:t>https://kmplot.com/analysis/index.php?p=service</w:t>
        </w:r>
      </w:hyperlink>
      <w:r>
        <w:rPr>
          <w:rStyle w:val="None"/>
          <w:sz w:val="22"/>
          <w:szCs w:val="22"/>
        </w:rPr>
        <w:t xml:space="preserve">). </w:t>
      </w:r>
      <w:r>
        <w:rPr>
          <w:rStyle w:val="None"/>
          <w:b/>
          <w:bCs/>
          <w:sz w:val="22"/>
          <w:szCs w:val="22"/>
        </w:rPr>
        <w:t>B.</w:t>
      </w:r>
      <w:r>
        <w:rPr>
          <w:rStyle w:val="None"/>
          <w:sz w:val="22"/>
          <w:szCs w:val="22"/>
        </w:rPr>
        <w:t xml:space="preserve"> The K-M survival functions for 446 basal-like (BL) BC patients. The functions were defined under the same conditions as for all patients. </w:t>
      </w:r>
    </w:p>
    <w:p w14:paraId="3A1A8E10" w14:textId="77777777" w:rsidR="003A04D3" w:rsidRDefault="003A04D3">
      <w:pPr>
        <w:pStyle w:val="BodyA"/>
        <w:spacing w:line="360" w:lineRule="auto"/>
        <w:rPr>
          <w:rStyle w:val="None"/>
          <w:b/>
          <w:bCs/>
          <w:sz w:val="22"/>
          <w:szCs w:val="22"/>
        </w:rPr>
      </w:pPr>
    </w:p>
    <w:sectPr w:rsidR="003A04D3">
      <w:footerReference w:type="default" r:id="rId7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8F252" w14:textId="77777777" w:rsidR="007C338A" w:rsidRDefault="007C338A">
      <w:r>
        <w:separator/>
      </w:r>
    </w:p>
  </w:endnote>
  <w:endnote w:type="continuationSeparator" w:id="0">
    <w:p w14:paraId="75A74693" w14:textId="77777777" w:rsidR="007C338A" w:rsidRDefault="007C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C7BA" w14:textId="77777777" w:rsidR="003A04D3" w:rsidRDefault="000B756A">
    <w:pPr>
      <w:pStyle w:val="BodyA"/>
      <w:tabs>
        <w:tab w:val="center" w:pos="4153"/>
        <w:tab w:val="right" w:pos="830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A7541" w14:textId="77777777" w:rsidR="007C338A" w:rsidRDefault="007C338A">
      <w:r>
        <w:separator/>
      </w:r>
    </w:p>
  </w:footnote>
  <w:footnote w:type="continuationSeparator" w:id="0">
    <w:p w14:paraId="11928B8F" w14:textId="77777777" w:rsidR="007C338A" w:rsidRDefault="007C3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NTOwMDQ2NzS1NLVQ0lEKTi0uzszPAykwrAUACyWrNywAAAA="/>
  </w:docVars>
  <w:rsids>
    <w:rsidRoot w:val="003A04D3"/>
    <w:rsid w:val="00007A8E"/>
    <w:rsid w:val="000B756A"/>
    <w:rsid w:val="001B32F2"/>
    <w:rsid w:val="003A04D3"/>
    <w:rsid w:val="007C338A"/>
    <w:rsid w:val="00C5260A"/>
    <w:rsid w:val="00E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9E89"/>
  <w15:docId w15:val="{DA71C39B-C31F-40B6-8310-CFE1F2EB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929"/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A">
    <w:name w:val="None A"/>
    <w:qFormat/>
    <w:rsid w:val="00CA4929"/>
    <w:rPr>
      <w:lang w:val="en-US"/>
    </w:rPr>
  </w:style>
  <w:style w:type="character" w:customStyle="1" w:styleId="None">
    <w:name w:val="None"/>
    <w:qFormat/>
    <w:rsid w:val="00CA4929"/>
  </w:style>
  <w:style w:type="character" w:customStyle="1" w:styleId="Hyperlink4">
    <w:name w:val="Hyperlink.4"/>
    <w:basedOn w:val="None"/>
    <w:qFormat/>
    <w:rsid w:val="00CA4929"/>
    <w:rPr>
      <w:outline w:val="0"/>
      <w:color w:val="0000FF"/>
      <w:sz w:val="22"/>
      <w:szCs w:val="22"/>
      <w:u w:val="single" w:color="0000FF"/>
      <w:lang w:val="en-US"/>
    </w:rPr>
  </w:style>
  <w:style w:type="character" w:customStyle="1" w:styleId="BodyAChar">
    <w:name w:val="Body A Char"/>
    <w:basedOn w:val="DefaultParagraphFont"/>
    <w:link w:val="BodyA"/>
    <w:qFormat/>
    <w:rsid w:val="00CA4929"/>
    <w:rPr>
      <w:rFonts w:ascii="Times New Roman" w:eastAsia="Arial Unicode MS" w:hAnsi="Times New Roman" w:cs="Arial Unicode MS"/>
      <w:color w:val="000000"/>
      <w:sz w:val="24"/>
      <w:szCs w:val="24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next w:val="BodyText"/>
    <w:qFormat/>
    <w:rsid w:val="00CA4929"/>
    <w:pPr>
      <w:keepLines/>
      <w:spacing w:before="240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A">
    <w:name w:val="Body A"/>
    <w:link w:val="BodyAChar"/>
    <w:qFormat/>
    <w:rsid w:val="00CA4929"/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qFormat/>
    <w:rsid w:val="00CA4929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plot.com/analysis/index.php?p=servi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SUNY Upstate Medical University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Kuznetsov</dc:creator>
  <dc:description/>
  <cp:lastModifiedBy>VLADIMIR Kuznetsov</cp:lastModifiedBy>
  <cp:revision>12</cp:revision>
  <cp:lastPrinted>2022-07-15T19:47:00Z</cp:lastPrinted>
  <dcterms:created xsi:type="dcterms:W3CDTF">2022-07-16T06:22:00Z</dcterms:created>
  <dcterms:modified xsi:type="dcterms:W3CDTF">2022-08-11T01:48:00Z</dcterms:modified>
  <dc:language>el-GR</dc:language>
</cp:coreProperties>
</file>