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b/>
          <w:sz w:val="24"/>
        </w:rPr>
      </w:pPr>
      <w:bookmarkStart w:id="0" w:name="OLE_LINK2"/>
      <w:r>
        <w:rPr>
          <w:rFonts w:ascii="Times New Roman" w:hAnsi="Times New Roman" w:cs="Times New Roman"/>
          <w:b/>
          <w:sz w:val="24"/>
        </w:rPr>
        <w:t>Supp</w:t>
      </w:r>
      <w:r>
        <w:rPr>
          <w:rFonts w:hint="eastAsia" w:ascii="Times New Roman" w:hAnsi="Times New Roman" w:cs="Times New Roman"/>
          <w:b/>
          <w:sz w:val="24"/>
          <w:lang w:val="en-US" w:eastAsia="zh-CN"/>
        </w:rPr>
        <w:t>lementary</w:t>
      </w:r>
      <w:bookmarkStart w:id="3" w:name="_GoBack"/>
      <w:bookmarkEnd w:id="3"/>
      <w:r>
        <w:rPr>
          <w:rFonts w:ascii="Times New Roman" w:hAnsi="Times New Roman" w:cs="Times New Roman"/>
          <w:b/>
          <w:sz w:val="24"/>
        </w:rPr>
        <w:t xml:space="preserve"> Information</w:t>
      </w:r>
    </w:p>
    <w:bookmarkEnd w:id="0"/>
    <w:p>
      <w:pPr>
        <w:jc w:val="left"/>
        <w:rPr>
          <w:rFonts w:ascii="TimesNewRomanPSMT" w:hAnsi="TimesNewRomanPSMT" w:eastAsia="TimesNewRomanPSMT"/>
          <w:sz w:val="22"/>
        </w:rPr>
      </w:pPr>
    </w:p>
    <w:p>
      <w:pPr>
        <w:jc w:val="left"/>
        <w:rPr>
          <w:rFonts w:ascii="TimesNewRomanPSMT" w:hAnsi="TimesNewRomanPSMT" w:eastAsia="TimesNewRomanPSMT"/>
          <w:sz w:val="22"/>
        </w:rPr>
      </w:pPr>
    </w:p>
    <w:p>
      <w:pPr>
        <w:jc w:val="left"/>
        <w:rPr>
          <w:rFonts w:ascii="TimesNewRomanPSMT" w:hAnsi="TimesNewRomanPSMT" w:eastAsia="宋体"/>
          <w:sz w:val="22"/>
        </w:rPr>
      </w:pPr>
      <w:r>
        <w:rPr>
          <w:rFonts w:ascii="TimesNewRomanPSMT" w:hAnsi="TimesNewRomanPSMT" w:eastAsia="TimesNewRomanPSMT"/>
          <w:sz w:val="22"/>
        </w:rPr>
        <w:t xml:space="preserve">Number of pages: </w:t>
      </w:r>
      <w:r>
        <w:rPr>
          <w:rFonts w:hint="eastAsia" w:ascii="TimesNewRomanPSMT" w:hAnsi="TimesNewRomanPSMT" w:eastAsia="宋体"/>
          <w:sz w:val="22"/>
        </w:rPr>
        <w:t>10</w:t>
      </w:r>
    </w:p>
    <w:p>
      <w:pPr>
        <w:jc w:val="left"/>
        <w:rPr>
          <w:rFonts w:ascii="TimesNewRomanPSMT" w:hAnsi="TimesNewRomanPSMT" w:eastAsia="宋体"/>
          <w:sz w:val="22"/>
        </w:rPr>
      </w:pPr>
      <w:r>
        <w:rPr>
          <w:rFonts w:ascii="TimesNewRomanPSMT" w:hAnsi="TimesNewRomanPSMT" w:eastAsia="TimesNewRomanPSMT"/>
          <w:sz w:val="22"/>
        </w:rPr>
        <w:t xml:space="preserve">Number of figures: </w:t>
      </w:r>
      <w:r>
        <w:rPr>
          <w:rFonts w:hint="eastAsia" w:ascii="TimesNewRomanPSMT" w:hAnsi="TimesNewRomanPSMT" w:eastAsia="宋体"/>
          <w:sz w:val="22"/>
        </w:rPr>
        <w:t>9</w:t>
      </w:r>
    </w:p>
    <w:p>
      <w:pPr>
        <w:jc w:val="left"/>
        <w:rPr>
          <w:rFonts w:ascii="TimesNewRomanPSMT" w:hAnsi="TimesNewRomanPSMT" w:eastAsia="TimesNewRomanPSMT"/>
          <w:sz w:val="22"/>
        </w:rPr>
      </w:pPr>
      <w:r>
        <w:rPr>
          <w:rFonts w:ascii="TimesNewRomanPSMT" w:hAnsi="TimesNewRomanPSMT" w:eastAsia="TimesNewRomanPSMT"/>
          <w:sz w:val="22"/>
        </w:rPr>
        <w:t>Number of tables: 3</w:t>
      </w:r>
    </w:p>
    <w:p>
      <w:pPr>
        <w:jc w:val="center"/>
        <w:rPr>
          <w:rFonts w:ascii="Times New Roman" w:hAnsi="Times New Roman" w:cs="Times New Roman"/>
          <w:b/>
          <w:sz w:val="24"/>
        </w:rPr>
      </w:pPr>
    </w:p>
    <w:p>
      <w:pPr>
        <w:spacing w:line="276" w:lineRule="auto"/>
      </w:pPr>
      <w:r>
        <w:rPr>
          <w:rFonts w:hint="eastAsia" w:ascii="Times New Roman" w:hAnsi="Times New Roman"/>
          <w:sz w:val="22"/>
        </w:rPr>
        <w:t xml:space="preserve">Table S1. </w:t>
      </w:r>
      <w:r>
        <w:rPr>
          <w:rFonts w:ascii="Times New Roman" w:hAnsi="Times New Roman"/>
          <w:sz w:val="22"/>
        </w:rPr>
        <w:t xml:space="preserve">Demographics of </w:t>
      </w:r>
      <w:r>
        <w:rPr>
          <w:rFonts w:hint="eastAsia" w:ascii="Times New Roman" w:hAnsi="Times New Roman"/>
          <w:sz w:val="22"/>
        </w:rPr>
        <w:t>subjects after</w:t>
      </w:r>
      <w:r>
        <w:rPr>
          <w:rFonts w:ascii="Times New Roman" w:hAnsi="Times New Roman"/>
        </w:rPr>
        <w:t xml:space="preserve"> divided into three groups according to the LPS tertiles</w:t>
      </w:r>
    </w:p>
    <w:tbl>
      <w:tblPr>
        <w:tblStyle w:val="5"/>
        <w:tblW w:w="8856"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1"/>
        <w:gridCol w:w="1488"/>
        <w:gridCol w:w="1458"/>
        <w:gridCol w:w="1881"/>
        <w:gridCol w:w="141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9" w:hRule="exact"/>
        </w:trPr>
        <w:tc>
          <w:tcPr>
            <w:tcW w:w="2611" w:type="dxa"/>
            <w:tcBorders>
              <w:top w:val="single" w:color="auto" w:sz="4" w:space="0"/>
              <w:bottom w:val="single" w:color="auto" w:sz="4" w:space="0"/>
            </w:tcBorders>
            <w:vAlign w:val="center"/>
          </w:tcPr>
          <w:p>
            <w:pPr>
              <w:jc w:val="center"/>
              <w:rPr>
                <w:rFonts w:ascii="Times New Roman" w:hAnsi="Times New Roman"/>
              </w:rPr>
            </w:pPr>
            <w:r>
              <w:rPr>
                <w:rFonts w:ascii="Times New Roman" w:hAnsi="Times New Roman"/>
              </w:rPr>
              <w:t>Characteristic</w:t>
            </w:r>
          </w:p>
        </w:tc>
        <w:tc>
          <w:tcPr>
            <w:tcW w:w="1488" w:type="dxa"/>
            <w:tcBorders>
              <w:top w:val="single" w:color="auto" w:sz="4" w:space="0"/>
              <w:bottom w:val="single" w:color="auto" w:sz="4" w:space="0"/>
            </w:tcBorders>
            <w:vAlign w:val="center"/>
          </w:tcPr>
          <w:p>
            <w:pPr>
              <w:jc w:val="center"/>
              <w:rPr>
                <w:rFonts w:ascii="Times New Roman" w:hAnsi="Times New Roman"/>
                <w:color w:val="000000"/>
                <w:sz w:val="20"/>
                <w:szCs w:val="20"/>
              </w:rPr>
            </w:pPr>
            <w:r>
              <w:rPr>
                <w:rFonts w:ascii="Times New Roman" w:hAnsi="Times New Roman"/>
                <w:color w:val="000000"/>
                <w:sz w:val="20"/>
                <w:szCs w:val="20"/>
              </w:rPr>
              <w:t>LPS(EU/mL)</w:t>
            </w:r>
          </w:p>
          <w:p>
            <w:pPr>
              <w:jc w:val="center"/>
              <w:rPr>
                <w:rFonts w:ascii="Times New Roman" w:hAnsi="Times New Roman"/>
              </w:rPr>
            </w:pPr>
            <w:r>
              <w:rPr>
                <w:rFonts w:ascii="Times New Roman" w:hAnsi="Times New Roman"/>
                <w:color w:val="000000"/>
                <w:sz w:val="20"/>
                <w:szCs w:val="20"/>
              </w:rPr>
              <w:t>Min-&lt;0.039</w:t>
            </w:r>
          </w:p>
        </w:tc>
        <w:tc>
          <w:tcPr>
            <w:tcW w:w="1458" w:type="dxa"/>
            <w:tcBorders>
              <w:top w:val="single" w:color="auto" w:sz="4" w:space="0"/>
              <w:bottom w:val="single" w:color="auto" w:sz="4" w:space="0"/>
            </w:tcBorders>
            <w:vAlign w:val="center"/>
          </w:tcPr>
          <w:p>
            <w:pPr>
              <w:jc w:val="center"/>
              <w:rPr>
                <w:rFonts w:ascii="Times New Roman" w:hAnsi="Times New Roman"/>
                <w:color w:val="000000"/>
                <w:sz w:val="20"/>
                <w:szCs w:val="20"/>
              </w:rPr>
            </w:pPr>
            <w:r>
              <w:rPr>
                <w:rFonts w:ascii="Times New Roman" w:hAnsi="Times New Roman"/>
                <w:color w:val="000000"/>
                <w:sz w:val="20"/>
                <w:szCs w:val="20"/>
              </w:rPr>
              <w:t>LPS(EU/mL)</w:t>
            </w:r>
          </w:p>
          <w:p>
            <w:pPr>
              <w:jc w:val="center"/>
              <w:rPr>
                <w:rFonts w:ascii="Times New Roman" w:hAnsi="Times New Roman"/>
                <w:color w:val="000000"/>
                <w:sz w:val="20"/>
                <w:szCs w:val="20"/>
              </w:rPr>
            </w:pPr>
            <w:r>
              <w:rPr>
                <w:rFonts w:ascii="Times New Roman" w:hAnsi="Times New Roman"/>
                <w:color w:val="000000"/>
                <w:sz w:val="20"/>
                <w:szCs w:val="20"/>
              </w:rPr>
              <w:t>0.039-&lt;0.104</w:t>
            </w:r>
          </w:p>
        </w:tc>
        <w:tc>
          <w:tcPr>
            <w:tcW w:w="1881" w:type="dxa"/>
            <w:tcBorders>
              <w:top w:val="single" w:color="auto" w:sz="4" w:space="0"/>
              <w:bottom w:val="single" w:color="auto" w:sz="4" w:space="0"/>
            </w:tcBorders>
            <w:vAlign w:val="center"/>
          </w:tcPr>
          <w:p>
            <w:pPr>
              <w:jc w:val="center"/>
              <w:rPr>
                <w:rFonts w:ascii="Times New Roman" w:hAnsi="Times New Roman"/>
                <w:color w:val="000000"/>
                <w:sz w:val="20"/>
                <w:szCs w:val="20"/>
              </w:rPr>
            </w:pPr>
            <w:r>
              <w:rPr>
                <w:rFonts w:ascii="Times New Roman" w:hAnsi="Times New Roman"/>
                <w:color w:val="000000"/>
                <w:sz w:val="20"/>
                <w:szCs w:val="20"/>
              </w:rPr>
              <w:t>LPS(EU/mL)</w:t>
            </w:r>
          </w:p>
          <w:p>
            <w:pPr>
              <w:jc w:val="center"/>
              <w:rPr>
                <w:rFonts w:ascii="Times New Roman" w:hAnsi="Times New Roman"/>
              </w:rPr>
            </w:pPr>
            <w:r>
              <w:rPr>
                <w:rFonts w:ascii="Times New Roman" w:hAnsi="Times New Roman"/>
                <w:color w:val="000000"/>
                <w:sz w:val="20"/>
                <w:szCs w:val="20"/>
              </w:rPr>
              <w:t>0.104-max</w:t>
            </w:r>
          </w:p>
        </w:tc>
        <w:tc>
          <w:tcPr>
            <w:tcW w:w="1418" w:type="dxa"/>
            <w:tcBorders>
              <w:top w:val="single" w:color="auto" w:sz="4" w:space="0"/>
              <w:bottom w:val="single" w:color="auto" w:sz="4" w:space="0"/>
            </w:tcBorders>
            <w:vAlign w:val="center"/>
          </w:tcPr>
          <w:p>
            <w:pPr>
              <w:jc w:val="center"/>
              <w:rPr>
                <w:rFonts w:ascii="Times New Roman" w:hAnsi="Times New Roman"/>
              </w:rPr>
            </w:pPr>
            <w:r>
              <w:rPr>
                <w:rFonts w:ascii="Times New Roman" w:hAnsi="Times New Roman"/>
                <w:i/>
              </w:rPr>
              <w:t>P</w:t>
            </w:r>
            <w:r>
              <w:rPr>
                <w:rFonts w:ascii="Times New Roman" w:hAnsi="Times New Roman"/>
              </w:rPr>
              <w:t xml:space="preserve"> 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tcBorders>
              <w:top w:val="single" w:color="auto" w:sz="4" w:space="0"/>
              <w:bottom w:val="nil"/>
            </w:tcBorders>
            <w:vAlign w:val="center"/>
          </w:tcPr>
          <w:p>
            <w:pPr>
              <w:jc w:val="left"/>
              <w:rPr>
                <w:rFonts w:ascii="Times New Roman" w:hAnsi="Times New Roman"/>
              </w:rPr>
            </w:pPr>
            <w:r>
              <w:rPr>
                <w:rFonts w:ascii="Times New Roman" w:hAnsi="Times New Roman"/>
              </w:rPr>
              <w:t>n</w:t>
            </w:r>
          </w:p>
        </w:tc>
        <w:tc>
          <w:tcPr>
            <w:tcW w:w="1488" w:type="dxa"/>
            <w:tcBorders>
              <w:top w:val="single" w:color="auto" w:sz="4" w:space="0"/>
              <w:bottom w:val="nil"/>
            </w:tcBorders>
            <w:vAlign w:val="center"/>
          </w:tcPr>
          <w:p>
            <w:pPr>
              <w:jc w:val="center"/>
              <w:rPr>
                <w:rFonts w:ascii="Times New Roman" w:hAnsi="Times New Roman"/>
              </w:rPr>
            </w:pPr>
            <w:r>
              <w:rPr>
                <w:rFonts w:ascii="Times New Roman" w:hAnsi="Times New Roman"/>
              </w:rPr>
              <w:t>104</w:t>
            </w:r>
          </w:p>
        </w:tc>
        <w:tc>
          <w:tcPr>
            <w:tcW w:w="1458" w:type="dxa"/>
            <w:tcBorders>
              <w:top w:val="single" w:color="auto" w:sz="4" w:space="0"/>
              <w:bottom w:val="nil"/>
            </w:tcBorders>
            <w:vAlign w:val="center"/>
          </w:tcPr>
          <w:p>
            <w:pPr>
              <w:jc w:val="center"/>
              <w:rPr>
                <w:rFonts w:ascii="Times New Roman" w:hAnsi="Times New Roman"/>
              </w:rPr>
            </w:pPr>
            <w:r>
              <w:rPr>
                <w:rFonts w:ascii="Times New Roman" w:hAnsi="Times New Roman"/>
              </w:rPr>
              <w:t>105</w:t>
            </w:r>
          </w:p>
        </w:tc>
        <w:tc>
          <w:tcPr>
            <w:tcW w:w="1881" w:type="dxa"/>
            <w:tcBorders>
              <w:top w:val="single" w:color="auto" w:sz="4" w:space="0"/>
              <w:bottom w:val="nil"/>
            </w:tcBorders>
            <w:vAlign w:val="center"/>
          </w:tcPr>
          <w:p>
            <w:pPr>
              <w:jc w:val="center"/>
              <w:rPr>
                <w:rFonts w:ascii="Times New Roman" w:hAnsi="Times New Roman"/>
              </w:rPr>
            </w:pPr>
            <w:r>
              <w:rPr>
                <w:rFonts w:ascii="Times New Roman" w:hAnsi="Times New Roman"/>
              </w:rPr>
              <w:t>106</w:t>
            </w:r>
          </w:p>
        </w:tc>
        <w:tc>
          <w:tcPr>
            <w:tcW w:w="1418" w:type="dxa"/>
            <w:tcBorders>
              <w:top w:val="single" w:color="auto" w:sz="4" w:space="0"/>
              <w:bottom w:val="nil"/>
            </w:tcBorders>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tcBorders>
              <w:top w:val="nil"/>
              <w:bottom w:val="nil"/>
            </w:tcBorders>
            <w:vAlign w:val="center"/>
          </w:tcPr>
          <w:p>
            <w:pPr>
              <w:jc w:val="left"/>
              <w:rPr>
                <w:rFonts w:ascii="Times New Roman" w:hAnsi="Times New Roman"/>
              </w:rPr>
            </w:pPr>
            <w:r>
              <w:rPr>
                <w:rFonts w:ascii="Times New Roman" w:hAnsi="Times New Roman"/>
              </w:rPr>
              <w:t>Age(y)</w:t>
            </w:r>
          </w:p>
        </w:tc>
        <w:tc>
          <w:tcPr>
            <w:tcW w:w="1488" w:type="dxa"/>
            <w:tcBorders>
              <w:top w:val="nil"/>
              <w:bottom w:val="nil"/>
            </w:tcBorders>
            <w:vAlign w:val="center"/>
          </w:tcPr>
          <w:p>
            <w:pPr>
              <w:jc w:val="center"/>
              <w:rPr>
                <w:rFonts w:ascii="Times New Roman" w:hAnsi="Times New Roman"/>
              </w:rPr>
            </w:pPr>
            <w:r>
              <w:rPr>
                <w:rFonts w:ascii="Times New Roman" w:hAnsi="Times New Roman"/>
              </w:rPr>
              <w:t>29.6±5.2</w:t>
            </w:r>
          </w:p>
        </w:tc>
        <w:tc>
          <w:tcPr>
            <w:tcW w:w="1458" w:type="dxa"/>
            <w:tcBorders>
              <w:top w:val="nil"/>
              <w:bottom w:val="nil"/>
            </w:tcBorders>
            <w:vAlign w:val="center"/>
          </w:tcPr>
          <w:p>
            <w:pPr>
              <w:jc w:val="center"/>
              <w:rPr>
                <w:rFonts w:ascii="Times New Roman" w:hAnsi="Times New Roman"/>
              </w:rPr>
            </w:pPr>
            <w:r>
              <w:rPr>
                <w:rFonts w:ascii="Times New Roman" w:hAnsi="Times New Roman"/>
              </w:rPr>
              <w:t>31.3±5.6</w:t>
            </w:r>
          </w:p>
        </w:tc>
        <w:tc>
          <w:tcPr>
            <w:tcW w:w="1881" w:type="dxa"/>
            <w:tcBorders>
              <w:top w:val="nil"/>
              <w:bottom w:val="nil"/>
            </w:tcBorders>
            <w:vAlign w:val="center"/>
          </w:tcPr>
          <w:p>
            <w:pPr>
              <w:jc w:val="center"/>
              <w:rPr>
                <w:rFonts w:ascii="Times New Roman" w:hAnsi="Times New Roman"/>
              </w:rPr>
            </w:pPr>
            <w:r>
              <w:rPr>
                <w:rFonts w:ascii="Times New Roman" w:hAnsi="Times New Roman"/>
              </w:rPr>
              <w:t>31.5±5.8</w:t>
            </w:r>
          </w:p>
        </w:tc>
        <w:tc>
          <w:tcPr>
            <w:tcW w:w="1418" w:type="dxa"/>
            <w:tcBorders>
              <w:top w:val="nil"/>
              <w:bottom w:val="nil"/>
            </w:tcBorders>
            <w:vAlign w:val="center"/>
          </w:tcPr>
          <w:p>
            <w:pPr>
              <w:jc w:val="center"/>
              <w:rPr>
                <w:rFonts w:ascii="Times New Roman" w:hAnsi="Times New Roman"/>
                <w:bCs/>
              </w:rPr>
            </w:pPr>
            <w:r>
              <w:rPr>
                <w:rFonts w:ascii="Times New Roman" w:hAnsi="Times New Roman"/>
                <w:bCs/>
              </w:rPr>
              <w:t>0.030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tcBorders>
              <w:top w:val="nil"/>
            </w:tcBorders>
            <w:vAlign w:val="center"/>
          </w:tcPr>
          <w:p>
            <w:pPr>
              <w:jc w:val="left"/>
              <w:rPr>
                <w:rFonts w:ascii="Times New Roman" w:hAnsi="Times New Roman"/>
              </w:rPr>
            </w:pPr>
            <w:r>
              <w:rPr>
                <w:rFonts w:ascii="Times New Roman" w:hAnsi="Times New Roman"/>
              </w:rPr>
              <w:t>Height(cm)</w:t>
            </w:r>
          </w:p>
        </w:tc>
        <w:tc>
          <w:tcPr>
            <w:tcW w:w="1488" w:type="dxa"/>
            <w:tcBorders>
              <w:top w:val="nil"/>
            </w:tcBorders>
            <w:vAlign w:val="center"/>
          </w:tcPr>
          <w:p>
            <w:pPr>
              <w:jc w:val="center"/>
              <w:rPr>
                <w:rFonts w:ascii="Times New Roman" w:hAnsi="Times New Roman"/>
              </w:rPr>
            </w:pPr>
            <w:r>
              <w:rPr>
                <w:rFonts w:ascii="Times New Roman" w:hAnsi="Times New Roman"/>
              </w:rPr>
              <w:t>175.5±4.4</w:t>
            </w:r>
          </w:p>
        </w:tc>
        <w:tc>
          <w:tcPr>
            <w:tcW w:w="1458" w:type="dxa"/>
            <w:tcBorders>
              <w:top w:val="nil"/>
            </w:tcBorders>
            <w:vAlign w:val="center"/>
          </w:tcPr>
          <w:p>
            <w:pPr>
              <w:jc w:val="center"/>
              <w:rPr>
                <w:rFonts w:ascii="Times New Roman" w:hAnsi="Times New Roman"/>
              </w:rPr>
            </w:pPr>
            <w:r>
              <w:rPr>
                <w:rFonts w:ascii="Times New Roman" w:hAnsi="Times New Roman"/>
              </w:rPr>
              <w:t>175.5±5.0</w:t>
            </w:r>
          </w:p>
        </w:tc>
        <w:tc>
          <w:tcPr>
            <w:tcW w:w="1881" w:type="dxa"/>
            <w:tcBorders>
              <w:top w:val="nil"/>
            </w:tcBorders>
            <w:vAlign w:val="center"/>
          </w:tcPr>
          <w:p>
            <w:pPr>
              <w:jc w:val="center"/>
              <w:rPr>
                <w:rFonts w:ascii="Times New Roman" w:hAnsi="Times New Roman"/>
              </w:rPr>
            </w:pPr>
            <w:r>
              <w:rPr>
                <w:rFonts w:ascii="Times New Roman" w:hAnsi="Times New Roman"/>
              </w:rPr>
              <w:t>176.5±5.0</w:t>
            </w:r>
          </w:p>
        </w:tc>
        <w:tc>
          <w:tcPr>
            <w:tcW w:w="1418" w:type="dxa"/>
            <w:tcBorders>
              <w:top w:val="nil"/>
            </w:tcBorders>
            <w:vAlign w:val="center"/>
          </w:tcPr>
          <w:p>
            <w:pPr>
              <w:jc w:val="center"/>
              <w:rPr>
                <w:rFonts w:ascii="Times New Roman" w:hAnsi="Times New Roman"/>
                <w:bCs/>
              </w:rPr>
            </w:pPr>
            <w:r>
              <w:rPr>
                <w:rFonts w:ascii="Times New Roman" w:hAnsi="Times New Roman"/>
                <w:bCs/>
              </w:rPr>
              <w:t>0.274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Body weight(kg)</w:t>
            </w:r>
          </w:p>
        </w:tc>
        <w:tc>
          <w:tcPr>
            <w:tcW w:w="1488" w:type="dxa"/>
            <w:vAlign w:val="center"/>
          </w:tcPr>
          <w:p>
            <w:pPr>
              <w:jc w:val="center"/>
              <w:rPr>
                <w:rFonts w:ascii="Times New Roman" w:hAnsi="Times New Roman"/>
              </w:rPr>
            </w:pPr>
            <w:r>
              <w:rPr>
                <w:rFonts w:ascii="Times New Roman" w:hAnsi="Times New Roman"/>
              </w:rPr>
              <w:t>70.8±9.1</w:t>
            </w:r>
          </w:p>
        </w:tc>
        <w:tc>
          <w:tcPr>
            <w:tcW w:w="1458" w:type="dxa"/>
            <w:vAlign w:val="center"/>
          </w:tcPr>
          <w:p>
            <w:pPr>
              <w:jc w:val="center"/>
              <w:rPr>
                <w:rFonts w:ascii="Times New Roman" w:hAnsi="Times New Roman"/>
              </w:rPr>
            </w:pPr>
            <w:r>
              <w:rPr>
                <w:rFonts w:ascii="Times New Roman" w:hAnsi="Times New Roman"/>
              </w:rPr>
              <w:t>70.7±9.0</w:t>
            </w:r>
          </w:p>
        </w:tc>
        <w:tc>
          <w:tcPr>
            <w:tcW w:w="1881" w:type="dxa"/>
            <w:vAlign w:val="center"/>
          </w:tcPr>
          <w:p>
            <w:pPr>
              <w:jc w:val="center"/>
              <w:rPr>
                <w:rFonts w:ascii="Times New Roman" w:hAnsi="Times New Roman"/>
              </w:rPr>
            </w:pPr>
            <w:r>
              <w:rPr>
                <w:rFonts w:ascii="Times New Roman" w:hAnsi="Times New Roman"/>
              </w:rPr>
              <w:t>74.0±9.0</w:t>
            </w:r>
          </w:p>
        </w:tc>
        <w:tc>
          <w:tcPr>
            <w:tcW w:w="1418" w:type="dxa"/>
            <w:vAlign w:val="center"/>
          </w:tcPr>
          <w:p>
            <w:pPr>
              <w:jc w:val="center"/>
              <w:rPr>
                <w:rFonts w:ascii="Times New Roman" w:hAnsi="Times New Roman"/>
                <w:bCs/>
              </w:rPr>
            </w:pPr>
            <w:r>
              <w:rPr>
                <w:rFonts w:ascii="Times New Roman" w:hAnsi="Times New Roman"/>
                <w:bCs/>
              </w:rPr>
              <w:t>0.015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BMI(kg/m</w:t>
            </w:r>
            <w:r>
              <w:rPr>
                <w:rFonts w:ascii="Times New Roman" w:hAnsi="Times New Roman"/>
                <w:vertAlign w:val="superscript"/>
              </w:rPr>
              <w:t>2</w:t>
            </w:r>
            <w:r>
              <w:rPr>
                <w:rFonts w:ascii="Times New Roman" w:hAnsi="Times New Roman"/>
              </w:rPr>
              <w:t>)</w:t>
            </w:r>
          </w:p>
        </w:tc>
        <w:tc>
          <w:tcPr>
            <w:tcW w:w="1488" w:type="dxa"/>
            <w:vAlign w:val="center"/>
          </w:tcPr>
          <w:p>
            <w:pPr>
              <w:jc w:val="center"/>
              <w:rPr>
                <w:rFonts w:ascii="Times New Roman" w:hAnsi="Times New Roman"/>
              </w:rPr>
            </w:pPr>
            <w:r>
              <w:rPr>
                <w:rFonts w:ascii="Times New Roman" w:hAnsi="Times New Roman"/>
              </w:rPr>
              <w:t>23.0±2.6</w:t>
            </w:r>
          </w:p>
        </w:tc>
        <w:tc>
          <w:tcPr>
            <w:tcW w:w="1458" w:type="dxa"/>
            <w:vAlign w:val="center"/>
          </w:tcPr>
          <w:p>
            <w:pPr>
              <w:jc w:val="center"/>
              <w:rPr>
                <w:rFonts w:ascii="Times New Roman" w:hAnsi="Times New Roman"/>
              </w:rPr>
            </w:pPr>
            <w:r>
              <w:rPr>
                <w:rFonts w:ascii="Times New Roman" w:hAnsi="Times New Roman"/>
              </w:rPr>
              <w:t>23.0±2.6</w:t>
            </w:r>
          </w:p>
        </w:tc>
        <w:tc>
          <w:tcPr>
            <w:tcW w:w="1881" w:type="dxa"/>
            <w:vAlign w:val="center"/>
          </w:tcPr>
          <w:p>
            <w:pPr>
              <w:jc w:val="center"/>
              <w:rPr>
                <w:rFonts w:ascii="Times New Roman" w:hAnsi="Times New Roman"/>
              </w:rPr>
            </w:pPr>
            <w:r>
              <w:rPr>
                <w:rFonts w:ascii="Times New Roman" w:hAnsi="Times New Roman"/>
              </w:rPr>
              <w:t>23.7±2.9</w:t>
            </w:r>
          </w:p>
        </w:tc>
        <w:tc>
          <w:tcPr>
            <w:tcW w:w="1418" w:type="dxa"/>
            <w:vAlign w:val="center"/>
          </w:tcPr>
          <w:p>
            <w:pPr>
              <w:jc w:val="center"/>
              <w:rPr>
                <w:rFonts w:ascii="Times New Roman" w:hAnsi="Times New Roman"/>
                <w:bCs/>
              </w:rPr>
            </w:pPr>
            <w:r>
              <w:rPr>
                <w:rFonts w:ascii="Times New Roman" w:hAnsi="Times New Roman"/>
                <w:bCs/>
              </w:rPr>
              <w:t>0.076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lean (&lt;18.5)</w:t>
            </w:r>
          </w:p>
        </w:tc>
        <w:tc>
          <w:tcPr>
            <w:tcW w:w="1488" w:type="dxa"/>
            <w:vAlign w:val="center"/>
          </w:tcPr>
          <w:p>
            <w:pPr>
              <w:jc w:val="center"/>
              <w:rPr>
                <w:rFonts w:ascii="Times New Roman" w:hAnsi="Times New Roman"/>
              </w:rPr>
            </w:pPr>
            <w:r>
              <w:rPr>
                <w:rFonts w:ascii="Times New Roman" w:hAnsi="Times New Roman"/>
              </w:rPr>
              <w:t>0(0)</w:t>
            </w:r>
          </w:p>
        </w:tc>
        <w:tc>
          <w:tcPr>
            <w:tcW w:w="1458" w:type="dxa"/>
            <w:vAlign w:val="center"/>
          </w:tcPr>
          <w:p>
            <w:pPr>
              <w:jc w:val="center"/>
              <w:rPr>
                <w:rFonts w:ascii="Times New Roman" w:hAnsi="Times New Roman"/>
              </w:rPr>
            </w:pPr>
            <w:r>
              <w:rPr>
                <w:rFonts w:ascii="Times New Roman" w:hAnsi="Times New Roman"/>
              </w:rPr>
              <w:t>2(1.9)</w:t>
            </w:r>
          </w:p>
        </w:tc>
        <w:tc>
          <w:tcPr>
            <w:tcW w:w="1881" w:type="dxa"/>
            <w:vAlign w:val="center"/>
          </w:tcPr>
          <w:p>
            <w:pPr>
              <w:jc w:val="center"/>
              <w:rPr>
                <w:rFonts w:ascii="Times New Roman" w:hAnsi="Times New Roman"/>
              </w:rPr>
            </w:pPr>
            <w:r>
              <w:rPr>
                <w:rFonts w:ascii="Times New Roman" w:hAnsi="Times New Roman"/>
              </w:rPr>
              <w:t>0(0)</w:t>
            </w:r>
          </w:p>
        </w:tc>
        <w:tc>
          <w:tcPr>
            <w:tcW w:w="1418" w:type="dxa"/>
            <w:vAlign w:val="center"/>
          </w:tcPr>
          <w:p>
            <w:pPr>
              <w:jc w:val="center"/>
              <w:rPr>
                <w:rFonts w:ascii="Times New Roman" w:hAnsi="Times New Roman"/>
                <w:bCs/>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Normal weight (18.5~24.9)</w:t>
            </w:r>
          </w:p>
        </w:tc>
        <w:tc>
          <w:tcPr>
            <w:tcW w:w="1488" w:type="dxa"/>
            <w:vAlign w:val="center"/>
          </w:tcPr>
          <w:p>
            <w:pPr>
              <w:jc w:val="center"/>
              <w:rPr>
                <w:rFonts w:ascii="Times New Roman" w:hAnsi="Times New Roman"/>
              </w:rPr>
            </w:pPr>
            <w:r>
              <w:rPr>
                <w:rFonts w:ascii="Times New Roman" w:hAnsi="Times New Roman"/>
              </w:rPr>
              <w:t>76(73.1)</w:t>
            </w:r>
          </w:p>
        </w:tc>
        <w:tc>
          <w:tcPr>
            <w:tcW w:w="1458" w:type="dxa"/>
            <w:vAlign w:val="center"/>
          </w:tcPr>
          <w:p>
            <w:pPr>
              <w:jc w:val="center"/>
              <w:rPr>
                <w:rFonts w:ascii="Times New Roman" w:hAnsi="Times New Roman"/>
              </w:rPr>
            </w:pPr>
            <w:r>
              <w:rPr>
                <w:rFonts w:ascii="Times New Roman" w:hAnsi="Times New Roman"/>
              </w:rPr>
              <w:t>71(67.0)</w:t>
            </w:r>
          </w:p>
        </w:tc>
        <w:tc>
          <w:tcPr>
            <w:tcW w:w="1881" w:type="dxa"/>
            <w:vAlign w:val="center"/>
          </w:tcPr>
          <w:p>
            <w:pPr>
              <w:jc w:val="center"/>
              <w:rPr>
                <w:rFonts w:ascii="Times New Roman" w:hAnsi="Times New Roman"/>
              </w:rPr>
            </w:pPr>
            <w:r>
              <w:rPr>
                <w:rFonts w:ascii="Times New Roman" w:hAnsi="Times New Roman"/>
              </w:rPr>
              <w:t>64(61.0)</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overweight (25~29.9)</w:t>
            </w:r>
          </w:p>
        </w:tc>
        <w:tc>
          <w:tcPr>
            <w:tcW w:w="1488" w:type="dxa"/>
            <w:vAlign w:val="center"/>
          </w:tcPr>
          <w:p>
            <w:pPr>
              <w:jc w:val="center"/>
              <w:rPr>
                <w:rFonts w:ascii="Times New Roman" w:hAnsi="Times New Roman"/>
              </w:rPr>
            </w:pPr>
            <w:r>
              <w:rPr>
                <w:rFonts w:ascii="Times New Roman" w:hAnsi="Times New Roman"/>
              </w:rPr>
              <w:t>26(25.0)</w:t>
            </w:r>
          </w:p>
        </w:tc>
        <w:tc>
          <w:tcPr>
            <w:tcW w:w="1458" w:type="dxa"/>
            <w:vAlign w:val="center"/>
          </w:tcPr>
          <w:p>
            <w:pPr>
              <w:jc w:val="center"/>
              <w:rPr>
                <w:rFonts w:ascii="Times New Roman" w:hAnsi="Times New Roman"/>
              </w:rPr>
            </w:pPr>
            <w:r>
              <w:rPr>
                <w:rFonts w:ascii="Times New Roman" w:hAnsi="Times New Roman"/>
              </w:rPr>
              <w:t>33(31.1)</w:t>
            </w:r>
          </w:p>
        </w:tc>
        <w:tc>
          <w:tcPr>
            <w:tcW w:w="1881" w:type="dxa"/>
            <w:vAlign w:val="center"/>
          </w:tcPr>
          <w:p>
            <w:pPr>
              <w:jc w:val="center"/>
              <w:rPr>
                <w:rFonts w:ascii="Times New Roman" w:hAnsi="Times New Roman"/>
              </w:rPr>
            </w:pPr>
            <w:r>
              <w:rPr>
                <w:rFonts w:ascii="Times New Roman" w:hAnsi="Times New Roman"/>
              </w:rPr>
              <w:t>39(37.1)</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obese (≥30)</w:t>
            </w:r>
          </w:p>
        </w:tc>
        <w:tc>
          <w:tcPr>
            <w:tcW w:w="1488" w:type="dxa"/>
            <w:vAlign w:val="center"/>
          </w:tcPr>
          <w:p>
            <w:pPr>
              <w:jc w:val="center"/>
              <w:rPr>
                <w:rFonts w:ascii="Times New Roman" w:hAnsi="Times New Roman"/>
              </w:rPr>
            </w:pPr>
            <w:r>
              <w:rPr>
                <w:rFonts w:ascii="Times New Roman" w:hAnsi="Times New Roman"/>
              </w:rPr>
              <w:t>2(1.9)</w:t>
            </w:r>
          </w:p>
        </w:tc>
        <w:tc>
          <w:tcPr>
            <w:tcW w:w="1458" w:type="dxa"/>
            <w:vAlign w:val="center"/>
          </w:tcPr>
          <w:p>
            <w:pPr>
              <w:jc w:val="center"/>
              <w:rPr>
                <w:rFonts w:ascii="Times New Roman" w:hAnsi="Times New Roman"/>
              </w:rPr>
            </w:pPr>
            <w:r>
              <w:rPr>
                <w:rFonts w:ascii="Times New Roman" w:hAnsi="Times New Roman"/>
              </w:rPr>
              <w:t>0(0)</w:t>
            </w:r>
          </w:p>
        </w:tc>
        <w:tc>
          <w:tcPr>
            <w:tcW w:w="1881" w:type="dxa"/>
            <w:vAlign w:val="center"/>
          </w:tcPr>
          <w:p>
            <w:pPr>
              <w:jc w:val="center"/>
              <w:rPr>
                <w:rFonts w:ascii="Times New Roman" w:hAnsi="Times New Roman"/>
              </w:rPr>
            </w:pPr>
            <w:r>
              <w:rPr>
                <w:rFonts w:ascii="Times New Roman" w:hAnsi="Times New Roman"/>
              </w:rPr>
              <w:t>2(1.9)</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Waist circumference(cm)</w:t>
            </w:r>
          </w:p>
        </w:tc>
        <w:tc>
          <w:tcPr>
            <w:tcW w:w="1488" w:type="dxa"/>
            <w:vAlign w:val="center"/>
          </w:tcPr>
          <w:p>
            <w:pPr>
              <w:jc w:val="center"/>
              <w:rPr>
                <w:rFonts w:ascii="Times New Roman" w:hAnsi="Times New Roman"/>
              </w:rPr>
            </w:pPr>
            <w:r>
              <w:rPr>
                <w:rFonts w:ascii="Times New Roman" w:hAnsi="Times New Roman"/>
              </w:rPr>
              <w:t>85.1±8.8</w:t>
            </w:r>
          </w:p>
        </w:tc>
        <w:tc>
          <w:tcPr>
            <w:tcW w:w="1458" w:type="dxa"/>
            <w:vAlign w:val="center"/>
          </w:tcPr>
          <w:p>
            <w:pPr>
              <w:jc w:val="center"/>
              <w:rPr>
                <w:rFonts w:ascii="Times New Roman" w:hAnsi="Times New Roman"/>
              </w:rPr>
            </w:pPr>
            <w:r>
              <w:rPr>
                <w:rFonts w:ascii="Times New Roman" w:hAnsi="Times New Roman"/>
              </w:rPr>
              <w:t>84.8±8.1</w:t>
            </w:r>
          </w:p>
        </w:tc>
        <w:tc>
          <w:tcPr>
            <w:tcW w:w="1881" w:type="dxa"/>
            <w:vAlign w:val="center"/>
          </w:tcPr>
          <w:p>
            <w:pPr>
              <w:jc w:val="center"/>
              <w:rPr>
                <w:rFonts w:ascii="Times New Roman" w:hAnsi="Times New Roman"/>
              </w:rPr>
            </w:pPr>
            <w:r>
              <w:rPr>
                <w:rFonts w:ascii="Times New Roman" w:hAnsi="Times New Roman"/>
              </w:rPr>
              <w:t>86.3±8.1</w:t>
            </w:r>
          </w:p>
        </w:tc>
        <w:tc>
          <w:tcPr>
            <w:tcW w:w="1418" w:type="dxa"/>
            <w:vAlign w:val="center"/>
          </w:tcPr>
          <w:p>
            <w:pPr>
              <w:jc w:val="center"/>
              <w:rPr>
                <w:rFonts w:ascii="Times New Roman" w:hAnsi="Times New Roman"/>
              </w:rPr>
            </w:pPr>
            <w:r>
              <w:rPr>
                <w:rFonts w:ascii="Times New Roman" w:hAnsi="Times New Roman"/>
              </w:rPr>
              <w:t>0.448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Race</w:t>
            </w:r>
          </w:p>
        </w:tc>
        <w:tc>
          <w:tcPr>
            <w:tcW w:w="1488" w:type="dxa"/>
            <w:vAlign w:val="center"/>
          </w:tcPr>
          <w:p>
            <w:pPr>
              <w:jc w:val="center"/>
              <w:rPr>
                <w:rFonts w:ascii="Times New Roman" w:hAnsi="Times New Roman"/>
              </w:rPr>
            </w:pPr>
          </w:p>
        </w:tc>
        <w:tc>
          <w:tcPr>
            <w:tcW w:w="1458" w:type="dxa"/>
            <w:vAlign w:val="center"/>
          </w:tcPr>
          <w:p>
            <w:pPr>
              <w:jc w:val="center"/>
              <w:rPr>
                <w:rFonts w:ascii="Times New Roman" w:hAnsi="Times New Roman"/>
              </w:rPr>
            </w:pPr>
          </w:p>
        </w:tc>
        <w:tc>
          <w:tcPr>
            <w:tcW w:w="1881" w:type="dxa"/>
            <w:vAlign w:val="center"/>
          </w:tcPr>
          <w:p>
            <w:pPr>
              <w:jc w:val="center"/>
              <w:rPr>
                <w:rFonts w:ascii="Times New Roman" w:hAnsi="Times New Roman"/>
              </w:rPr>
            </w:pPr>
          </w:p>
        </w:tc>
        <w:tc>
          <w:tcPr>
            <w:tcW w:w="1418" w:type="dxa"/>
            <w:vAlign w:val="center"/>
          </w:tcPr>
          <w:p>
            <w:pPr>
              <w:jc w:val="center"/>
              <w:rPr>
                <w:rFonts w:ascii="Times New Roman" w:hAnsi="Times New Roman"/>
              </w:rPr>
            </w:pPr>
            <w:r>
              <w:rPr>
                <w:rFonts w:ascii="Times New Roman" w:hAnsi="Times New Roman"/>
              </w:rPr>
              <w:t>0.578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Han</w:t>
            </w:r>
          </w:p>
        </w:tc>
        <w:tc>
          <w:tcPr>
            <w:tcW w:w="1488" w:type="dxa"/>
            <w:vAlign w:val="center"/>
          </w:tcPr>
          <w:p>
            <w:pPr>
              <w:jc w:val="center"/>
              <w:rPr>
                <w:rFonts w:ascii="Times New Roman" w:hAnsi="Times New Roman"/>
              </w:rPr>
            </w:pPr>
            <w:r>
              <w:rPr>
                <w:rFonts w:ascii="Times New Roman" w:hAnsi="Times New Roman"/>
              </w:rPr>
              <w:t>85(81.7)</w:t>
            </w:r>
          </w:p>
        </w:tc>
        <w:tc>
          <w:tcPr>
            <w:tcW w:w="1458" w:type="dxa"/>
            <w:vAlign w:val="center"/>
          </w:tcPr>
          <w:p>
            <w:pPr>
              <w:jc w:val="center"/>
              <w:rPr>
                <w:rFonts w:ascii="Times New Roman" w:hAnsi="Times New Roman"/>
              </w:rPr>
            </w:pPr>
            <w:r>
              <w:rPr>
                <w:rFonts w:ascii="Times New Roman" w:hAnsi="Times New Roman"/>
              </w:rPr>
              <w:t>90(84.9)</w:t>
            </w:r>
          </w:p>
        </w:tc>
        <w:tc>
          <w:tcPr>
            <w:tcW w:w="1881" w:type="dxa"/>
            <w:vAlign w:val="center"/>
          </w:tcPr>
          <w:p>
            <w:pPr>
              <w:jc w:val="center"/>
              <w:rPr>
                <w:rFonts w:ascii="Times New Roman" w:hAnsi="Times New Roman"/>
              </w:rPr>
            </w:pPr>
            <w:r>
              <w:rPr>
                <w:rFonts w:ascii="Times New Roman" w:hAnsi="Times New Roman"/>
              </w:rPr>
              <w:t>92(87.6)</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Hui</w:t>
            </w:r>
          </w:p>
        </w:tc>
        <w:tc>
          <w:tcPr>
            <w:tcW w:w="1488" w:type="dxa"/>
            <w:vAlign w:val="center"/>
          </w:tcPr>
          <w:p>
            <w:pPr>
              <w:jc w:val="center"/>
              <w:rPr>
                <w:rFonts w:ascii="Times New Roman" w:hAnsi="Times New Roman"/>
              </w:rPr>
            </w:pPr>
            <w:r>
              <w:rPr>
                <w:rFonts w:ascii="Times New Roman" w:hAnsi="Times New Roman"/>
              </w:rPr>
              <w:t>5(4.8)</w:t>
            </w:r>
          </w:p>
        </w:tc>
        <w:tc>
          <w:tcPr>
            <w:tcW w:w="1458" w:type="dxa"/>
            <w:vAlign w:val="center"/>
          </w:tcPr>
          <w:p>
            <w:pPr>
              <w:jc w:val="center"/>
              <w:rPr>
                <w:rFonts w:ascii="Times New Roman" w:hAnsi="Times New Roman"/>
              </w:rPr>
            </w:pPr>
            <w:r>
              <w:rPr>
                <w:rFonts w:ascii="Times New Roman" w:hAnsi="Times New Roman"/>
              </w:rPr>
              <w:t>5(4.7)</w:t>
            </w:r>
          </w:p>
        </w:tc>
        <w:tc>
          <w:tcPr>
            <w:tcW w:w="1881" w:type="dxa"/>
            <w:vAlign w:val="center"/>
          </w:tcPr>
          <w:p>
            <w:pPr>
              <w:jc w:val="center"/>
              <w:rPr>
                <w:rFonts w:ascii="Times New Roman" w:hAnsi="Times New Roman"/>
              </w:rPr>
            </w:pPr>
            <w:r>
              <w:rPr>
                <w:rFonts w:ascii="Times New Roman" w:hAnsi="Times New Roman"/>
              </w:rPr>
              <w:t>3(2.9)</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Man</w:t>
            </w:r>
          </w:p>
        </w:tc>
        <w:tc>
          <w:tcPr>
            <w:tcW w:w="1488" w:type="dxa"/>
            <w:vAlign w:val="center"/>
          </w:tcPr>
          <w:p>
            <w:pPr>
              <w:jc w:val="center"/>
              <w:rPr>
                <w:rFonts w:ascii="Times New Roman" w:hAnsi="Times New Roman"/>
              </w:rPr>
            </w:pPr>
            <w:r>
              <w:rPr>
                <w:rFonts w:ascii="Times New Roman" w:hAnsi="Times New Roman"/>
              </w:rPr>
              <w:t>7(6.7)</w:t>
            </w:r>
          </w:p>
        </w:tc>
        <w:tc>
          <w:tcPr>
            <w:tcW w:w="1458" w:type="dxa"/>
            <w:vAlign w:val="center"/>
          </w:tcPr>
          <w:p>
            <w:pPr>
              <w:jc w:val="center"/>
              <w:rPr>
                <w:rFonts w:ascii="Times New Roman" w:hAnsi="Times New Roman"/>
              </w:rPr>
            </w:pPr>
            <w:r>
              <w:rPr>
                <w:rFonts w:ascii="Times New Roman" w:hAnsi="Times New Roman"/>
              </w:rPr>
              <w:t>9(8.5)</w:t>
            </w:r>
          </w:p>
        </w:tc>
        <w:tc>
          <w:tcPr>
            <w:tcW w:w="1881" w:type="dxa"/>
            <w:vAlign w:val="center"/>
          </w:tcPr>
          <w:p>
            <w:pPr>
              <w:jc w:val="center"/>
              <w:rPr>
                <w:rFonts w:ascii="Times New Roman" w:hAnsi="Times New Roman"/>
              </w:rPr>
            </w:pPr>
            <w:r>
              <w:rPr>
                <w:rFonts w:ascii="Times New Roman" w:hAnsi="Times New Roman"/>
              </w:rPr>
              <w:t>5(4.8)</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others</w:t>
            </w:r>
          </w:p>
        </w:tc>
        <w:tc>
          <w:tcPr>
            <w:tcW w:w="1488" w:type="dxa"/>
            <w:vAlign w:val="center"/>
          </w:tcPr>
          <w:p>
            <w:pPr>
              <w:jc w:val="center"/>
              <w:rPr>
                <w:rFonts w:ascii="Times New Roman" w:hAnsi="Times New Roman"/>
              </w:rPr>
            </w:pPr>
            <w:r>
              <w:rPr>
                <w:rFonts w:ascii="Times New Roman" w:hAnsi="Times New Roman"/>
              </w:rPr>
              <w:t>7(6.7)</w:t>
            </w:r>
          </w:p>
        </w:tc>
        <w:tc>
          <w:tcPr>
            <w:tcW w:w="1458" w:type="dxa"/>
            <w:vAlign w:val="center"/>
          </w:tcPr>
          <w:p>
            <w:pPr>
              <w:jc w:val="center"/>
              <w:rPr>
                <w:rFonts w:ascii="Times New Roman" w:hAnsi="Times New Roman"/>
              </w:rPr>
            </w:pPr>
            <w:r>
              <w:rPr>
                <w:rFonts w:ascii="Times New Roman" w:hAnsi="Times New Roman"/>
              </w:rPr>
              <w:t>2(1.9)</w:t>
            </w:r>
          </w:p>
        </w:tc>
        <w:tc>
          <w:tcPr>
            <w:tcW w:w="1881" w:type="dxa"/>
            <w:vAlign w:val="center"/>
          </w:tcPr>
          <w:p>
            <w:pPr>
              <w:jc w:val="center"/>
              <w:rPr>
                <w:rFonts w:ascii="Times New Roman" w:hAnsi="Times New Roman"/>
              </w:rPr>
            </w:pPr>
            <w:r>
              <w:rPr>
                <w:rFonts w:ascii="Times New Roman" w:hAnsi="Times New Roman"/>
              </w:rPr>
              <w:t>5(4.8)</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Education level</w:t>
            </w:r>
          </w:p>
        </w:tc>
        <w:tc>
          <w:tcPr>
            <w:tcW w:w="1488" w:type="dxa"/>
            <w:vAlign w:val="center"/>
          </w:tcPr>
          <w:p>
            <w:pPr>
              <w:jc w:val="center"/>
              <w:rPr>
                <w:rFonts w:ascii="Times New Roman" w:hAnsi="Times New Roman"/>
              </w:rPr>
            </w:pPr>
          </w:p>
        </w:tc>
        <w:tc>
          <w:tcPr>
            <w:tcW w:w="1458" w:type="dxa"/>
            <w:vAlign w:val="center"/>
          </w:tcPr>
          <w:p>
            <w:pPr>
              <w:jc w:val="center"/>
              <w:rPr>
                <w:rFonts w:ascii="Times New Roman" w:hAnsi="Times New Roman"/>
              </w:rPr>
            </w:pPr>
          </w:p>
        </w:tc>
        <w:tc>
          <w:tcPr>
            <w:tcW w:w="1881" w:type="dxa"/>
            <w:vAlign w:val="center"/>
          </w:tcPr>
          <w:p>
            <w:pPr>
              <w:jc w:val="center"/>
              <w:rPr>
                <w:rFonts w:ascii="Times New Roman" w:hAnsi="Times New Roman"/>
              </w:rPr>
            </w:pPr>
          </w:p>
        </w:tc>
        <w:tc>
          <w:tcPr>
            <w:tcW w:w="1418" w:type="dxa"/>
            <w:vAlign w:val="center"/>
          </w:tcPr>
          <w:p>
            <w:pPr>
              <w:jc w:val="center"/>
              <w:rPr>
                <w:rFonts w:ascii="Times New Roman" w:hAnsi="Times New Roman"/>
              </w:rPr>
            </w:pPr>
            <w:r>
              <w:rPr>
                <w:rFonts w:ascii="Times New Roman" w:hAnsi="Times New Roman"/>
              </w:rPr>
              <w:t>0.909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Below university level</w:t>
            </w:r>
          </w:p>
        </w:tc>
        <w:tc>
          <w:tcPr>
            <w:tcW w:w="1488" w:type="dxa"/>
            <w:vAlign w:val="center"/>
          </w:tcPr>
          <w:p>
            <w:pPr>
              <w:jc w:val="center"/>
              <w:rPr>
                <w:rFonts w:ascii="Times New Roman" w:hAnsi="Times New Roman"/>
              </w:rPr>
            </w:pPr>
            <w:r>
              <w:rPr>
                <w:rFonts w:ascii="Times New Roman" w:hAnsi="Times New Roman"/>
              </w:rPr>
              <w:t>7(6.7)</w:t>
            </w:r>
          </w:p>
        </w:tc>
        <w:tc>
          <w:tcPr>
            <w:tcW w:w="1458" w:type="dxa"/>
            <w:vAlign w:val="center"/>
          </w:tcPr>
          <w:p>
            <w:pPr>
              <w:jc w:val="center"/>
              <w:rPr>
                <w:rFonts w:ascii="Times New Roman" w:hAnsi="Times New Roman"/>
              </w:rPr>
            </w:pPr>
            <w:r>
              <w:rPr>
                <w:rFonts w:ascii="Times New Roman" w:hAnsi="Times New Roman"/>
              </w:rPr>
              <w:t>10(9.4)</w:t>
            </w:r>
          </w:p>
        </w:tc>
        <w:tc>
          <w:tcPr>
            <w:tcW w:w="1881" w:type="dxa"/>
            <w:vAlign w:val="center"/>
          </w:tcPr>
          <w:p>
            <w:pPr>
              <w:jc w:val="center"/>
              <w:rPr>
                <w:rFonts w:ascii="Times New Roman" w:hAnsi="Times New Roman"/>
              </w:rPr>
            </w:pPr>
            <w:r>
              <w:rPr>
                <w:rFonts w:ascii="Times New Roman" w:hAnsi="Times New Roman"/>
              </w:rPr>
              <w:t>11(10.5)</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University</w:t>
            </w:r>
          </w:p>
        </w:tc>
        <w:tc>
          <w:tcPr>
            <w:tcW w:w="1488" w:type="dxa"/>
            <w:vAlign w:val="center"/>
          </w:tcPr>
          <w:p>
            <w:pPr>
              <w:jc w:val="center"/>
              <w:rPr>
                <w:rFonts w:ascii="Times New Roman" w:hAnsi="Times New Roman"/>
              </w:rPr>
            </w:pPr>
            <w:r>
              <w:rPr>
                <w:rFonts w:ascii="Times New Roman" w:hAnsi="Times New Roman"/>
              </w:rPr>
              <w:t>75 (72.1)</w:t>
            </w:r>
          </w:p>
        </w:tc>
        <w:tc>
          <w:tcPr>
            <w:tcW w:w="1458" w:type="dxa"/>
            <w:vAlign w:val="center"/>
          </w:tcPr>
          <w:p>
            <w:pPr>
              <w:jc w:val="center"/>
              <w:rPr>
                <w:rFonts w:ascii="Times New Roman" w:hAnsi="Times New Roman"/>
              </w:rPr>
            </w:pPr>
            <w:r>
              <w:rPr>
                <w:rFonts w:ascii="Times New Roman" w:hAnsi="Times New Roman"/>
              </w:rPr>
              <w:t>73(68.9)</w:t>
            </w:r>
          </w:p>
        </w:tc>
        <w:tc>
          <w:tcPr>
            <w:tcW w:w="1881" w:type="dxa"/>
            <w:vAlign w:val="center"/>
          </w:tcPr>
          <w:p>
            <w:pPr>
              <w:jc w:val="center"/>
              <w:rPr>
                <w:rFonts w:ascii="Times New Roman" w:hAnsi="Times New Roman"/>
              </w:rPr>
            </w:pPr>
            <w:r>
              <w:rPr>
                <w:rFonts w:ascii="Times New Roman" w:hAnsi="Times New Roman"/>
              </w:rPr>
              <w:t>72(68.6)</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Graduate</w:t>
            </w:r>
          </w:p>
        </w:tc>
        <w:tc>
          <w:tcPr>
            <w:tcW w:w="1488" w:type="dxa"/>
            <w:vAlign w:val="center"/>
          </w:tcPr>
          <w:p>
            <w:pPr>
              <w:jc w:val="center"/>
              <w:rPr>
                <w:rFonts w:ascii="Times New Roman" w:hAnsi="Times New Roman"/>
              </w:rPr>
            </w:pPr>
            <w:r>
              <w:rPr>
                <w:rFonts w:ascii="Times New Roman" w:hAnsi="Times New Roman"/>
              </w:rPr>
              <w:t>22(21.2)</w:t>
            </w:r>
          </w:p>
        </w:tc>
        <w:tc>
          <w:tcPr>
            <w:tcW w:w="1458" w:type="dxa"/>
            <w:vAlign w:val="center"/>
          </w:tcPr>
          <w:p>
            <w:pPr>
              <w:jc w:val="center"/>
              <w:rPr>
                <w:rFonts w:ascii="Times New Roman" w:hAnsi="Times New Roman"/>
              </w:rPr>
            </w:pPr>
            <w:r>
              <w:rPr>
                <w:rFonts w:ascii="Times New Roman" w:hAnsi="Times New Roman"/>
              </w:rPr>
              <w:t>23(21.7)</w:t>
            </w:r>
          </w:p>
        </w:tc>
        <w:tc>
          <w:tcPr>
            <w:tcW w:w="1881" w:type="dxa"/>
            <w:vAlign w:val="center"/>
          </w:tcPr>
          <w:p>
            <w:pPr>
              <w:jc w:val="center"/>
              <w:rPr>
                <w:rFonts w:ascii="Times New Roman" w:hAnsi="Times New Roman"/>
              </w:rPr>
            </w:pPr>
            <w:r>
              <w:rPr>
                <w:rFonts w:ascii="Times New Roman" w:hAnsi="Times New Roman"/>
              </w:rPr>
              <w:t>22(21.0)</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Marriage</w:t>
            </w:r>
          </w:p>
        </w:tc>
        <w:tc>
          <w:tcPr>
            <w:tcW w:w="1488" w:type="dxa"/>
            <w:vAlign w:val="center"/>
          </w:tcPr>
          <w:p>
            <w:pPr>
              <w:jc w:val="center"/>
              <w:rPr>
                <w:rFonts w:ascii="Times New Roman" w:hAnsi="Times New Roman"/>
              </w:rPr>
            </w:pPr>
          </w:p>
        </w:tc>
        <w:tc>
          <w:tcPr>
            <w:tcW w:w="1458" w:type="dxa"/>
            <w:vAlign w:val="center"/>
          </w:tcPr>
          <w:p>
            <w:pPr>
              <w:jc w:val="center"/>
              <w:rPr>
                <w:rFonts w:ascii="Times New Roman" w:hAnsi="Times New Roman"/>
              </w:rPr>
            </w:pPr>
          </w:p>
        </w:tc>
        <w:tc>
          <w:tcPr>
            <w:tcW w:w="1881" w:type="dxa"/>
            <w:vAlign w:val="center"/>
          </w:tcPr>
          <w:p>
            <w:pPr>
              <w:jc w:val="center"/>
              <w:rPr>
                <w:rFonts w:ascii="Times New Roman" w:hAnsi="Times New Roman"/>
              </w:rPr>
            </w:pPr>
          </w:p>
        </w:tc>
        <w:tc>
          <w:tcPr>
            <w:tcW w:w="1418" w:type="dxa"/>
            <w:vAlign w:val="center"/>
          </w:tcPr>
          <w:p>
            <w:pPr>
              <w:jc w:val="center"/>
              <w:rPr>
                <w:rFonts w:ascii="Times New Roman" w:hAnsi="Times New Roman"/>
              </w:rPr>
            </w:pPr>
            <w:r>
              <w:rPr>
                <w:rFonts w:ascii="Times New Roman" w:hAnsi="Times New Roman"/>
              </w:rPr>
              <w:t>0.134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No</w:t>
            </w:r>
          </w:p>
        </w:tc>
        <w:tc>
          <w:tcPr>
            <w:tcW w:w="1488" w:type="dxa"/>
            <w:vAlign w:val="center"/>
          </w:tcPr>
          <w:p>
            <w:pPr>
              <w:jc w:val="center"/>
              <w:rPr>
                <w:rFonts w:ascii="Times New Roman" w:hAnsi="Times New Roman"/>
              </w:rPr>
            </w:pPr>
            <w:r>
              <w:rPr>
                <w:rFonts w:ascii="Times New Roman" w:hAnsi="Times New Roman"/>
              </w:rPr>
              <w:t>78(75.0)</w:t>
            </w:r>
          </w:p>
        </w:tc>
        <w:tc>
          <w:tcPr>
            <w:tcW w:w="1458" w:type="dxa"/>
            <w:vAlign w:val="center"/>
          </w:tcPr>
          <w:p>
            <w:pPr>
              <w:jc w:val="center"/>
              <w:rPr>
                <w:rFonts w:ascii="Times New Roman" w:hAnsi="Times New Roman"/>
              </w:rPr>
            </w:pPr>
            <w:r>
              <w:rPr>
                <w:rFonts w:ascii="Times New Roman" w:hAnsi="Times New Roman"/>
              </w:rPr>
              <w:t>66(62.3)</w:t>
            </w:r>
          </w:p>
        </w:tc>
        <w:tc>
          <w:tcPr>
            <w:tcW w:w="1881" w:type="dxa"/>
            <w:vAlign w:val="center"/>
          </w:tcPr>
          <w:p>
            <w:pPr>
              <w:jc w:val="center"/>
              <w:rPr>
                <w:rFonts w:ascii="Times New Roman" w:hAnsi="Times New Roman"/>
              </w:rPr>
            </w:pPr>
            <w:r>
              <w:rPr>
                <w:rFonts w:ascii="Times New Roman" w:hAnsi="Times New Roman"/>
              </w:rPr>
              <w:t>70(66.7)</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center"/>
              <w:rPr>
                <w:rFonts w:ascii="Times New Roman" w:hAnsi="Times New Roman"/>
              </w:rPr>
            </w:pPr>
            <w:r>
              <w:rPr>
                <w:rFonts w:ascii="Times New Roman" w:hAnsi="Times New Roman"/>
              </w:rPr>
              <w:t>Yes</w:t>
            </w:r>
          </w:p>
        </w:tc>
        <w:tc>
          <w:tcPr>
            <w:tcW w:w="1488" w:type="dxa"/>
            <w:vAlign w:val="center"/>
          </w:tcPr>
          <w:p>
            <w:pPr>
              <w:jc w:val="center"/>
              <w:rPr>
                <w:rFonts w:ascii="Times New Roman" w:hAnsi="Times New Roman"/>
              </w:rPr>
            </w:pPr>
            <w:r>
              <w:rPr>
                <w:rFonts w:ascii="Times New Roman" w:hAnsi="Times New Roman"/>
              </w:rPr>
              <w:t>26(25.0)</w:t>
            </w:r>
          </w:p>
        </w:tc>
        <w:tc>
          <w:tcPr>
            <w:tcW w:w="1458" w:type="dxa"/>
            <w:vAlign w:val="center"/>
          </w:tcPr>
          <w:p>
            <w:pPr>
              <w:jc w:val="center"/>
              <w:rPr>
                <w:rFonts w:ascii="Times New Roman" w:hAnsi="Times New Roman"/>
              </w:rPr>
            </w:pPr>
            <w:r>
              <w:rPr>
                <w:rFonts w:ascii="Times New Roman" w:hAnsi="Times New Roman"/>
              </w:rPr>
              <w:t>40(37.7)</w:t>
            </w:r>
          </w:p>
        </w:tc>
        <w:tc>
          <w:tcPr>
            <w:tcW w:w="1881" w:type="dxa"/>
            <w:vAlign w:val="center"/>
          </w:tcPr>
          <w:p>
            <w:pPr>
              <w:jc w:val="center"/>
              <w:rPr>
                <w:rFonts w:ascii="Times New Roman" w:hAnsi="Times New Roman"/>
              </w:rPr>
            </w:pPr>
            <w:r>
              <w:rPr>
                <w:rFonts w:ascii="Times New Roman" w:hAnsi="Times New Roman"/>
              </w:rPr>
              <w:t>35(33.3)</w:t>
            </w:r>
          </w:p>
        </w:tc>
        <w:tc>
          <w:tcPr>
            <w:tcW w:w="1418" w:type="dxa"/>
            <w:vAlign w:val="center"/>
          </w:tcPr>
          <w:p>
            <w:pPr>
              <w:jc w:val="center"/>
              <w:rPr>
                <w:rFonts w:ascii="Times New Roman" w:hAnsi="Times New Roma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Smokers</w:t>
            </w:r>
          </w:p>
        </w:tc>
        <w:tc>
          <w:tcPr>
            <w:tcW w:w="1488" w:type="dxa"/>
            <w:vAlign w:val="center"/>
          </w:tcPr>
          <w:p>
            <w:pPr>
              <w:jc w:val="center"/>
              <w:rPr>
                <w:rFonts w:ascii="Times New Roman" w:hAnsi="Times New Roman"/>
              </w:rPr>
            </w:pPr>
            <w:r>
              <w:rPr>
                <w:rFonts w:ascii="Times New Roman" w:hAnsi="Times New Roman"/>
              </w:rPr>
              <w:t>22(21.2)</w:t>
            </w:r>
          </w:p>
        </w:tc>
        <w:tc>
          <w:tcPr>
            <w:tcW w:w="1458" w:type="dxa"/>
            <w:vAlign w:val="center"/>
          </w:tcPr>
          <w:p>
            <w:pPr>
              <w:jc w:val="center"/>
              <w:rPr>
                <w:rFonts w:ascii="Times New Roman" w:hAnsi="Times New Roman"/>
              </w:rPr>
            </w:pPr>
            <w:r>
              <w:rPr>
                <w:rFonts w:ascii="Times New Roman" w:hAnsi="Times New Roman"/>
              </w:rPr>
              <w:t>11(10.4)</w:t>
            </w:r>
          </w:p>
        </w:tc>
        <w:tc>
          <w:tcPr>
            <w:tcW w:w="1881" w:type="dxa"/>
            <w:vAlign w:val="center"/>
          </w:tcPr>
          <w:p>
            <w:pPr>
              <w:jc w:val="center"/>
              <w:rPr>
                <w:rFonts w:ascii="Times New Roman" w:hAnsi="Times New Roman"/>
              </w:rPr>
            </w:pPr>
            <w:r>
              <w:rPr>
                <w:rFonts w:ascii="Times New Roman" w:hAnsi="Times New Roman"/>
              </w:rPr>
              <w:t>22(21.0)</w:t>
            </w:r>
          </w:p>
        </w:tc>
        <w:tc>
          <w:tcPr>
            <w:tcW w:w="1418" w:type="dxa"/>
            <w:vAlign w:val="center"/>
          </w:tcPr>
          <w:p>
            <w:pPr>
              <w:jc w:val="center"/>
              <w:rPr>
                <w:rFonts w:ascii="Times New Roman" w:hAnsi="Times New Roman"/>
                <w:b/>
              </w:rPr>
            </w:pPr>
            <w:r>
              <w:rPr>
                <w:rFonts w:ascii="Times New Roman" w:hAnsi="Times New Roman"/>
                <w:bCs/>
              </w:rPr>
              <w:t>0.062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Alcohol drinkers</w:t>
            </w:r>
          </w:p>
        </w:tc>
        <w:tc>
          <w:tcPr>
            <w:tcW w:w="1488" w:type="dxa"/>
            <w:vAlign w:val="center"/>
          </w:tcPr>
          <w:p>
            <w:pPr>
              <w:jc w:val="center"/>
              <w:rPr>
                <w:rFonts w:ascii="Times New Roman" w:hAnsi="Times New Roman"/>
              </w:rPr>
            </w:pPr>
            <w:r>
              <w:rPr>
                <w:rFonts w:ascii="Times New Roman" w:hAnsi="Times New Roman"/>
              </w:rPr>
              <w:t>63(60.6)</w:t>
            </w:r>
          </w:p>
        </w:tc>
        <w:tc>
          <w:tcPr>
            <w:tcW w:w="1458" w:type="dxa"/>
            <w:vAlign w:val="center"/>
          </w:tcPr>
          <w:p>
            <w:pPr>
              <w:jc w:val="center"/>
              <w:rPr>
                <w:rFonts w:ascii="Times New Roman" w:hAnsi="Times New Roman"/>
              </w:rPr>
            </w:pPr>
            <w:r>
              <w:rPr>
                <w:rFonts w:ascii="Times New Roman" w:hAnsi="Times New Roman"/>
              </w:rPr>
              <w:t>60(56.6)</w:t>
            </w:r>
          </w:p>
        </w:tc>
        <w:tc>
          <w:tcPr>
            <w:tcW w:w="1881" w:type="dxa"/>
            <w:vAlign w:val="center"/>
          </w:tcPr>
          <w:p>
            <w:pPr>
              <w:jc w:val="center"/>
              <w:rPr>
                <w:rFonts w:ascii="Times New Roman" w:hAnsi="Times New Roman"/>
              </w:rPr>
            </w:pPr>
            <w:r>
              <w:rPr>
                <w:rFonts w:ascii="Times New Roman" w:hAnsi="Times New Roman"/>
              </w:rPr>
              <w:t>58(55.2)</w:t>
            </w:r>
          </w:p>
        </w:tc>
        <w:tc>
          <w:tcPr>
            <w:tcW w:w="1418" w:type="dxa"/>
            <w:vAlign w:val="center"/>
          </w:tcPr>
          <w:p>
            <w:pPr>
              <w:jc w:val="center"/>
              <w:rPr>
                <w:rFonts w:ascii="Times New Roman" w:hAnsi="Times New Roman"/>
              </w:rPr>
            </w:pPr>
            <w:r>
              <w:rPr>
                <w:rFonts w:ascii="Times New Roman" w:hAnsi="Times New Roman"/>
              </w:rPr>
              <w:t>0.720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Time of local residence</w:t>
            </w:r>
            <w:r>
              <w:rPr>
                <w:rFonts w:ascii="Times New Roman" w:hAnsi="Times New Roman"/>
                <w:vertAlign w:val="superscript"/>
              </w:rPr>
              <w:t>a</w:t>
            </w:r>
          </w:p>
        </w:tc>
        <w:tc>
          <w:tcPr>
            <w:tcW w:w="1488" w:type="dxa"/>
            <w:vAlign w:val="center"/>
          </w:tcPr>
          <w:p>
            <w:pPr>
              <w:jc w:val="center"/>
              <w:rPr>
                <w:rFonts w:ascii="Times New Roman" w:hAnsi="Times New Roman"/>
              </w:rPr>
            </w:pPr>
            <w:r>
              <w:rPr>
                <w:rFonts w:ascii="Times New Roman" w:hAnsi="Times New Roman"/>
              </w:rPr>
              <w:t>4.0(1.0,34.2)</w:t>
            </w:r>
          </w:p>
        </w:tc>
        <w:tc>
          <w:tcPr>
            <w:tcW w:w="1458" w:type="dxa"/>
            <w:vAlign w:val="center"/>
          </w:tcPr>
          <w:p>
            <w:pPr>
              <w:jc w:val="center"/>
              <w:rPr>
                <w:rFonts w:ascii="Times New Roman" w:hAnsi="Times New Roman"/>
              </w:rPr>
            </w:pPr>
            <w:r>
              <w:rPr>
                <w:rFonts w:ascii="Times New Roman" w:hAnsi="Times New Roman"/>
              </w:rPr>
              <w:t>4.0(1.0,33.0)</w:t>
            </w:r>
          </w:p>
        </w:tc>
        <w:tc>
          <w:tcPr>
            <w:tcW w:w="1881" w:type="dxa"/>
            <w:vAlign w:val="center"/>
          </w:tcPr>
          <w:p>
            <w:pPr>
              <w:jc w:val="center"/>
              <w:rPr>
                <w:rFonts w:ascii="Times New Roman" w:hAnsi="Times New Roman"/>
              </w:rPr>
            </w:pPr>
            <w:r>
              <w:rPr>
                <w:rFonts w:ascii="Times New Roman" w:hAnsi="Times New Roman"/>
              </w:rPr>
              <w:t>5.0(1.0,30.0)</w:t>
            </w:r>
          </w:p>
        </w:tc>
        <w:tc>
          <w:tcPr>
            <w:tcW w:w="1418" w:type="dxa"/>
            <w:vAlign w:val="center"/>
          </w:tcPr>
          <w:p>
            <w:pPr>
              <w:jc w:val="center"/>
              <w:rPr>
                <w:rFonts w:ascii="Times New Roman" w:hAnsi="Times New Roman"/>
              </w:rPr>
            </w:pPr>
            <w:r>
              <w:rPr>
                <w:rFonts w:ascii="Times New Roman" w:hAnsi="Times New Roman"/>
              </w:rPr>
              <w:t>0.594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2611" w:type="dxa"/>
            <w:vAlign w:val="center"/>
          </w:tcPr>
          <w:p>
            <w:pPr>
              <w:jc w:val="left"/>
              <w:rPr>
                <w:rFonts w:ascii="Times New Roman" w:hAnsi="Times New Roman"/>
              </w:rPr>
            </w:pPr>
            <w:r>
              <w:rPr>
                <w:rFonts w:ascii="Times New Roman" w:hAnsi="Times New Roman"/>
              </w:rPr>
              <w:t>Income/year(</w:t>
            </w:r>
            <m:oMath>
              <m:r>
                <m:rPr>
                  <m:sty m:val="p"/>
                </m:rPr>
                <w:rPr>
                  <w:rFonts w:ascii="Cambria Math" w:hAnsi="Cambria Math"/>
                </w:rPr>
                <m:t>¥</m:t>
              </m:r>
            </m:oMath>
            <w:r>
              <w:rPr>
                <w:rFonts w:ascii="Times New Roman" w:hAnsi="Times New Roman"/>
              </w:rPr>
              <w:t>)</w:t>
            </w:r>
            <w:r>
              <w:rPr>
                <w:rFonts w:ascii="Times New Roman" w:hAnsi="Times New Roman"/>
                <w:vertAlign w:val="superscript"/>
              </w:rPr>
              <w:t>ab</w:t>
            </w:r>
          </w:p>
        </w:tc>
        <w:tc>
          <w:tcPr>
            <w:tcW w:w="1488" w:type="dxa"/>
            <w:vAlign w:val="center"/>
          </w:tcPr>
          <w:p>
            <w:pPr>
              <w:jc w:val="center"/>
              <w:rPr>
                <w:rFonts w:ascii="Times New Roman" w:hAnsi="Times New Roman"/>
              </w:rPr>
            </w:pPr>
            <w:r>
              <w:rPr>
                <w:rFonts w:ascii="Times New Roman" w:hAnsi="Times New Roman"/>
              </w:rPr>
              <w:t>10.0(3.9,30.0)</w:t>
            </w:r>
          </w:p>
        </w:tc>
        <w:tc>
          <w:tcPr>
            <w:tcW w:w="1458" w:type="dxa"/>
            <w:vAlign w:val="center"/>
          </w:tcPr>
          <w:p>
            <w:pPr>
              <w:jc w:val="center"/>
              <w:rPr>
                <w:rFonts w:ascii="Times New Roman" w:hAnsi="Times New Roman"/>
              </w:rPr>
            </w:pPr>
            <w:r>
              <w:rPr>
                <w:rFonts w:ascii="Times New Roman" w:hAnsi="Times New Roman"/>
              </w:rPr>
              <w:t>10.0(4.0,48.2)</w:t>
            </w:r>
          </w:p>
        </w:tc>
        <w:tc>
          <w:tcPr>
            <w:tcW w:w="1881" w:type="dxa"/>
            <w:vAlign w:val="center"/>
          </w:tcPr>
          <w:p>
            <w:pPr>
              <w:jc w:val="center"/>
              <w:rPr>
                <w:rFonts w:ascii="Times New Roman" w:hAnsi="Times New Roman"/>
              </w:rPr>
            </w:pPr>
            <w:r>
              <w:rPr>
                <w:rFonts w:ascii="Times New Roman" w:hAnsi="Times New Roman"/>
              </w:rPr>
              <w:t>10.0(4.0,30.0)</w:t>
            </w:r>
          </w:p>
        </w:tc>
        <w:tc>
          <w:tcPr>
            <w:tcW w:w="1418" w:type="dxa"/>
            <w:vAlign w:val="center"/>
          </w:tcPr>
          <w:p>
            <w:pPr>
              <w:jc w:val="center"/>
              <w:rPr>
                <w:rFonts w:ascii="Times New Roman" w:hAnsi="Times New Roman"/>
              </w:rPr>
            </w:pPr>
            <w:r>
              <w:rPr>
                <w:rFonts w:ascii="Times New Roman" w:hAnsi="Times New Roman"/>
              </w:rPr>
              <w:t>0.575</w:t>
            </w:r>
          </w:p>
        </w:tc>
      </w:tr>
    </w:tbl>
    <w:p>
      <w:pPr>
        <w:rPr>
          <w:rFonts w:ascii="Times New Roman" w:hAnsi="Times New Roman"/>
        </w:rPr>
      </w:pPr>
      <w:r>
        <w:rPr>
          <w:rFonts w:hint="eastAsia" w:ascii="Times New Roman" w:hAnsi="Times New Roman"/>
        </w:rPr>
        <w:t xml:space="preserve">Note: </w:t>
      </w:r>
      <w:r>
        <w:rPr>
          <w:rFonts w:ascii="Times New Roman" w:hAnsi="Times New Roman"/>
        </w:rPr>
        <w:t>BMI, body mass index.</w:t>
      </w:r>
      <w:r>
        <w:rPr>
          <w:rFonts w:hint="eastAsia" w:ascii="Times New Roman" w:hAnsi="Times New Roman"/>
        </w:rPr>
        <w:t xml:space="preserve"> </w:t>
      </w:r>
      <w:r>
        <w:rPr>
          <w:rFonts w:ascii="Times New Roman" w:hAnsi="Times New Roman"/>
        </w:rPr>
        <w:t>Data are arithmetic mean± standard deviation, n(%), or median(5</w:t>
      </w:r>
      <w:r>
        <w:rPr>
          <w:rFonts w:ascii="Times New Roman" w:hAnsi="Times New Roman"/>
          <w:vertAlign w:val="superscript"/>
        </w:rPr>
        <w:t>th</w:t>
      </w:r>
      <w:r>
        <w:rPr>
          <w:rFonts w:ascii="Times New Roman" w:hAnsi="Times New Roman"/>
        </w:rPr>
        <w:t>,95</w:t>
      </w:r>
      <w:r>
        <w:rPr>
          <w:rFonts w:ascii="Times New Roman" w:hAnsi="Times New Roman"/>
          <w:vertAlign w:val="superscript"/>
        </w:rPr>
        <w:t>th</w:t>
      </w:r>
      <w:r>
        <w:rPr>
          <w:rFonts w:ascii="Times New Roman" w:hAnsi="Times New Roman"/>
        </w:rPr>
        <w:t xml:space="preserve"> ). n=315.</w:t>
      </w:r>
    </w:p>
    <w:p>
      <w:pPr>
        <w:rPr>
          <w:rFonts w:ascii="Times New Roman" w:hAnsi="Times New Roman"/>
        </w:rPr>
      </w:pPr>
      <w:r>
        <w:rPr>
          <w:rFonts w:ascii="Times New Roman" w:hAnsi="Times New Roman"/>
          <w:vertAlign w:val="superscript"/>
        </w:rPr>
        <w:t xml:space="preserve">a </w:t>
      </w:r>
      <w:r>
        <w:rPr>
          <w:rFonts w:ascii="Times New Roman" w:hAnsi="Times New Roman"/>
        </w:rPr>
        <w:t>non-normal distribution, given as median and percentile.</w:t>
      </w:r>
    </w:p>
    <w:p>
      <w:pPr>
        <w:tabs>
          <w:tab w:val="left" w:pos="3468"/>
        </w:tabs>
      </w:pPr>
      <w:r>
        <w:rPr>
          <w:rFonts w:ascii="Times New Roman" w:hAnsi="Times New Roman"/>
          <w:vertAlign w:val="superscript"/>
        </w:rPr>
        <w:t>b</w:t>
      </w:r>
      <w:r>
        <w:rPr>
          <w:rFonts w:ascii="Times New Roman" w:hAnsi="Times New Roman"/>
        </w:rPr>
        <w:t xml:space="preserve"> missing=25</w:t>
      </w:r>
      <w:r>
        <w:rPr>
          <w:rFonts w:hint="eastAsia" w:ascii="Times New Roman" w:hAnsi="Times New Roman"/>
        </w:rPr>
        <w:tab/>
      </w:r>
    </w:p>
    <w:p/>
    <w:p/>
    <w:p/>
    <w:p>
      <w:pPr>
        <w:rPr>
          <w:rFonts w:hint="eastAsia"/>
        </w:rPr>
      </w:pPr>
    </w:p>
    <w:p>
      <w:pPr>
        <w:jc w:val="center"/>
        <w:rPr>
          <w:rFonts w:ascii="Times New Roman" w:hAnsi="Times New Roman" w:cs="Times New Roman"/>
          <w:b/>
          <w:sz w:val="24"/>
        </w:rPr>
      </w:pPr>
    </w:p>
    <w:p>
      <w:pPr>
        <w:jc w:val="center"/>
        <w:rPr>
          <w:rFonts w:ascii="Times New Roman" w:hAnsi="Times New Roman"/>
          <w:sz w:val="22"/>
        </w:rPr>
      </w:pPr>
      <w:r>
        <w:rPr>
          <w:rFonts w:ascii="Times New Roman" w:hAnsi="Times New Roman"/>
          <w:sz w:val="22"/>
        </w:rPr>
        <w:t>Table S2. Summary of geometric mean or median values of parent parabens in different matrix from healthy men in several related articles</w:t>
      </w:r>
    </w:p>
    <w:tbl>
      <w:tblPr>
        <w:tblStyle w:val="5"/>
        <w:tblW w:w="10594" w:type="dxa"/>
        <w:jc w:val="center"/>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50"/>
        <w:gridCol w:w="797"/>
        <w:gridCol w:w="851"/>
        <w:gridCol w:w="1134"/>
        <w:gridCol w:w="850"/>
        <w:gridCol w:w="851"/>
        <w:gridCol w:w="1134"/>
        <w:gridCol w:w="850"/>
        <w:gridCol w:w="851"/>
        <w:gridCol w:w="1134"/>
        <w:gridCol w:w="992"/>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947" w:type="dxa"/>
            <w:gridSpan w:val="2"/>
            <w:vMerge w:val="restart"/>
            <w:tcBorders>
              <w:top w:val="single" w:color="auto" w:sz="4" w:space="0"/>
            </w:tcBorders>
          </w:tcPr>
          <w:p>
            <w:pPr>
              <w:jc w:val="center"/>
              <w:rPr>
                <w:rFonts w:ascii="Times New Roman" w:hAnsi="Times New Roman"/>
                <w:sz w:val="18"/>
                <w:szCs w:val="18"/>
              </w:rPr>
            </w:pPr>
            <w:r>
              <w:rPr>
                <w:rFonts w:ascii="Times New Roman" w:hAnsi="Times New Roman"/>
                <w:sz w:val="18"/>
                <w:szCs w:val="18"/>
              </w:rPr>
              <w:t>Reference</w:t>
            </w:r>
          </w:p>
          <w:p>
            <w:pPr>
              <w:jc w:val="center"/>
              <w:rPr>
                <w:rFonts w:ascii="Times New Roman" w:hAnsi="Times New Roman"/>
                <w:sz w:val="18"/>
                <w:szCs w:val="18"/>
              </w:rPr>
            </w:pPr>
            <w:r>
              <w:rPr>
                <w:rFonts w:ascii="Times New Roman" w:hAnsi="Times New Roman"/>
                <w:sz w:val="18"/>
                <w:szCs w:val="18"/>
              </w:rPr>
              <w:t>Sample size</w:t>
            </w:r>
          </w:p>
        </w:tc>
        <w:tc>
          <w:tcPr>
            <w:tcW w:w="8647" w:type="dxa"/>
            <w:gridSpan w:val="9"/>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Matrix</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31" w:hRule="exact"/>
          <w:jc w:val="center"/>
        </w:trPr>
        <w:tc>
          <w:tcPr>
            <w:tcW w:w="1947" w:type="dxa"/>
            <w:gridSpan w:val="2"/>
            <w:vMerge w:val="continue"/>
            <w:tcBorders>
              <w:bottom w:val="single" w:color="auto" w:sz="4" w:space="0"/>
            </w:tcBorders>
          </w:tcPr>
          <w:p>
            <w:pPr>
              <w:jc w:val="center"/>
              <w:rPr>
                <w:rFonts w:ascii="Times New Roman" w:hAnsi="Times New Roman"/>
                <w:sz w:val="18"/>
                <w:szCs w:val="18"/>
              </w:rPr>
            </w:pPr>
          </w:p>
        </w:tc>
        <w:tc>
          <w:tcPr>
            <w:tcW w:w="2835" w:type="dxa"/>
            <w:gridSpan w:val="3"/>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Urine</w:t>
            </w:r>
          </w:p>
        </w:tc>
        <w:tc>
          <w:tcPr>
            <w:tcW w:w="2835" w:type="dxa"/>
            <w:gridSpan w:val="3"/>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Serum/plasma</w:t>
            </w:r>
          </w:p>
        </w:tc>
        <w:tc>
          <w:tcPr>
            <w:tcW w:w="2977" w:type="dxa"/>
            <w:gridSpan w:val="3"/>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Seminal plasma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tcBorders>
              <w:top w:val="single" w:color="auto" w:sz="4" w:space="0"/>
              <w:bottom w:val="single" w:color="auto" w:sz="4" w:space="0"/>
            </w:tcBorders>
          </w:tcPr>
          <w:p>
            <w:pPr>
              <w:rPr>
                <w:rFonts w:ascii="Times New Roman" w:hAnsi="Times New Roman"/>
                <w:sz w:val="18"/>
                <w:szCs w:val="18"/>
              </w:rPr>
            </w:pPr>
          </w:p>
        </w:tc>
        <w:tc>
          <w:tcPr>
            <w:tcW w:w="797"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Paraben</w:t>
            </w:r>
          </w:p>
        </w:tc>
        <w:tc>
          <w:tcPr>
            <w:tcW w:w="851"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DR(%)</w:t>
            </w:r>
          </w:p>
        </w:tc>
        <w:tc>
          <w:tcPr>
            <w:tcW w:w="1134"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GM/Median</w:t>
            </w:r>
          </w:p>
        </w:tc>
        <w:tc>
          <w:tcPr>
            <w:tcW w:w="850"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%/total</w:t>
            </w:r>
          </w:p>
        </w:tc>
        <w:tc>
          <w:tcPr>
            <w:tcW w:w="851"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DR(%)</w:t>
            </w:r>
          </w:p>
        </w:tc>
        <w:tc>
          <w:tcPr>
            <w:tcW w:w="1134"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GM/Median</w:t>
            </w:r>
          </w:p>
        </w:tc>
        <w:tc>
          <w:tcPr>
            <w:tcW w:w="850"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%/total</w:t>
            </w:r>
          </w:p>
        </w:tc>
        <w:tc>
          <w:tcPr>
            <w:tcW w:w="851"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DR(%)</w:t>
            </w:r>
          </w:p>
        </w:tc>
        <w:tc>
          <w:tcPr>
            <w:tcW w:w="1134"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GM/Median</w:t>
            </w:r>
          </w:p>
        </w:tc>
        <w:tc>
          <w:tcPr>
            <w:tcW w:w="992" w:type="dxa"/>
            <w:tcBorders>
              <w:top w:val="single" w:color="auto" w:sz="4" w:space="0"/>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%/total</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restart"/>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Frederiksen et al.2011</w:t>
            </w:r>
          </w:p>
          <w:p>
            <w:pPr>
              <w:jc w:val="center"/>
              <w:rPr>
                <w:rFonts w:ascii="Times New Roman" w:hAnsi="Times New Roman"/>
                <w:sz w:val="18"/>
                <w:szCs w:val="18"/>
              </w:rPr>
            </w:pPr>
            <w:r>
              <w:rPr>
                <w:rFonts w:hint="eastAsia" w:ascii="Times New Roman" w:hAnsi="Times New Roman"/>
                <w:sz w:val="18"/>
                <w:szCs w:val="18"/>
              </w:rPr>
              <w:t>(</w:t>
            </w:r>
            <w:r>
              <w:rPr>
                <w:rFonts w:ascii="Times New Roman" w:hAnsi="Times New Roman"/>
                <w:sz w:val="18"/>
                <w:szCs w:val="18"/>
              </w:rPr>
              <w:t>N=60</w:t>
            </w:r>
            <w:r>
              <w:rPr>
                <w:rFonts w:hint="eastAsia" w:ascii="Times New Roman" w:hAnsi="Times New Roman"/>
                <w:sz w:val="18"/>
                <w:szCs w:val="18"/>
              </w:rPr>
              <w:t>)</w:t>
            </w:r>
          </w:p>
        </w:tc>
        <w:tc>
          <w:tcPr>
            <w:tcW w:w="797" w:type="dxa"/>
            <w:tcBorders>
              <w:top w:val="single" w:color="auto" w:sz="4" w:space="0"/>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MeP</w:t>
            </w:r>
          </w:p>
        </w:tc>
        <w:tc>
          <w:tcPr>
            <w:tcW w:w="851"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98</w:t>
            </w:r>
          </w:p>
        </w:tc>
        <w:tc>
          <w:tcPr>
            <w:tcW w:w="1134"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17.7</w:t>
            </w:r>
          </w:p>
        </w:tc>
        <w:tc>
          <w:tcPr>
            <w:tcW w:w="850"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75.4</w:t>
            </w:r>
          </w:p>
        </w:tc>
        <w:tc>
          <w:tcPr>
            <w:tcW w:w="851"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95</w:t>
            </w:r>
          </w:p>
        </w:tc>
        <w:tc>
          <w:tcPr>
            <w:tcW w:w="1134"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1.53</w:t>
            </w:r>
          </w:p>
        </w:tc>
        <w:tc>
          <w:tcPr>
            <w:tcW w:w="850"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55</w:t>
            </w:r>
          </w:p>
        </w:tc>
        <w:tc>
          <w:tcPr>
            <w:tcW w:w="1134"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0.99</w:t>
            </w:r>
          </w:p>
        </w:tc>
        <w:tc>
          <w:tcPr>
            <w:tcW w:w="992"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52.9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EtP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80</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1.98</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8.4</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30</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64</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0.14</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PrP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98</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3.60</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15.3</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94</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0.32</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95</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0.68</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36.4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BuP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83</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0.19</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0.8</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4</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52</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0.06</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BzP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7</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4</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9</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&lt;LOD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HeP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single" w:color="auto" w:sz="4" w:space="0"/>
            </w:tcBorders>
            <w:vAlign w:val="center"/>
          </w:tcPr>
          <w:p>
            <w:pPr>
              <w:jc w:val="center"/>
              <w:rPr>
                <w:rFonts w:ascii="Times New Roman" w:hAnsi="Times New Roman"/>
                <w:sz w:val="18"/>
                <w:szCs w:val="18"/>
              </w:rPr>
            </w:pPr>
          </w:p>
        </w:tc>
        <w:tc>
          <w:tcPr>
            <w:tcW w:w="797"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b/>
                <w:bCs/>
                <w:sz w:val="18"/>
                <w:szCs w:val="18"/>
              </w:rPr>
              <w:t>Total</w:t>
            </w:r>
          </w:p>
        </w:tc>
        <w:tc>
          <w:tcPr>
            <w:tcW w:w="851" w:type="dxa"/>
            <w:tcBorders>
              <w:top w:val="nil"/>
              <w:bottom w:val="single" w:color="auto" w:sz="4" w:space="0"/>
            </w:tcBorders>
            <w:vAlign w:val="center"/>
          </w:tcPr>
          <w:p>
            <w:pPr>
              <w:jc w:val="center"/>
              <w:rPr>
                <w:rFonts w:ascii="Times New Roman" w:hAnsi="Times New Roman"/>
                <w:sz w:val="18"/>
                <w:szCs w:val="18"/>
              </w:rPr>
            </w:pPr>
          </w:p>
        </w:tc>
        <w:tc>
          <w:tcPr>
            <w:tcW w:w="1134"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23.47</w:t>
            </w:r>
          </w:p>
        </w:tc>
        <w:tc>
          <w:tcPr>
            <w:tcW w:w="850" w:type="dxa"/>
            <w:tcBorders>
              <w:top w:val="nil"/>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tcBorders>
              <w:top w:val="nil"/>
              <w:bottom w:val="single" w:color="auto" w:sz="4" w:space="0"/>
            </w:tcBorders>
            <w:vAlign w:val="center"/>
          </w:tcPr>
          <w:p>
            <w:pPr>
              <w:jc w:val="center"/>
              <w:rPr>
                <w:rFonts w:ascii="Times New Roman" w:hAnsi="Times New Roman"/>
                <w:sz w:val="18"/>
                <w:szCs w:val="18"/>
              </w:rPr>
            </w:pPr>
          </w:p>
        </w:tc>
        <w:tc>
          <w:tcPr>
            <w:tcW w:w="1134"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single" w:color="auto" w:sz="4" w:space="0"/>
            </w:tcBorders>
            <w:vAlign w:val="center"/>
          </w:tcPr>
          <w:p>
            <w:pPr>
              <w:jc w:val="center"/>
              <w:rPr>
                <w:rFonts w:ascii="Times New Roman" w:hAnsi="Times New Roman"/>
                <w:sz w:val="18"/>
                <w:szCs w:val="18"/>
              </w:rPr>
            </w:pPr>
          </w:p>
        </w:tc>
        <w:tc>
          <w:tcPr>
            <w:tcW w:w="851" w:type="dxa"/>
            <w:tcBorders>
              <w:top w:val="nil"/>
              <w:bottom w:val="single" w:color="auto" w:sz="4" w:space="0"/>
            </w:tcBorders>
            <w:vAlign w:val="center"/>
          </w:tcPr>
          <w:p>
            <w:pPr>
              <w:jc w:val="center"/>
              <w:rPr>
                <w:rFonts w:ascii="Times New Roman" w:hAnsi="Times New Roman"/>
                <w:sz w:val="18"/>
                <w:szCs w:val="18"/>
              </w:rPr>
            </w:pPr>
          </w:p>
        </w:tc>
        <w:tc>
          <w:tcPr>
            <w:tcW w:w="1134"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1.87</w:t>
            </w:r>
          </w:p>
        </w:tc>
        <w:tc>
          <w:tcPr>
            <w:tcW w:w="992" w:type="dxa"/>
            <w:tcBorders>
              <w:top w:val="nil"/>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restart"/>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Smarr et al.201</w:t>
            </w:r>
            <w:r>
              <w:rPr>
                <w:rFonts w:hint="eastAsia" w:ascii="Times New Roman" w:hAnsi="Times New Roman"/>
                <w:sz w:val="18"/>
                <w:szCs w:val="18"/>
              </w:rPr>
              <w:t>7</w:t>
            </w:r>
          </w:p>
          <w:p>
            <w:pPr>
              <w:jc w:val="center"/>
              <w:rPr>
                <w:rFonts w:ascii="Times New Roman" w:hAnsi="Times New Roman"/>
                <w:sz w:val="18"/>
                <w:szCs w:val="18"/>
              </w:rPr>
            </w:pPr>
            <w:r>
              <w:rPr>
                <w:rFonts w:hint="eastAsia" w:ascii="Times New Roman" w:hAnsi="Times New Roman"/>
                <w:sz w:val="18"/>
                <w:szCs w:val="18"/>
              </w:rPr>
              <w:t>(</w:t>
            </w:r>
            <w:r>
              <w:rPr>
                <w:rFonts w:ascii="Times New Roman" w:hAnsi="Times New Roman"/>
                <w:sz w:val="18"/>
                <w:szCs w:val="18"/>
              </w:rPr>
              <w:t>N=439</w:t>
            </w:r>
            <w:r>
              <w:rPr>
                <w:rFonts w:hint="eastAsia" w:ascii="Times New Roman" w:hAnsi="Times New Roman"/>
                <w:sz w:val="18"/>
                <w:szCs w:val="18"/>
              </w:rPr>
              <w:t>)</w:t>
            </w:r>
          </w:p>
        </w:tc>
        <w:tc>
          <w:tcPr>
            <w:tcW w:w="797" w:type="dxa"/>
            <w:tcBorders>
              <w:top w:val="single" w:color="auto" w:sz="4" w:space="0"/>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MeP</w:t>
            </w:r>
          </w:p>
        </w:tc>
        <w:tc>
          <w:tcPr>
            <w:tcW w:w="851"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99</w:t>
            </w:r>
          </w:p>
        </w:tc>
        <w:tc>
          <w:tcPr>
            <w:tcW w:w="1134"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6.37</w:t>
            </w:r>
          </w:p>
        </w:tc>
        <w:tc>
          <w:tcPr>
            <w:tcW w:w="850"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77.5</w:t>
            </w:r>
          </w:p>
        </w:tc>
        <w:tc>
          <w:tcPr>
            <w:tcW w:w="851"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single" w:color="auto" w:sz="4" w:space="0"/>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EtP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82</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0.33</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4.0</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PrP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95</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1.48</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18.0</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BuP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30</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0.03</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0.3</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BzP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9</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0.01</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0.1</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nil"/>
            </w:tcBorders>
            <w:vAlign w:val="center"/>
          </w:tcPr>
          <w:p>
            <w:pPr>
              <w:jc w:val="center"/>
              <w:rPr>
                <w:rFonts w:ascii="Times New Roman" w:hAnsi="Times New Roman"/>
                <w:sz w:val="18"/>
                <w:szCs w:val="18"/>
              </w:rPr>
            </w:pPr>
          </w:p>
        </w:tc>
        <w:tc>
          <w:tcPr>
            <w:tcW w:w="797"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HeP</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0.00</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0</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nil"/>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top w:val="nil"/>
              <w:bottom w:val="single" w:color="auto" w:sz="4" w:space="0"/>
            </w:tcBorders>
            <w:vAlign w:val="center"/>
          </w:tcPr>
          <w:p>
            <w:pPr>
              <w:jc w:val="center"/>
              <w:rPr>
                <w:rFonts w:ascii="Times New Roman" w:hAnsi="Times New Roman"/>
                <w:sz w:val="18"/>
                <w:szCs w:val="18"/>
              </w:rPr>
            </w:pPr>
          </w:p>
        </w:tc>
        <w:tc>
          <w:tcPr>
            <w:tcW w:w="797"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b/>
                <w:bCs/>
                <w:sz w:val="18"/>
                <w:szCs w:val="18"/>
              </w:rPr>
              <w:t>Total</w:t>
            </w:r>
          </w:p>
        </w:tc>
        <w:tc>
          <w:tcPr>
            <w:tcW w:w="851" w:type="dxa"/>
            <w:tcBorders>
              <w:top w:val="nil"/>
              <w:bottom w:val="single" w:color="auto" w:sz="4" w:space="0"/>
            </w:tcBorders>
            <w:vAlign w:val="center"/>
          </w:tcPr>
          <w:p>
            <w:pPr>
              <w:jc w:val="center"/>
              <w:rPr>
                <w:rFonts w:ascii="Times New Roman" w:hAnsi="Times New Roman"/>
                <w:sz w:val="18"/>
                <w:szCs w:val="18"/>
              </w:rPr>
            </w:pPr>
          </w:p>
        </w:tc>
        <w:tc>
          <w:tcPr>
            <w:tcW w:w="1134"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8.22</w:t>
            </w:r>
          </w:p>
        </w:tc>
        <w:tc>
          <w:tcPr>
            <w:tcW w:w="850" w:type="dxa"/>
            <w:tcBorders>
              <w:top w:val="nil"/>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nil"/>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restart"/>
            <w:tcBorders>
              <w:top w:val="single" w:color="auto" w:sz="4" w:space="0"/>
            </w:tcBorders>
            <w:vAlign w:val="center"/>
          </w:tcPr>
          <w:p>
            <w:pPr>
              <w:spacing w:line="240" w:lineRule="exact"/>
              <w:jc w:val="center"/>
              <w:rPr>
                <w:rFonts w:ascii="Times New Roman" w:hAnsi="Times New Roman"/>
                <w:sz w:val="18"/>
                <w:szCs w:val="18"/>
              </w:rPr>
            </w:pPr>
            <w:r>
              <w:rPr>
                <w:rFonts w:ascii="Times New Roman" w:hAnsi="Times New Roman"/>
                <w:sz w:val="18"/>
                <w:szCs w:val="18"/>
              </w:rPr>
              <w:t>Buck Louis et al.2018</w:t>
            </w:r>
          </w:p>
          <w:p>
            <w:pPr>
              <w:spacing w:line="240" w:lineRule="exact"/>
              <w:jc w:val="center"/>
              <w:rPr>
                <w:rFonts w:ascii="Times New Roman" w:hAnsi="Times New Roman"/>
                <w:sz w:val="18"/>
                <w:szCs w:val="18"/>
              </w:rPr>
            </w:pPr>
            <w:r>
              <w:rPr>
                <w:rFonts w:hint="eastAsia" w:ascii="Times New Roman" w:hAnsi="Times New Roman"/>
                <w:sz w:val="18"/>
                <w:szCs w:val="18"/>
              </w:rPr>
              <w:t>(</w:t>
            </w:r>
            <w:r>
              <w:rPr>
                <w:rFonts w:ascii="Times New Roman" w:hAnsi="Times New Roman"/>
                <w:sz w:val="18"/>
                <w:szCs w:val="18"/>
              </w:rPr>
              <w:t>N=439</w:t>
            </w:r>
          </w:p>
          <w:p>
            <w:pPr>
              <w:spacing w:line="240" w:lineRule="exact"/>
              <w:jc w:val="center"/>
              <w:rPr>
                <w:rFonts w:ascii="Times New Roman" w:hAnsi="Times New Roman"/>
                <w:sz w:val="18"/>
                <w:szCs w:val="18"/>
              </w:rPr>
            </w:pPr>
            <w:r>
              <w:rPr>
                <w:rFonts w:ascii="Times New Roman" w:hAnsi="Times New Roman"/>
                <w:sz w:val="18"/>
                <w:szCs w:val="18"/>
              </w:rPr>
              <w:t>(urine); n=339</w:t>
            </w:r>
          </w:p>
          <w:p>
            <w:pPr>
              <w:spacing w:line="240" w:lineRule="exact"/>
              <w:jc w:val="center"/>
              <w:rPr>
                <w:rFonts w:ascii="Times New Roman" w:hAnsi="Times New Roman"/>
                <w:sz w:val="18"/>
                <w:szCs w:val="18"/>
              </w:rPr>
            </w:pPr>
            <w:r>
              <w:rPr>
                <w:rFonts w:ascii="Times New Roman" w:hAnsi="Times New Roman"/>
                <w:sz w:val="18"/>
                <w:szCs w:val="18"/>
              </w:rPr>
              <w:t>(seminal</w:t>
            </w:r>
          </w:p>
          <w:p>
            <w:pPr>
              <w:spacing w:line="240" w:lineRule="exact"/>
              <w:jc w:val="center"/>
              <w:rPr>
                <w:rFonts w:ascii="Times New Roman" w:hAnsi="Times New Roman"/>
                <w:sz w:val="18"/>
                <w:szCs w:val="18"/>
              </w:rPr>
            </w:pPr>
            <w:r>
              <w:rPr>
                <w:rFonts w:ascii="Times New Roman" w:hAnsi="Times New Roman"/>
                <w:sz w:val="18"/>
                <w:szCs w:val="18"/>
              </w:rPr>
              <w:t>plasma)</w:t>
            </w:r>
            <w:r>
              <w:rPr>
                <w:rFonts w:hint="eastAsia" w:ascii="Times New Roman" w:hAnsi="Times New Roman"/>
                <w:sz w:val="18"/>
                <w:szCs w:val="18"/>
              </w:rPr>
              <w:t>)</w:t>
            </w:r>
          </w:p>
        </w:tc>
        <w:tc>
          <w:tcPr>
            <w:tcW w:w="797" w:type="dxa"/>
            <w:tcBorders>
              <w:top w:val="single" w:color="auto" w:sz="4" w:space="0"/>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MeP</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99</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6.55</w:t>
            </w:r>
          </w:p>
        </w:tc>
        <w:tc>
          <w:tcPr>
            <w:tcW w:w="850"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77.8</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99</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0.84</w:t>
            </w:r>
          </w:p>
        </w:tc>
        <w:tc>
          <w:tcPr>
            <w:tcW w:w="992"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69.4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EtP</w:t>
            </w:r>
          </w:p>
        </w:tc>
        <w:tc>
          <w:tcPr>
            <w:tcW w:w="851" w:type="dxa"/>
            <w:vAlign w:val="center"/>
          </w:tcPr>
          <w:p>
            <w:pPr>
              <w:jc w:val="center"/>
              <w:rPr>
                <w:rFonts w:ascii="Times New Roman" w:hAnsi="Times New Roman"/>
                <w:sz w:val="18"/>
                <w:szCs w:val="18"/>
              </w:rPr>
            </w:pPr>
            <w:r>
              <w:rPr>
                <w:rFonts w:ascii="Times New Roman" w:hAnsi="Times New Roman"/>
                <w:sz w:val="18"/>
                <w:szCs w:val="18"/>
              </w:rPr>
              <w:t>89</w:t>
            </w:r>
          </w:p>
        </w:tc>
        <w:tc>
          <w:tcPr>
            <w:tcW w:w="1134" w:type="dxa"/>
            <w:vAlign w:val="center"/>
          </w:tcPr>
          <w:p>
            <w:pPr>
              <w:jc w:val="center"/>
              <w:rPr>
                <w:rFonts w:ascii="Times New Roman" w:hAnsi="Times New Roman"/>
                <w:sz w:val="18"/>
                <w:szCs w:val="18"/>
              </w:rPr>
            </w:pPr>
            <w:r>
              <w:rPr>
                <w:rFonts w:ascii="Times New Roman" w:hAnsi="Times New Roman"/>
                <w:sz w:val="18"/>
                <w:szCs w:val="18"/>
              </w:rPr>
              <w:t>0.37</w:t>
            </w:r>
          </w:p>
        </w:tc>
        <w:tc>
          <w:tcPr>
            <w:tcW w:w="850" w:type="dxa"/>
            <w:vAlign w:val="center"/>
          </w:tcPr>
          <w:p>
            <w:pPr>
              <w:jc w:val="center"/>
              <w:rPr>
                <w:rFonts w:ascii="Times New Roman" w:hAnsi="Times New Roman"/>
                <w:sz w:val="18"/>
                <w:szCs w:val="18"/>
              </w:rPr>
            </w:pPr>
            <w:r>
              <w:rPr>
                <w:rFonts w:ascii="Times New Roman" w:hAnsi="Times New Roman"/>
                <w:sz w:val="18"/>
                <w:szCs w:val="18"/>
              </w:rPr>
              <w:t>4.4</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82</w:t>
            </w:r>
          </w:p>
        </w:tc>
        <w:tc>
          <w:tcPr>
            <w:tcW w:w="1134" w:type="dxa"/>
            <w:vAlign w:val="center"/>
          </w:tcPr>
          <w:p>
            <w:pPr>
              <w:jc w:val="center"/>
              <w:rPr>
                <w:rFonts w:ascii="Times New Roman" w:hAnsi="Times New Roman"/>
                <w:sz w:val="18"/>
                <w:szCs w:val="18"/>
              </w:rPr>
            </w:pPr>
            <w:r>
              <w:rPr>
                <w:rFonts w:ascii="Times New Roman" w:hAnsi="Times New Roman"/>
                <w:sz w:val="18"/>
                <w:szCs w:val="18"/>
              </w:rPr>
              <w:t>0.07</w:t>
            </w:r>
          </w:p>
        </w:tc>
        <w:tc>
          <w:tcPr>
            <w:tcW w:w="992" w:type="dxa"/>
            <w:vAlign w:val="center"/>
          </w:tcPr>
          <w:p>
            <w:pPr>
              <w:jc w:val="center"/>
              <w:rPr>
                <w:rFonts w:ascii="Times New Roman" w:hAnsi="Times New Roman"/>
                <w:sz w:val="18"/>
                <w:szCs w:val="18"/>
              </w:rPr>
            </w:pPr>
            <w:r>
              <w:rPr>
                <w:rFonts w:ascii="Times New Roman" w:hAnsi="Times New Roman"/>
                <w:sz w:val="18"/>
                <w:szCs w:val="18"/>
              </w:rPr>
              <w:t>5.7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PrP</w:t>
            </w:r>
          </w:p>
        </w:tc>
        <w:tc>
          <w:tcPr>
            <w:tcW w:w="851" w:type="dxa"/>
            <w:vAlign w:val="center"/>
          </w:tcPr>
          <w:p>
            <w:pPr>
              <w:jc w:val="center"/>
              <w:rPr>
                <w:rFonts w:ascii="Times New Roman" w:hAnsi="Times New Roman"/>
                <w:sz w:val="18"/>
                <w:szCs w:val="18"/>
              </w:rPr>
            </w:pPr>
            <w:r>
              <w:rPr>
                <w:rFonts w:ascii="Times New Roman" w:hAnsi="Times New Roman"/>
                <w:sz w:val="18"/>
                <w:szCs w:val="18"/>
              </w:rPr>
              <w:t>96</w:t>
            </w:r>
          </w:p>
        </w:tc>
        <w:tc>
          <w:tcPr>
            <w:tcW w:w="1134" w:type="dxa"/>
            <w:vAlign w:val="center"/>
          </w:tcPr>
          <w:p>
            <w:pPr>
              <w:jc w:val="center"/>
              <w:rPr>
                <w:rFonts w:ascii="Times New Roman" w:hAnsi="Times New Roman"/>
                <w:sz w:val="18"/>
                <w:szCs w:val="18"/>
              </w:rPr>
            </w:pPr>
            <w:r>
              <w:rPr>
                <w:rFonts w:ascii="Times New Roman" w:hAnsi="Times New Roman"/>
                <w:sz w:val="18"/>
                <w:szCs w:val="18"/>
              </w:rPr>
              <w:t>1.45</w:t>
            </w:r>
          </w:p>
        </w:tc>
        <w:tc>
          <w:tcPr>
            <w:tcW w:w="850" w:type="dxa"/>
            <w:vAlign w:val="center"/>
          </w:tcPr>
          <w:p>
            <w:pPr>
              <w:jc w:val="center"/>
              <w:rPr>
                <w:rFonts w:ascii="Times New Roman" w:hAnsi="Times New Roman"/>
                <w:sz w:val="18"/>
                <w:szCs w:val="18"/>
              </w:rPr>
            </w:pPr>
            <w:r>
              <w:rPr>
                <w:rFonts w:ascii="Times New Roman" w:hAnsi="Times New Roman"/>
                <w:sz w:val="18"/>
                <w:szCs w:val="18"/>
              </w:rPr>
              <w:t>17.2</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96</w:t>
            </w:r>
          </w:p>
        </w:tc>
        <w:tc>
          <w:tcPr>
            <w:tcW w:w="1134" w:type="dxa"/>
            <w:vAlign w:val="center"/>
          </w:tcPr>
          <w:p>
            <w:pPr>
              <w:jc w:val="center"/>
              <w:rPr>
                <w:rFonts w:ascii="Times New Roman" w:hAnsi="Times New Roman"/>
                <w:sz w:val="18"/>
                <w:szCs w:val="18"/>
              </w:rPr>
            </w:pPr>
            <w:r>
              <w:rPr>
                <w:rFonts w:ascii="Times New Roman" w:hAnsi="Times New Roman"/>
                <w:sz w:val="18"/>
                <w:szCs w:val="18"/>
              </w:rPr>
              <w:t>0.21</w:t>
            </w:r>
          </w:p>
        </w:tc>
        <w:tc>
          <w:tcPr>
            <w:tcW w:w="992" w:type="dxa"/>
            <w:vAlign w:val="center"/>
          </w:tcPr>
          <w:p>
            <w:pPr>
              <w:jc w:val="center"/>
              <w:rPr>
                <w:rFonts w:ascii="Times New Roman" w:hAnsi="Times New Roman"/>
                <w:sz w:val="18"/>
                <w:szCs w:val="18"/>
              </w:rPr>
            </w:pPr>
            <w:r>
              <w:rPr>
                <w:rFonts w:ascii="Times New Roman" w:hAnsi="Times New Roman"/>
                <w:sz w:val="18"/>
                <w:szCs w:val="18"/>
              </w:rPr>
              <w:t>17.3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BuP</w:t>
            </w:r>
          </w:p>
        </w:tc>
        <w:tc>
          <w:tcPr>
            <w:tcW w:w="851" w:type="dxa"/>
            <w:vAlign w:val="center"/>
          </w:tcPr>
          <w:p>
            <w:pPr>
              <w:jc w:val="center"/>
              <w:rPr>
                <w:rFonts w:ascii="Times New Roman" w:hAnsi="Times New Roman"/>
                <w:sz w:val="18"/>
                <w:szCs w:val="18"/>
              </w:rPr>
            </w:pPr>
            <w:r>
              <w:rPr>
                <w:rFonts w:ascii="Times New Roman" w:hAnsi="Times New Roman"/>
                <w:sz w:val="18"/>
                <w:szCs w:val="18"/>
              </w:rPr>
              <w:t>33</w:t>
            </w:r>
          </w:p>
        </w:tc>
        <w:tc>
          <w:tcPr>
            <w:tcW w:w="1134" w:type="dxa"/>
            <w:vAlign w:val="center"/>
          </w:tcPr>
          <w:p>
            <w:pPr>
              <w:jc w:val="center"/>
              <w:rPr>
                <w:rFonts w:ascii="Times New Roman" w:hAnsi="Times New Roman"/>
                <w:sz w:val="18"/>
                <w:szCs w:val="18"/>
              </w:rPr>
            </w:pPr>
            <w:r>
              <w:rPr>
                <w:rFonts w:ascii="Times New Roman" w:hAnsi="Times New Roman"/>
                <w:sz w:val="18"/>
                <w:szCs w:val="18"/>
              </w:rPr>
              <w:t>0.03</w:t>
            </w:r>
          </w:p>
        </w:tc>
        <w:tc>
          <w:tcPr>
            <w:tcW w:w="850" w:type="dxa"/>
            <w:vAlign w:val="center"/>
          </w:tcPr>
          <w:p>
            <w:pPr>
              <w:jc w:val="center"/>
              <w:rPr>
                <w:rFonts w:ascii="Times New Roman" w:hAnsi="Times New Roman"/>
                <w:sz w:val="18"/>
                <w:szCs w:val="18"/>
              </w:rPr>
            </w:pPr>
            <w:r>
              <w:rPr>
                <w:rFonts w:ascii="Times New Roman" w:hAnsi="Times New Roman"/>
                <w:sz w:val="18"/>
                <w:szCs w:val="18"/>
              </w:rPr>
              <w:t>0.3</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55</w:t>
            </w:r>
          </w:p>
        </w:tc>
        <w:tc>
          <w:tcPr>
            <w:tcW w:w="1134" w:type="dxa"/>
            <w:vAlign w:val="center"/>
          </w:tcPr>
          <w:p>
            <w:pPr>
              <w:jc w:val="center"/>
              <w:rPr>
                <w:rFonts w:ascii="Times New Roman" w:hAnsi="Times New Roman"/>
                <w:sz w:val="18"/>
                <w:szCs w:val="18"/>
              </w:rPr>
            </w:pPr>
            <w:r>
              <w:rPr>
                <w:rFonts w:ascii="Times New Roman" w:hAnsi="Times New Roman"/>
                <w:sz w:val="18"/>
                <w:szCs w:val="18"/>
              </w:rPr>
              <w:t>0.02</w:t>
            </w:r>
          </w:p>
        </w:tc>
        <w:tc>
          <w:tcPr>
            <w:tcW w:w="992" w:type="dxa"/>
            <w:vAlign w:val="center"/>
          </w:tcPr>
          <w:p>
            <w:pPr>
              <w:jc w:val="center"/>
              <w:rPr>
                <w:rFonts w:ascii="Times New Roman" w:hAnsi="Times New Roman"/>
                <w:sz w:val="18"/>
                <w:szCs w:val="18"/>
              </w:rPr>
            </w:pPr>
            <w:r>
              <w:rPr>
                <w:rFonts w:ascii="Times New Roman" w:hAnsi="Times New Roman"/>
                <w:sz w:val="18"/>
                <w:szCs w:val="18"/>
              </w:rPr>
              <w:t>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BzP</w:t>
            </w:r>
          </w:p>
        </w:tc>
        <w:tc>
          <w:tcPr>
            <w:tcW w:w="851" w:type="dxa"/>
            <w:vAlign w:val="center"/>
          </w:tcPr>
          <w:p>
            <w:pPr>
              <w:jc w:val="center"/>
              <w:rPr>
                <w:rFonts w:ascii="Times New Roman" w:hAnsi="Times New Roman"/>
                <w:sz w:val="18"/>
                <w:szCs w:val="18"/>
              </w:rPr>
            </w:pPr>
            <w:r>
              <w:rPr>
                <w:rFonts w:ascii="Times New Roman" w:hAnsi="Times New Roman"/>
                <w:sz w:val="18"/>
                <w:szCs w:val="18"/>
              </w:rPr>
              <w:t>12</w:t>
            </w:r>
          </w:p>
        </w:tc>
        <w:tc>
          <w:tcPr>
            <w:tcW w:w="1134" w:type="dxa"/>
            <w:vAlign w:val="center"/>
          </w:tcPr>
          <w:p>
            <w:pPr>
              <w:jc w:val="center"/>
              <w:rPr>
                <w:rFonts w:ascii="Times New Roman" w:hAnsi="Times New Roman"/>
                <w:sz w:val="18"/>
                <w:szCs w:val="18"/>
              </w:rPr>
            </w:pPr>
            <w:r>
              <w:rPr>
                <w:rFonts w:ascii="Times New Roman" w:hAnsi="Times New Roman"/>
                <w:sz w:val="18"/>
                <w:szCs w:val="18"/>
              </w:rPr>
              <w:t>0.02</w:t>
            </w:r>
          </w:p>
        </w:tc>
        <w:tc>
          <w:tcPr>
            <w:tcW w:w="850" w:type="dxa"/>
            <w:vAlign w:val="center"/>
          </w:tcPr>
          <w:p>
            <w:pPr>
              <w:jc w:val="center"/>
              <w:rPr>
                <w:rFonts w:ascii="Times New Roman" w:hAnsi="Times New Roman"/>
                <w:sz w:val="18"/>
                <w:szCs w:val="18"/>
              </w:rPr>
            </w:pPr>
            <w:r>
              <w:rPr>
                <w:rFonts w:ascii="Times New Roman" w:hAnsi="Times New Roman"/>
                <w:sz w:val="18"/>
                <w:szCs w:val="18"/>
              </w:rPr>
              <w:t>0.2</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91</w:t>
            </w:r>
          </w:p>
        </w:tc>
        <w:tc>
          <w:tcPr>
            <w:tcW w:w="1134" w:type="dxa"/>
            <w:vAlign w:val="center"/>
          </w:tcPr>
          <w:p>
            <w:pPr>
              <w:jc w:val="center"/>
              <w:rPr>
                <w:rFonts w:ascii="Times New Roman" w:hAnsi="Times New Roman"/>
                <w:sz w:val="18"/>
                <w:szCs w:val="18"/>
              </w:rPr>
            </w:pPr>
            <w:r>
              <w:rPr>
                <w:rFonts w:ascii="Times New Roman" w:hAnsi="Times New Roman"/>
                <w:sz w:val="18"/>
                <w:szCs w:val="18"/>
              </w:rPr>
              <w:t>0.07</w:t>
            </w:r>
          </w:p>
        </w:tc>
        <w:tc>
          <w:tcPr>
            <w:tcW w:w="992" w:type="dxa"/>
            <w:vAlign w:val="center"/>
          </w:tcPr>
          <w:p>
            <w:pPr>
              <w:jc w:val="center"/>
              <w:rPr>
                <w:rFonts w:ascii="Times New Roman" w:hAnsi="Times New Roman"/>
                <w:sz w:val="18"/>
                <w:szCs w:val="18"/>
              </w:rPr>
            </w:pPr>
            <w:r>
              <w:rPr>
                <w:rFonts w:ascii="Times New Roman" w:hAnsi="Times New Roman"/>
                <w:sz w:val="18"/>
                <w:szCs w:val="18"/>
              </w:rPr>
              <w:t>5.8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HeP</w:t>
            </w:r>
          </w:p>
        </w:tc>
        <w:tc>
          <w:tcPr>
            <w:tcW w:w="851" w:type="dxa"/>
            <w:vAlign w:val="center"/>
          </w:tcPr>
          <w:p>
            <w:pPr>
              <w:jc w:val="center"/>
              <w:rPr>
                <w:rFonts w:ascii="Times New Roman" w:hAnsi="Times New Roman"/>
                <w:sz w:val="18"/>
                <w:szCs w:val="18"/>
              </w:rPr>
            </w:pPr>
            <w:r>
              <w:rPr>
                <w:rFonts w:ascii="Times New Roman" w:hAnsi="Times New Roman"/>
                <w:sz w:val="18"/>
                <w:szCs w:val="18"/>
              </w:rPr>
              <w:t>0</w:t>
            </w:r>
          </w:p>
        </w:tc>
        <w:tc>
          <w:tcPr>
            <w:tcW w:w="1134" w:type="dxa"/>
            <w:vAlign w:val="center"/>
          </w:tcPr>
          <w:p>
            <w:pPr>
              <w:jc w:val="center"/>
              <w:rPr>
                <w:rFonts w:ascii="Times New Roman" w:hAnsi="Times New Roman"/>
                <w:sz w:val="18"/>
                <w:szCs w:val="18"/>
              </w:rPr>
            </w:pPr>
            <w:r>
              <w:rPr>
                <w:rFonts w:ascii="Times New Roman" w:hAnsi="Times New Roman"/>
                <w:sz w:val="18"/>
                <w:szCs w:val="18"/>
              </w:rPr>
              <w:t>0.00</w:t>
            </w:r>
          </w:p>
        </w:tc>
        <w:tc>
          <w:tcPr>
            <w:tcW w:w="850" w:type="dxa"/>
            <w:vAlign w:val="center"/>
          </w:tcPr>
          <w:p>
            <w:pPr>
              <w:jc w:val="center"/>
              <w:rPr>
                <w:rFonts w:ascii="Times New Roman" w:hAnsi="Times New Roman"/>
                <w:sz w:val="18"/>
                <w:szCs w:val="18"/>
              </w:rPr>
            </w:pPr>
            <w:r>
              <w:rPr>
                <w:rFonts w:ascii="Times New Roman" w:hAnsi="Times New Roman"/>
                <w:sz w:val="18"/>
                <w:szCs w:val="18"/>
              </w:rPr>
              <w:t>0</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0</w:t>
            </w:r>
          </w:p>
        </w:tc>
        <w:tc>
          <w:tcPr>
            <w:tcW w:w="1134" w:type="dxa"/>
            <w:vAlign w:val="center"/>
          </w:tcPr>
          <w:p>
            <w:pPr>
              <w:jc w:val="center"/>
              <w:rPr>
                <w:rFonts w:ascii="Times New Roman" w:hAnsi="Times New Roman"/>
                <w:sz w:val="18"/>
                <w:szCs w:val="18"/>
              </w:rPr>
            </w:pPr>
            <w:r>
              <w:rPr>
                <w:rFonts w:ascii="Times New Roman" w:hAnsi="Times New Roman"/>
                <w:sz w:val="18"/>
                <w:szCs w:val="18"/>
              </w:rPr>
              <w:t>&lt;LOD</w:t>
            </w:r>
          </w:p>
        </w:tc>
        <w:tc>
          <w:tcPr>
            <w:tcW w:w="992" w:type="dxa"/>
            <w:vAlign w:val="center"/>
          </w:tcPr>
          <w:p>
            <w:pPr>
              <w:jc w:val="center"/>
              <w:rPr>
                <w:rFonts w:ascii="Times New Roman" w:hAnsi="Times New Roman"/>
                <w:sz w:val="18"/>
                <w:szCs w:val="18"/>
              </w:rPr>
            </w:pPr>
            <w:r>
              <w:rPr>
                <w:rFonts w:ascii="Times New Roman" w:hAnsi="Times New Roman"/>
                <w:sz w:val="18"/>
                <w:szCs w:val="18"/>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bottom w:val="single" w:color="auto" w:sz="4" w:space="0"/>
            </w:tcBorders>
            <w:vAlign w:val="center"/>
          </w:tcPr>
          <w:p>
            <w:pPr>
              <w:jc w:val="center"/>
              <w:rPr>
                <w:rFonts w:ascii="Times New Roman" w:hAnsi="Times New Roman"/>
                <w:sz w:val="18"/>
                <w:szCs w:val="18"/>
              </w:rPr>
            </w:pPr>
          </w:p>
        </w:tc>
        <w:tc>
          <w:tcPr>
            <w:tcW w:w="797" w:type="dxa"/>
            <w:tcBorders>
              <w:bottom w:val="single" w:color="auto" w:sz="4" w:space="0"/>
            </w:tcBorders>
            <w:vAlign w:val="center"/>
          </w:tcPr>
          <w:p>
            <w:pPr>
              <w:jc w:val="center"/>
              <w:rPr>
                <w:rFonts w:ascii="Times New Roman" w:hAnsi="Times New Roman"/>
                <w:sz w:val="18"/>
                <w:szCs w:val="18"/>
              </w:rPr>
            </w:pPr>
            <w:r>
              <w:rPr>
                <w:rFonts w:ascii="Times New Roman" w:hAnsi="Times New Roman"/>
                <w:b/>
                <w:bCs/>
                <w:sz w:val="18"/>
                <w:szCs w:val="18"/>
              </w:rPr>
              <w:t>Total</w:t>
            </w:r>
          </w:p>
        </w:tc>
        <w:tc>
          <w:tcPr>
            <w:tcW w:w="851" w:type="dxa"/>
            <w:tcBorders>
              <w:bottom w:val="single" w:color="auto" w:sz="4" w:space="0"/>
            </w:tcBorders>
            <w:vAlign w:val="center"/>
          </w:tcPr>
          <w:p>
            <w:pPr>
              <w:jc w:val="center"/>
              <w:rPr>
                <w:rFonts w:ascii="Times New Roman" w:hAnsi="Times New Roman"/>
                <w:sz w:val="18"/>
                <w:szCs w:val="18"/>
              </w:rPr>
            </w:pP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8.42</w:t>
            </w:r>
          </w:p>
        </w:tc>
        <w:tc>
          <w:tcPr>
            <w:tcW w:w="850" w:type="dxa"/>
            <w:tcBorders>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bottom w:val="single" w:color="auto" w:sz="4" w:space="0"/>
            </w:tcBorders>
            <w:vAlign w:val="center"/>
          </w:tcPr>
          <w:p>
            <w:pPr>
              <w:jc w:val="center"/>
              <w:rPr>
                <w:rFonts w:ascii="Times New Roman" w:hAnsi="Times New Roman"/>
                <w:sz w:val="18"/>
                <w:szCs w:val="18"/>
              </w:rPr>
            </w:pP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1.21</w:t>
            </w:r>
          </w:p>
        </w:tc>
        <w:tc>
          <w:tcPr>
            <w:tcW w:w="992" w:type="dxa"/>
            <w:tcBorders>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restart"/>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Smarr</w:t>
            </w:r>
            <w:r>
              <w:rPr>
                <w:rFonts w:ascii="Times New Roman" w:hAnsi="Times New Roman"/>
                <w:sz w:val="18"/>
                <w:szCs w:val="18"/>
              </w:rPr>
              <w:t xml:space="preserve"> et al.2018b</w:t>
            </w:r>
          </w:p>
          <w:p>
            <w:pPr>
              <w:jc w:val="center"/>
              <w:rPr>
                <w:rFonts w:ascii="Times New Roman" w:hAnsi="Times New Roman"/>
                <w:sz w:val="18"/>
                <w:szCs w:val="18"/>
              </w:rPr>
            </w:pPr>
            <w:r>
              <w:rPr>
                <w:rFonts w:hint="eastAsia" w:ascii="Times New Roman" w:hAnsi="Times New Roman"/>
                <w:sz w:val="18"/>
                <w:szCs w:val="18"/>
              </w:rPr>
              <w:t>(</w:t>
            </w:r>
            <w:r>
              <w:rPr>
                <w:rFonts w:ascii="Times New Roman" w:hAnsi="Times New Roman"/>
                <w:sz w:val="18"/>
                <w:szCs w:val="18"/>
              </w:rPr>
              <w:t>N=339)</w:t>
            </w:r>
          </w:p>
        </w:tc>
        <w:tc>
          <w:tcPr>
            <w:tcW w:w="797" w:type="dxa"/>
            <w:tcBorders>
              <w:top w:val="single" w:color="auto" w:sz="4" w:space="0"/>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MeP</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9</w:t>
            </w:r>
            <w:r>
              <w:rPr>
                <w:rFonts w:ascii="Times New Roman" w:hAnsi="Times New Roman"/>
                <w:sz w:val="18"/>
                <w:szCs w:val="18"/>
              </w:rPr>
              <w:t>8</w:t>
            </w:r>
          </w:p>
        </w:tc>
        <w:tc>
          <w:tcPr>
            <w:tcW w:w="1134"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.95</w:t>
            </w:r>
          </w:p>
        </w:tc>
        <w:tc>
          <w:tcPr>
            <w:tcW w:w="992"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6</w:t>
            </w:r>
            <w:r>
              <w:rPr>
                <w:rFonts w:ascii="Times New Roman" w:hAnsi="Times New Roman"/>
                <w:sz w:val="18"/>
                <w:szCs w:val="18"/>
              </w:rPr>
              <w:t>6.9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EtP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6</w:t>
            </w:r>
            <w:r>
              <w:rPr>
                <w:rFonts w:ascii="Times New Roman" w:hAnsi="Times New Roman"/>
                <w:sz w:val="18"/>
                <w:szCs w:val="18"/>
              </w:rPr>
              <w:t>8</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.09</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6</w:t>
            </w:r>
            <w:r>
              <w:rPr>
                <w:rFonts w:ascii="Times New Roman" w:hAnsi="Times New Roman"/>
                <w:sz w:val="18"/>
                <w:szCs w:val="18"/>
              </w:rPr>
              <w:t>.3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PrP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9</w:t>
            </w:r>
            <w:r>
              <w:rPr>
                <w:rFonts w:ascii="Times New Roman" w:hAnsi="Times New Roman"/>
                <w:sz w:val="18"/>
                <w:szCs w:val="18"/>
              </w:rPr>
              <w:t>3</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.28</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9.7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BuP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5</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.03</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BzP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6</w:t>
            </w:r>
            <w:r>
              <w:rPr>
                <w:rFonts w:ascii="Times New Roman" w:hAnsi="Times New Roman"/>
                <w:sz w:val="18"/>
                <w:szCs w:val="18"/>
              </w:rPr>
              <w:t>7</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.07</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4</w:t>
            </w:r>
            <w:r>
              <w:rPr>
                <w:rFonts w:ascii="Times New Roman" w:hAnsi="Times New Roman"/>
                <w:sz w:val="18"/>
                <w:szCs w:val="18"/>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HeP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0</w:t>
            </w:r>
          </w:p>
        </w:tc>
        <w:tc>
          <w:tcPr>
            <w:tcW w:w="1134" w:type="dxa"/>
            <w:vAlign w:val="center"/>
          </w:tcPr>
          <w:p>
            <w:pPr>
              <w:jc w:val="center"/>
              <w:rPr>
                <w:rFonts w:ascii="Times New Roman" w:hAnsi="Times New Roman"/>
                <w:sz w:val="18"/>
                <w:szCs w:val="18"/>
              </w:rPr>
            </w:pPr>
            <w:r>
              <w:rPr>
                <w:rFonts w:ascii="Times New Roman" w:hAnsi="Times New Roman"/>
                <w:sz w:val="18"/>
                <w:szCs w:val="18"/>
              </w:rPr>
              <w:t>&lt;LOD</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bottom w:val="single" w:color="auto" w:sz="4" w:space="0"/>
            </w:tcBorders>
            <w:vAlign w:val="center"/>
          </w:tcPr>
          <w:p>
            <w:pPr>
              <w:jc w:val="center"/>
              <w:rPr>
                <w:rFonts w:ascii="Times New Roman" w:hAnsi="Times New Roman"/>
                <w:sz w:val="18"/>
                <w:szCs w:val="18"/>
              </w:rPr>
            </w:pPr>
          </w:p>
        </w:tc>
        <w:tc>
          <w:tcPr>
            <w:tcW w:w="797" w:type="dxa"/>
            <w:tcBorders>
              <w:bottom w:val="single" w:color="auto" w:sz="4" w:space="0"/>
            </w:tcBorders>
            <w:vAlign w:val="center"/>
          </w:tcPr>
          <w:p>
            <w:pPr>
              <w:jc w:val="center"/>
              <w:rPr>
                <w:rFonts w:ascii="Times New Roman" w:hAnsi="Times New Roman"/>
                <w:sz w:val="18"/>
                <w:szCs w:val="18"/>
              </w:rPr>
            </w:pPr>
            <w:r>
              <w:rPr>
                <w:rFonts w:ascii="Times New Roman" w:hAnsi="Times New Roman"/>
                <w:b/>
                <w:bCs/>
                <w:sz w:val="18"/>
                <w:szCs w:val="18"/>
              </w:rPr>
              <w:t>Total</w:t>
            </w:r>
          </w:p>
        </w:tc>
        <w:tc>
          <w:tcPr>
            <w:tcW w:w="851"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0"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851" w:type="dxa"/>
            <w:tcBorders>
              <w:bottom w:val="single" w:color="auto" w:sz="4" w:space="0"/>
            </w:tcBorders>
            <w:vAlign w:val="center"/>
          </w:tcPr>
          <w:p>
            <w:pPr>
              <w:jc w:val="center"/>
              <w:rPr>
                <w:rFonts w:ascii="Times New Roman" w:hAnsi="Times New Roman"/>
                <w:sz w:val="18"/>
                <w:szCs w:val="18"/>
              </w:rPr>
            </w:pPr>
          </w:p>
        </w:tc>
        <w:tc>
          <w:tcPr>
            <w:tcW w:w="1134" w:type="dxa"/>
            <w:tcBorders>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.42</w:t>
            </w:r>
          </w:p>
        </w:tc>
        <w:tc>
          <w:tcPr>
            <w:tcW w:w="992" w:type="dxa"/>
            <w:tcBorders>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restart"/>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Zhang et al.2020</w:t>
            </w:r>
            <w:r>
              <w:rPr>
                <w:rFonts w:hint="eastAsia" w:ascii="Times New Roman" w:hAnsi="Times New Roman"/>
                <w:sz w:val="18"/>
                <w:szCs w:val="18"/>
              </w:rPr>
              <w:t>a</w:t>
            </w:r>
          </w:p>
          <w:p>
            <w:pPr>
              <w:jc w:val="center"/>
              <w:rPr>
                <w:rFonts w:ascii="Times New Roman" w:hAnsi="Times New Roman"/>
                <w:sz w:val="18"/>
                <w:szCs w:val="18"/>
              </w:rPr>
            </w:pPr>
            <w:r>
              <w:rPr>
                <w:rFonts w:hint="eastAsia" w:ascii="Times New Roman" w:hAnsi="Times New Roman"/>
                <w:sz w:val="18"/>
                <w:szCs w:val="18"/>
              </w:rPr>
              <w:t>(</w:t>
            </w:r>
            <w:r>
              <w:rPr>
                <w:rFonts w:ascii="Times New Roman" w:hAnsi="Times New Roman"/>
                <w:sz w:val="18"/>
                <w:szCs w:val="18"/>
              </w:rPr>
              <w:t>N=196</w:t>
            </w:r>
            <w:r>
              <w:rPr>
                <w:rFonts w:hint="eastAsia" w:ascii="Times New Roman" w:hAnsi="Times New Roman"/>
                <w:sz w:val="18"/>
                <w:szCs w:val="18"/>
              </w:rPr>
              <w:t>)</w:t>
            </w:r>
          </w:p>
        </w:tc>
        <w:tc>
          <w:tcPr>
            <w:tcW w:w="797" w:type="dxa"/>
            <w:tcBorders>
              <w:top w:val="single" w:color="auto" w:sz="4" w:space="0"/>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MeP</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100</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8.01</w:t>
            </w:r>
          </w:p>
        </w:tc>
        <w:tc>
          <w:tcPr>
            <w:tcW w:w="850"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68.3</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82</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0.33</w:t>
            </w:r>
          </w:p>
        </w:tc>
        <w:tc>
          <w:tcPr>
            <w:tcW w:w="850"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48.5</w:t>
            </w:r>
          </w:p>
        </w:tc>
        <w:tc>
          <w:tcPr>
            <w:tcW w:w="851"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EtP</w:t>
            </w:r>
          </w:p>
        </w:tc>
        <w:tc>
          <w:tcPr>
            <w:tcW w:w="851" w:type="dxa"/>
            <w:vAlign w:val="center"/>
          </w:tcPr>
          <w:p>
            <w:pPr>
              <w:jc w:val="center"/>
              <w:rPr>
                <w:rFonts w:ascii="Times New Roman" w:hAnsi="Times New Roman"/>
                <w:sz w:val="18"/>
                <w:szCs w:val="18"/>
              </w:rPr>
            </w:pPr>
            <w:r>
              <w:rPr>
                <w:rFonts w:ascii="Times New Roman" w:hAnsi="Times New Roman"/>
                <w:sz w:val="18"/>
                <w:szCs w:val="18"/>
              </w:rPr>
              <w:t>83</w:t>
            </w:r>
          </w:p>
        </w:tc>
        <w:tc>
          <w:tcPr>
            <w:tcW w:w="1134" w:type="dxa"/>
            <w:vAlign w:val="center"/>
          </w:tcPr>
          <w:p>
            <w:pPr>
              <w:jc w:val="center"/>
              <w:rPr>
                <w:rFonts w:ascii="Times New Roman" w:hAnsi="Times New Roman"/>
                <w:sz w:val="18"/>
                <w:szCs w:val="18"/>
              </w:rPr>
            </w:pPr>
            <w:r>
              <w:rPr>
                <w:rFonts w:ascii="Times New Roman" w:hAnsi="Times New Roman"/>
                <w:sz w:val="18"/>
                <w:szCs w:val="18"/>
              </w:rPr>
              <w:t>0.25</w:t>
            </w:r>
          </w:p>
        </w:tc>
        <w:tc>
          <w:tcPr>
            <w:tcW w:w="850" w:type="dxa"/>
            <w:vAlign w:val="center"/>
          </w:tcPr>
          <w:p>
            <w:pPr>
              <w:jc w:val="center"/>
              <w:rPr>
                <w:rFonts w:ascii="Times New Roman" w:hAnsi="Times New Roman"/>
                <w:sz w:val="18"/>
                <w:szCs w:val="18"/>
              </w:rPr>
            </w:pPr>
            <w:r>
              <w:rPr>
                <w:rFonts w:ascii="Times New Roman" w:hAnsi="Times New Roman"/>
                <w:sz w:val="18"/>
                <w:szCs w:val="18"/>
              </w:rPr>
              <w:t>2.1</w:t>
            </w:r>
          </w:p>
        </w:tc>
        <w:tc>
          <w:tcPr>
            <w:tcW w:w="851" w:type="dxa"/>
            <w:vAlign w:val="center"/>
          </w:tcPr>
          <w:p>
            <w:pPr>
              <w:jc w:val="center"/>
              <w:rPr>
                <w:rFonts w:ascii="Times New Roman" w:hAnsi="Times New Roman"/>
                <w:sz w:val="18"/>
                <w:szCs w:val="18"/>
              </w:rPr>
            </w:pPr>
            <w:r>
              <w:rPr>
                <w:rFonts w:ascii="Times New Roman" w:hAnsi="Times New Roman"/>
                <w:sz w:val="18"/>
                <w:szCs w:val="18"/>
              </w:rPr>
              <w:t>57</w:t>
            </w:r>
          </w:p>
        </w:tc>
        <w:tc>
          <w:tcPr>
            <w:tcW w:w="1134" w:type="dxa"/>
            <w:vAlign w:val="center"/>
          </w:tcPr>
          <w:p>
            <w:pPr>
              <w:jc w:val="center"/>
              <w:rPr>
                <w:rFonts w:ascii="Times New Roman" w:hAnsi="Times New Roman"/>
                <w:sz w:val="18"/>
                <w:szCs w:val="18"/>
              </w:rPr>
            </w:pPr>
            <w:r>
              <w:rPr>
                <w:rFonts w:ascii="Times New Roman" w:hAnsi="Times New Roman"/>
                <w:sz w:val="18"/>
                <w:szCs w:val="18"/>
              </w:rPr>
              <w:t>0.05</w:t>
            </w:r>
          </w:p>
        </w:tc>
        <w:tc>
          <w:tcPr>
            <w:tcW w:w="850" w:type="dxa"/>
            <w:vAlign w:val="center"/>
          </w:tcPr>
          <w:p>
            <w:pPr>
              <w:jc w:val="center"/>
              <w:rPr>
                <w:rFonts w:ascii="Times New Roman" w:hAnsi="Times New Roman"/>
                <w:sz w:val="18"/>
                <w:szCs w:val="18"/>
              </w:rPr>
            </w:pPr>
            <w:r>
              <w:rPr>
                <w:rFonts w:ascii="Times New Roman" w:hAnsi="Times New Roman"/>
                <w:sz w:val="18"/>
                <w:szCs w:val="18"/>
              </w:rPr>
              <w:t>7.3</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PrP</w:t>
            </w:r>
          </w:p>
        </w:tc>
        <w:tc>
          <w:tcPr>
            <w:tcW w:w="851" w:type="dxa"/>
            <w:vAlign w:val="center"/>
          </w:tcPr>
          <w:p>
            <w:pPr>
              <w:jc w:val="center"/>
              <w:rPr>
                <w:rFonts w:ascii="Times New Roman" w:hAnsi="Times New Roman"/>
                <w:sz w:val="18"/>
                <w:szCs w:val="18"/>
              </w:rPr>
            </w:pPr>
            <w:r>
              <w:rPr>
                <w:rFonts w:ascii="Times New Roman" w:hAnsi="Times New Roman"/>
                <w:sz w:val="18"/>
                <w:szCs w:val="18"/>
              </w:rPr>
              <w:t>100</w:t>
            </w:r>
          </w:p>
        </w:tc>
        <w:tc>
          <w:tcPr>
            <w:tcW w:w="1134" w:type="dxa"/>
            <w:vAlign w:val="center"/>
          </w:tcPr>
          <w:p>
            <w:pPr>
              <w:jc w:val="center"/>
              <w:rPr>
                <w:rFonts w:ascii="Times New Roman" w:hAnsi="Times New Roman"/>
                <w:sz w:val="18"/>
                <w:szCs w:val="18"/>
              </w:rPr>
            </w:pPr>
            <w:r>
              <w:rPr>
                <w:rFonts w:ascii="Times New Roman" w:hAnsi="Times New Roman"/>
                <w:sz w:val="18"/>
                <w:szCs w:val="18"/>
              </w:rPr>
              <w:t>3.22</w:t>
            </w:r>
          </w:p>
        </w:tc>
        <w:tc>
          <w:tcPr>
            <w:tcW w:w="850" w:type="dxa"/>
            <w:vAlign w:val="center"/>
          </w:tcPr>
          <w:p>
            <w:pPr>
              <w:jc w:val="center"/>
              <w:rPr>
                <w:rFonts w:ascii="Times New Roman" w:hAnsi="Times New Roman"/>
                <w:sz w:val="18"/>
                <w:szCs w:val="18"/>
              </w:rPr>
            </w:pPr>
            <w:r>
              <w:rPr>
                <w:rFonts w:ascii="Times New Roman" w:hAnsi="Times New Roman"/>
                <w:sz w:val="18"/>
                <w:szCs w:val="18"/>
              </w:rPr>
              <w:t>27.4</w:t>
            </w:r>
          </w:p>
        </w:tc>
        <w:tc>
          <w:tcPr>
            <w:tcW w:w="851" w:type="dxa"/>
            <w:vAlign w:val="center"/>
          </w:tcPr>
          <w:p>
            <w:pPr>
              <w:jc w:val="center"/>
              <w:rPr>
                <w:rFonts w:ascii="Times New Roman" w:hAnsi="Times New Roman"/>
                <w:sz w:val="18"/>
                <w:szCs w:val="18"/>
              </w:rPr>
            </w:pPr>
            <w:r>
              <w:rPr>
                <w:rFonts w:ascii="Times New Roman" w:hAnsi="Times New Roman"/>
                <w:sz w:val="18"/>
                <w:szCs w:val="18"/>
              </w:rPr>
              <w:t>77</w:t>
            </w:r>
          </w:p>
        </w:tc>
        <w:tc>
          <w:tcPr>
            <w:tcW w:w="1134" w:type="dxa"/>
            <w:vAlign w:val="center"/>
          </w:tcPr>
          <w:p>
            <w:pPr>
              <w:jc w:val="center"/>
              <w:rPr>
                <w:rFonts w:ascii="Times New Roman" w:hAnsi="Times New Roman"/>
                <w:sz w:val="18"/>
                <w:szCs w:val="18"/>
              </w:rPr>
            </w:pPr>
            <w:r>
              <w:rPr>
                <w:rFonts w:ascii="Times New Roman" w:hAnsi="Times New Roman"/>
                <w:sz w:val="18"/>
                <w:szCs w:val="18"/>
              </w:rPr>
              <w:t>0.24</w:t>
            </w:r>
          </w:p>
        </w:tc>
        <w:tc>
          <w:tcPr>
            <w:tcW w:w="850" w:type="dxa"/>
            <w:vAlign w:val="center"/>
          </w:tcPr>
          <w:p>
            <w:pPr>
              <w:jc w:val="center"/>
              <w:rPr>
                <w:rFonts w:ascii="Times New Roman" w:hAnsi="Times New Roman"/>
                <w:sz w:val="18"/>
                <w:szCs w:val="18"/>
              </w:rPr>
            </w:pPr>
            <w:r>
              <w:rPr>
                <w:rFonts w:ascii="Times New Roman" w:hAnsi="Times New Roman"/>
                <w:sz w:val="18"/>
                <w:szCs w:val="18"/>
              </w:rPr>
              <w:t>35.3</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BuP</w:t>
            </w:r>
          </w:p>
        </w:tc>
        <w:tc>
          <w:tcPr>
            <w:tcW w:w="851" w:type="dxa"/>
            <w:vAlign w:val="center"/>
          </w:tcPr>
          <w:p>
            <w:pPr>
              <w:jc w:val="center"/>
              <w:rPr>
                <w:rFonts w:ascii="Times New Roman" w:hAnsi="Times New Roman"/>
                <w:sz w:val="18"/>
                <w:szCs w:val="18"/>
              </w:rPr>
            </w:pPr>
            <w:r>
              <w:rPr>
                <w:rFonts w:ascii="Times New Roman" w:hAnsi="Times New Roman"/>
                <w:sz w:val="18"/>
                <w:szCs w:val="18"/>
              </w:rPr>
              <w:t>67</w:t>
            </w:r>
          </w:p>
        </w:tc>
        <w:tc>
          <w:tcPr>
            <w:tcW w:w="1134" w:type="dxa"/>
            <w:vAlign w:val="center"/>
          </w:tcPr>
          <w:p>
            <w:pPr>
              <w:jc w:val="center"/>
              <w:rPr>
                <w:rFonts w:ascii="Times New Roman" w:hAnsi="Times New Roman"/>
                <w:sz w:val="18"/>
                <w:szCs w:val="18"/>
              </w:rPr>
            </w:pPr>
            <w:r>
              <w:rPr>
                <w:rFonts w:ascii="Times New Roman" w:hAnsi="Times New Roman"/>
                <w:sz w:val="18"/>
                <w:szCs w:val="18"/>
              </w:rPr>
              <w:t>0.24</w:t>
            </w:r>
          </w:p>
        </w:tc>
        <w:tc>
          <w:tcPr>
            <w:tcW w:w="850" w:type="dxa"/>
            <w:vAlign w:val="center"/>
          </w:tcPr>
          <w:p>
            <w:pPr>
              <w:jc w:val="center"/>
              <w:rPr>
                <w:rFonts w:ascii="Times New Roman" w:hAnsi="Times New Roman"/>
                <w:sz w:val="18"/>
                <w:szCs w:val="18"/>
              </w:rPr>
            </w:pPr>
            <w:r>
              <w:rPr>
                <w:rFonts w:ascii="Times New Roman" w:hAnsi="Times New Roman"/>
                <w:sz w:val="18"/>
                <w:szCs w:val="18"/>
              </w:rPr>
              <w:t>2.0</w:t>
            </w:r>
          </w:p>
        </w:tc>
        <w:tc>
          <w:tcPr>
            <w:tcW w:w="851" w:type="dxa"/>
            <w:vAlign w:val="center"/>
          </w:tcPr>
          <w:p>
            <w:pPr>
              <w:jc w:val="center"/>
              <w:rPr>
                <w:rFonts w:ascii="Times New Roman" w:hAnsi="Times New Roman"/>
                <w:sz w:val="18"/>
                <w:szCs w:val="18"/>
              </w:rPr>
            </w:pPr>
            <w:r>
              <w:rPr>
                <w:rFonts w:ascii="Times New Roman" w:hAnsi="Times New Roman"/>
                <w:sz w:val="18"/>
                <w:szCs w:val="18"/>
              </w:rPr>
              <w:t>41</w:t>
            </w:r>
          </w:p>
        </w:tc>
        <w:tc>
          <w:tcPr>
            <w:tcW w:w="1134" w:type="dxa"/>
            <w:vAlign w:val="center"/>
          </w:tcPr>
          <w:p>
            <w:pPr>
              <w:jc w:val="center"/>
              <w:rPr>
                <w:rFonts w:ascii="Times New Roman" w:hAnsi="Times New Roman"/>
                <w:sz w:val="18"/>
                <w:szCs w:val="18"/>
              </w:rPr>
            </w:pPr>
            <w:r>
              <w:rPr>
                <w:rFonts w:ascii="Times New Roman" w:hAnsi="Times New Roman"/>
                <w:sz w:val="18"/>
                <w:szCs w:val="18"/>
              </w:rPr>
              <w:t>0.06</w:t>
            </w:r>
          </w:p>
        </w:tc>
        <w:tc>
          <w:tcPr>
            <w:tcW w:w="850" w:type="dxa"/>
            <w:vAlign w:val="center"/>
          </w:tcPr>
          <w:p>
            <w:pPr>
              <w:jc w:val="center"/>
              <w:rPr>
                <w:rFonts w:ascii="Times New Roman" w:hAnsi="Times New Roman"/>
                <w:sz w:val="18"/>
                <w:szCs w:val="18"/>
              </w:rPr>
            </w:pPr>
            <w:r>
              <w:rPr>
                <w:rFonts w:ascii="Times New Roman" w:hAnsi="Times New Roman"/>
                <w:sz w:val="18"/>
                <w:szCs w:val="18"/>
              </w:rPr>
              <w:t>8.8</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BzP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HeP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tcBorders>
              <w:bottom w:val="single" w:color="auto" w:sz="4" w:space="0"/>
            </w:tcBorders>
            <w:vAlign w:val="center"/>
          </w:tcPr>
          <w:p>
            <w:pPr>
              <w:jc w:val="center"/>
              <w:rPr>
                <w:rFonts w:ascii="Times New Roman" w:hAnsi="Times New Roman"/>
                <w:sz w:val="18"/>
                <w:szCs w:val="18"/>
              </w:rPr>
            </w:pPr>
          </w:p>
        </w:tc>
        <w:tc>
          <w:tcPr>
            <w:tcW w:w="797" w:type="dxa"/>
            <w:tcBorders>
              <w:bottom w:val="single" w:color="auto" w:sz="4" w:space="0"/>
            </w:tcBorders>
            <w:vAlign w:val="center"/>
          </w:tcPr>
          <w:p>
            <w:pPr>
              <w:jc w:val="center"/>
              <w:rPr>
                <w:rFonts w:ascii="Times New Roman" w:hAnsi="Times New Roman"/>
                <w:sz w:val="18"/>
                <w:szCs w:val="18"/>
              </w:rPr>
            </w:pPr>
            <w:r>
              <w:rPr>
                <w:rFonts w:ascii="Times New Roman" w:hAnsi="Times New Roman"/>
                <w:b/>
                <w:bCs/>
                <w:sz w:val="18"/>
                <w:szCs w:val="18"/>
              </w:rPr>
              <w:t>Total</w:t>
            </w:r>
          </w:p>
        </w:tc>
        <w:tc>
          <w:tcPr>
            <w:tcW w:w="851" w:type="dxa"/>
            <w:tcBorders>
              <w:bottom w:val="single" w:color="auto" w:sz="4" w:space="0"/>
            </w:tcBorders>
            <w:vAlign w:val="center"/>
          </w:tcPr>
          <w:p>
            <w:pPr>
              <w:jc w:val="center"/>
              <w:rPr>
                <w:rFonts w:ascii="Times New Roman" w:hAnsi="Times New Roman"/>
                <w:sz w:val="18"/>
                <w:szCs w:val="18"/>
              </w:rPr>
            </w:pP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11.72</w:t>
            </w:r>
          </w:p>
        </w:tc>
        <w:tc>
          <w:tcPr>
            <w:tcW w:w="850" w:type="dxa"/>
            <w:tcBorders>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tcBorders>
              <w:bottom w:val="single" w:color="auto" w:sz="4" w:space="0"/>
            </w:tcBorders>
            <w:vAlign w:val="center"/>
          </w:tcPr>
          <w:p>
            <w:pPr>
              <w:jc w:val="center"/>
              <w:rPr>
                <w:rFonts w:ascii="Times New Roman" w:hAnsi="Times New Roman"/>
                <w:sz w:val="18"/>
                <w:szCs w:val="18"/>
              </w:rPr>
            </w:pP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0.68</w:t>
            </w:r>
          </w:p>
        </w:tc>
        <w:tc>
          <w:tcPr>
            <w:tcW w:w="850" w:type="dxa"/>
            <w:tcBorders>
              <w:bottom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1134"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c>
          <w:tcPr>
            <w:tcW w:w="992" w:type="dxa"/>
            <w:tcBorders>
              <w:bottom w:val="single" w:color="auto" w:sz="4" w:space="0"/>
            </w:tcBorders>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restart"/>
            <w:tcBorders>
              <w:top w:val="single" w:color="auto" w:sz="4" w:space="0"/>
            </w:tcBorders>
            <w:vAlign w:val="center"/>
          </w:tcPr>
          <w:p>
            <w:pPr>
              <w:jc w:val="center"/>
              <w:rPr>
                <w:rFonts w:ascii="Times New Roman" w:hAnsi="Times New Roman"/>
                <w:sz w:val="18"/>
                <w:szCs w:val="18"/>
              </w:rPr>
            </w:pPr>
            <w:r>
              <w:rPr>
                <w:rFonts w:ascii="Times New Roman" w:hAnsi="Times New Roman"/>
                <w:sz w:val="18"/>
                <w:szCs w:val="18"/>
              </w:rPr>
              <w:t>Yu et al.2021</w:t>
            </w:r>
          </w:p>
          <w:p>
            <w:pPr>
              <w:jc w:val="center"/>
              <w:rPr>
                <w:rFonts w:ascii="Times New Roman" w:hAnsi="Times New Roman"/>
                <w:sz w:val="18"/>
                <w:szCs w:val="18"/>
              </w:rPr>
            </w:pPr>
            <w:r>
              <w:rPr>
                <w:rFonts w:hint="eastAsia" w:ascii="Times New Roman" w:hAnsi="Times New Roman"/>
                <w:sz w:val="18"/>
                <w:szCs w:val="18"/>
              </w:rPr>
              <w:t>(</w:t>
            </w:r>
            <w:r>
              <w:rPr>
                <w:rFonts w:ascii="Times New Roman" w:hAnsi="Times New Roman"/>
                <w:sz w:val="18"/>
                <w:szCs w:val="18"/>
              </w:rPr>
              <w:t>N=50)</w:t>
            </w:r>
          </w:p>
        </w:tc>
        <w:tc>
          <w:tcPr>
            <w:tcW w:w="797" w:type="dxa"/>
            <w:tcBorders>
              <w:top w:val="single" w:color="auto" w:sz="4" w:space="0"/>
            </w:tcBorders>
            <w:vAlign w:val="center"/>
          </w:tcPr>
          <w:p>
            <w:pPr>
              <w:jc w:val="center"/>
              <w:textAlignment w:val="top"/>
              <w:rPr>
                <w:rFonts w:ascii="Times New Roman" w:hAnsi="Times New Roman"/>
                <w:sz w:val="18"/>
                <w:szCs w:val="18"/>
              </w:rPr>
            </w:pPr>
            <w:r>
              <w:rPr>
                <w:rFonts w:ascii="Times New Roman" w:hAnsi="Times New Roman" w:eastAsia="MingLiU"/>
                <w:sz w:val="18"/>
                <w:szCs w:val="18"/>
              </w:rPr>
              <w:t>MeP</w:t>
            </w:r>
          </w:p>
        </w:tc>
        <w:tc>
          <w:tcPr>
            <w:tcW w:w="851"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8.4</w:t>
            </w:r>
          </w:p>
        </w:tc>
        <w:tc>
          <w:tcPr>
            <w:tcW w:w="850"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5</w:t>
            </w:r>
            <w:r>
              <w:rPr>
                <w:rFonts w:ascii="Times New Roman" w:hAnsi="Times New Roman"/>
                <w:sz w:val="18"/>
                <w:szCs w:val="18"/>
              </w:rPr>
              <w:t>7.6</w:t>
            </w:r>
          </w:p>
        </w:tc>
        <w:tc>
          <w:tcPr>
            <w:tcW w:w="851"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.69</w:t>
            </w:r>
          </w:p>
        </w:tc>
        <w:tc>
          <w:tcPr>
            <w:tcW w:w="850"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6</w:t>
            </w:r>
            <w:r>
              <w:rPr>
                <w:rFonts w:ascii="Times New Roman" w:hAnsi="Times New Roman"/>
                <w:sz w:val="18"/>
                <w:szCs w:val="18"/>
              </w:rPr>
              <w:t>9.8</w:t>
            </w:r>
          </w:p>
        </w:tc>
        <w:tc>
          <w:tcPr>
            <w:tcW w:w="851"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9</w:t>
            </w:r>
            <w:r>
              <w:rPr>
                <w:rFonts w:ascii="Times New Roman" w:hAnsi="Times New Roman"/>
                <w:sz w:val="18"/>
                <w:szCs w:val="18"/>
              </w:rPr>
              <w:t>4</w:t>
            </w:r>
          </w:p>
        </w:tc>
        <w:tc>
          <w:tcPr>
            <w:tcW w:w="1134"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.22</w:t>
            </w:r>
          </w:p>
        </w:tc>
        <w:tc>
          <w:tcPr>
            <w:tcW w:w="992" w:type="dxa"/>
            <w:tcBorders>
              <w:top w:val="single" w:color="auto" w:sz="4" w:space="0"/>
            </w:tcBorders>
            <w:vAlign w:val="center"/>
          </w:tcPr>
          <w:p>
            <w:pPr>
              <w:jc w:val="center"/>
              <w:rPr>
                <w:rFonts w:ascii="Times New Roman" w:hAnsi="Times New Roman"/>
                <w:sz w:val="18"/>
                <w:szCs w:val="18"/>
              </w:rPr>
            </w:pPr>
            <w:r>
              <w:rPr>
                <w:rFonts w:hint="eastAsia" w:ascii="Times New Roman" w:hAnsi="Times New Roman"/>
                <w:sz w:val="18"/>
                <w:szCs w:val="18"/>
              </w:rPr>
              <w:t>4</w:t>
            </w:r>
            <w:r>
              <w:rPr>
                <w:rFonts w:ascii="Times New Roman" w:hAnsi="Times New Roman"/>
                <w:sz w:val="18"/>
                <w:szCs w:val="18"/>
              </w:rPr>
              <w:t>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EtP</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.71</w:t>
            </w:r>
          </w:p>
        </w:tc>
        <w:tc>
          <w:tcPr>
            <w:tcW w:w="850" w:type="dxa"/>
            <w:vAlign w:val="center"/>
          </w:tcPr>
          <w:p>
            <w:pPr>
              <w:jc w:val="center"/>
              <w:rPr>
                <w:rFonts w:ascii="Times New Roman" w:hAnsi="Times New Roman"/>
                <w:sz w:val="18"/>
                <w:szCs w:val="18"/>
              </w:rPr>
            </w:pPr>
            <w:r>
              <w:rPr>
                <w:rFonts w:ascii="Times New Roman" w:hAnsi="Times New Roman"/>
                <w:sz w:val="18"/>
                <w:szCs w:val="18"/>
              </w:rPr>
              <w:t>11.6</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9</w:t>
            </w:r>
            <w:r>
              <w:rPr>
                <w:rFonts w:ascii="Times New Roman" w:hAnsi="Times New Roman"/>
                <w:sz w:val="18"/>
                <w:szCs w:val="18"/>
              </w:rPr>
              <w:t>8</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.25</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0.3</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.13</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4.5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PrP</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9</w:t>
            </w:r>
            <w:r>
              <w:rPr>
                <w:rFonts w:ascii="Times New Roman" w:hAnsi="Times New Roman"/>
                <w:sz w:val="18"/>
                <w:szCs w:val="18"/>
              </w:rPr>
              <w:t>.76</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0.6</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.32</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3.2</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.17</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2.1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textAlignment w:val="top"/>
              <w:rPr>
                <w:rFonts w:ascii="Times New Roman" w:hAnsi="Times New Roman"/>
                <w:sz w:val="18"/>
                <w:szCs w:val="18"/>
              </w:rPr>
            </w:pPr>
            <w:r>
              <w:rPr>
                <w:rFonts w:ascii="Times New Roman" w:hAnsi="Times New Roman" w:eastAsia="MingLiU"/>
                <w:sz w:val="18"/>
                <w:szCs w:val="18"/>
              </w:rPr>
              <w:t>BuP</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4</w:t>
            </w:r>
            <w:r>
              <w:rPr>
                <w:rFonts w:ascii="Times New Roman" w:hAnsi="Times New Roman"/>
                <w:sz w:val="18"/>
                <w:szCs w:val="18"/>
              </w:rPr>
              <w:t>2</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.05</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.1</w:t>
            </w:r>
          </w:p>
        </w:tc>
        <w:tc>
          <w:tcPr>
            <w:tcW w:w="851" w:type="dxa"/>
            <w:vAlign w:val="center"/>
          </w:tcPr>
          <w:p>
            <w:pPr>
              <w:jc w:val="center"/>
              <w:rPr>
                <w:rFonts w:ascii="Times New Roman" w:hAnsi="Times New Roman"/>
                <w:sz w:val="18"/>
                <w:szCs w:val="18"/>
              </w:rPr>
            </w:pPr>
            <w:r>
              <w:rPr>
                <w:rFonts w:hint="eastAsia" w:ascii="Times New Roman" w:hAnsi="Times New Roman"/>
                <w:sz w:val="18"/>
                <w:szCs w:val="18"/>
              </w:rPr>
              <w:t>5</w:t>
            </w:r>
            <w:r>
              <w:rPr>
                <w:rFonts w:ascii="Times New Roman" w:hAnsi="Times New Roman"/>
                <w:sz w:val="18"/>
                <w:szCs w:val="18"/>
              </w:rPr>
              <w:t>6</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.16</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6</w:t>
            </w:r>
            <w:r>
              <w:rPr>
                <w:rFonts w:ascii="Times New Roman" w:hAnsi="Times New Roman"/>
                <w:sz w:val="18"/>
                <w:szCs w:val="18"/>
              </w:rPr>
              <w:t>.6</w:t>
            </w:r>
          </w:p>
        </w:tc>
        <w:tc>
          <w:tcPr>
            <w:tcW w:w="851" w:type="dxa"/>
            <w:vAlign w:val="center"/>
          </w:tcPr>
          <w:p>
            <w:pPr>
              <w:jc w:val="center"/>
              <w:rPr>
                <w:rFonts w:ascii="Times New Roman" w:hAnsi="Times New Roman"/>
                <w:sz w:val="18"/>
                <w:szCs w:val="18"/>
              </w:rPr>
            </w:pPr>
            <w:r>
              <w:rPr>
                <w:rFonts w:ascii="Times New Roman" w:hAnsi="Times New Roman"/>
                <w:sz w:val="18"/>
                <w:szCs w:val="18"/>
              </w:rPr>
              <w:t>14</w:t>
            </w: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.01</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BzP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sz w:val="18"/>
                <w:szCs w:val="18"/>
              </w:rPr>
              <w:t>HeP</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850" w:type="dxa"/>
            <w:vAlign w:val="center"/>
          </w:tcPr>
          <w:p>
            <w:pPr>
              <w:jc w:val="center"/>
              <w:rPr>
                <w:rFonts w:ascii="Times New Roman" w:hAnsi="Times New Roman"/>
                <w:sz w:val="18"/>
                <w:szCs w:val="18"/>
              </w:rPr>
            </w:pPr>
            <w:r>
              <w:rPr>
                <w:rFonts w:ascii="Times New Roman" w:hAnsi="Times New Roman"/>
                <w:sz w:val="18"/>
                <w:szCs w:val="18"/>
              </w:rPr>
              <w:t>/</w:t>
            </w:r>
          </w:p>
        </w:tc>
        <w:tc>
          <w:tcPr>
            <w:tcW w:w="851" w:type="dxa"/>
            <w:vAlign w:val="center"/>
          </w:tcPr>
          <w:p>
            <w:pPr>
              <w:jc w:val="center"/>
              <w:rPr>
                <w:rFonts w:ascii="Times New Roman" w:hAnsi="Times New Roman"/>
                <w:sz w:val="18"/>
                <w:szCs w:val="18"/>
              </w:rPr>
            </w:pPr>
            <w:r>
              <w:rPr>
                <w:rFonts w:ascii="Times New Roman" w:hAnsi="Times New Roman"/>
                <w:sz w:val="18"/>
                <w:szCs w:val="18"/>
              </w:rPr>
              <w:t>/</w:t>
            </w:r>
          </w:p>
        </w:tc>
        <w:tc>
          <w:tcPr>
            <w:tcW w:w="1134" w:type="dxa"/>
            <w:vAlign w:val="center"/>
          </w:tcPr>
          <w:p>
            <w:pPr>
              <w:jc w:val="center"/>
              <w:rPr>
                <w:rFonts w:ascii="Times New Roman" w:hAnsi="Times New Roman"/>
                <w:sz w:val="18"/>
                <w:szCs w:val="18"/>
              </w:rPr>
            </w:pPr>
            <w:r>
              <w:rPr>
                <w:rFonts w:ascii="Times New Roman" w:hAnsi="Times New Roman"/>
                <w:sz w:val="18"/>
                <w:szCs w:val="18"/>
              </w:rPr>
              <w:t>/</w:t>
            </w:r>
          </w:p>
        </w:tc>
        <w:tc>
          <w:tcPr>
            <w:tcW w:w="992" w:type="dxa"/>
            <w:vAlign w:val="center"/>
          </w:tcPr>
          <w:p>
            <w:pPr>
              <w:jc w:val="center"/>
              <w:rPr>
                <w:rFonts w:ascii="Times New Roman" w:hAnsi="Times New Roman"/>
                <w:sz w:val="18"/>
                <w:szCs w:val="18"/>
              </w:rPr>
            </w:pPr>
            <w:r>
              <w:rPr>
                <w:rFonts w:ascii="Times New Roman" w:hAnsi="Times New Roman"/>
                <w:sz w:val="18"/>
                <w:szCs w:val="18"/>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4" w:hRule="exact"/>
          <w:jc w:val="center"/>
        </w:trPr>
        <w:tc>
          <w:tcPr>
            <w:tcW w:w="1150" w:type="dxa"/>
            <w:vMerge w:val="continue"/>
            <w:vAlign w:val="center"/>
          </w:tcPr>
          <w:p>
            <w:pPr>
              <w:jc w:val="center"/>
              <w:rPr>
                <w:rFonts w:ascii="Times New Roman" w:hAnsi="Times New Roman"/>
                <w:sz w:val="18"/>
                <w:szCs w:val="18"/>
              </w:rPr>
            </w:pPr>
          </w:p>
        </w:tc>
        <w:tc>
          <w:tcPr>
            <w:tcW w:w="797" w:type="dxa"/>
            <w:vAlign w:val="center"/>
          </w:tcPr>
          <w:p>
            <w:pPr>
              <w:jc w:val="center"/>
              <w:rPr>
                <w:rFonts w:ascii="Times New Roman" w:hAnsi="Times New Roman"/>
                <w:sz w:val="18"/>
                <w:szCs w:val="18"/>
              </w:rPr>
            </w:pPr>
            <w:r>
              <w:rPr>
                <w:rFonts w:ascii="Times New Roman" w:hAnsi="Times New Roman"/>
                <w:b/>
                <w:bCs/>
                <w:sz w:val="18"/>
                <w:szCs w:val="18"/>
              </w:rPr>
              <w:t>Total</w:t>
            </w:r>
          </w:p>
        </w:tc>
        <w:tc>
          <w:tcPr>
            <w:tcW w:w="851" w:type="dxa"/>
            <w:vAlign w:val="center"/>
          </w:tcPr>
          <w:p>
            <w:pPr>
              <w:jc w:val="center"/>
              <w:rPr>
                <w:rFonts w:ascii="Times New Roman" w:hAnsi="Times New Roman"/>
                <w:sz w:val="18"/>
                <w:szCs w:val="18"/>
              </w:rPr>
            </w:pP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1.92</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vAlign w:val="center"/>
          </w:tcPr>
          <w:p>
            <w:pPr>
              <w:jc w:val="center"/>
              <w:rPr>
                <w:rFonts w:ascii="Times New Roman" w:hAnsi="Times New Roman"/>
                <w:sz w:val="18"/>
                <w:szCs w:val="18"/>
              </w:rPr>
            </w:pP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.42</w:t>
            </w:r>
          </w:p>
        </w:tc>
        <w:tc>
          <w:tcPr>
            <w:tcW w:w="850"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c>
          <w:tcPr>
            <w:tcW w:w="851" w:type="dxa"/>
            <w:vAlign w:val="center"/>
          </w:tcPr>
          <w:p>
            <w:pPr>
              <w:jc w:val="center"/>
              <w:rPr>
                <w:rFonts w:ascii="Times New Roman" w:hAnsi="Times New Roman"/>
                <w:sz w:val="18"/>
                <w:szCs w:val="18"/>
              </w:rPr>
            </w:pPr>
          </w:p>
        </w:tc>
        <w:tc>
          <w:tcPr>
            <w:tcW w:w="1134" w:type="dxa"/>
            <w:vAlign w:val="center"/>
          </w:tcPr>
          <w:p>
            <w:pPr>
              <w:jc w:val="center"/>
              <w:rPr>
                <w:rFonts w:ascii="Times New Roman" w:hAnsi="Times New Roman"/>
                <w:sz w:val="18"/>
                <w:szCs w:val="18"/>
              </w:rPr>
            </w:pPr>
            <w:r>
              <w:rPr>
                <w:rFonts w:hint="eastAsia" w:ascii="Times New Roman" w:hAnsi="Times New Roman"/>
                <w:sz w:val="18"/>
                <w:szCs w:val="18"/>
              </w:rPr>
              <w:t>0</w:t>
            </w:r>
            <w:r>
              <w:rPr>
                <w:rFonts w:ascii="Times New Roman" w:hAnsi="Times New Roman"/>
                <w:sz w:val="18"/>
                <w:szCs w:val="18"/>
              </w:rPr>
              <w:t>.53</w:t>
            </w:r>
          </w:p>
        </w:tc>
        <w:tc>
          <w:tcPr>
            <w:tcW w:w="992" w:type="dxa"/>
            <w:vAlign w:val="center"/>
          </w:tcPr>
          <w:p>
            <w:pPr>
              <w:jc w:val="center"/>
              <w:rPr>
                <w:rFonts w:ascii="Times New Roman" w:hAnsi="Times New Roman"/>
                <w:sz w:val="18"/>
                <w:szCs w:val="18"/>
              </w:rPr>
            </w:pPr>
            <w:r>
              <w:rPr>
                <w:rFonts w:hint="eastAsia" w:ascii="Times New Roman" w:hAnsi="Times New Roman"/>
                <w:sz w:val="18"/>
                <w:szCs w:val="18"/>
              </w:rPr>
              <w:t>1</w:t>
            </w:r>
            <w:r>
              <w:rPr>
                <w:rFonts w:ascii="Times New Roman" w:hAnsi="Times New Roman"/>
                <w:sz w:val="18"/>
                <w:szCs w:val="18"/>
              </w:rPr>
              <w:t>00</w:t>
            </w:r>
          </w:p>
        </w:tc>
      </w:tr>
    </w:tbl>
    <w:p>
      <w:pPr>
        <w:jc w:val="left"/>
        <w:rPr>
          <w:rFonts w:ascii="Times New Roman" w:hAnsi="Times New Roman"/>
          <w:sz w:val="20"/>
          <w:szCs w:val="20"/>
        </w:rPr>
      </w:pPr>
      <w:r>
        <w:rPr>
          <w:rFonts w:ascii="Times New Roman" w:hAnsi="Times New Roman"/>
          <w:sz w:val="20"/>
          <w:szCs w:val="20"/>
        </w:rPr>
        <w:t>Note: GM, geometric mean; LOD, limit of detection; DR, detection rate;</w:t>
      </w:r>
      <w:r>
        <w:rPr>
          <w:rFonts w:hint="eastAsia" w:ascii="Times New Roman" w:hAnsi="Times New Roman"/>
          <w:sz w:val="20"/>
          <w:szCs w:val="20"/>
        </w:rPr>
        <w:t xml:space="preserve"> </w:t>
      </w:r>
      <w:r>
        <w:rPr>
          <w:rFonts w:ascii="Times New Roman" w:hAnsi="Times New Roman"/>
          <w:sz w:val="20"/>
          <w:szCs w:val="20"/>
        </w:rPr>
        <w:t>/, no detect; *, can't calculate</w:t>
      </w:r>
    </w:p>
    <w:p>
      <w:pPr>
        <w:jc w:val="left"/>
        <w:rPr>
          <w:rFonts w:ascii="Times New Roman" w:hAnsi="Times New Roman"/>
          <w:sz w:val="20"/>
          <w:szCs w:val="20"/>
        </w:rPr>
        <w:sectPr>
          <w:footerReference r:id="rId3" w:type="default"/>
          <w:pgSz w:w="11906" w:h="16838"/>
          <w:pgMar w:top="1440" w:right="1800" w:bottom="1440" w:left="1800" w:header="851" w:footer="992" w:gutter="0"/>
          <w:cols w:space="425" w:num="1"/>
          <w:docGrid w:linePitch="312" w:charSpace="0"/>
        </w:sectPr>
      </w:pPr>
    </w:p>
    <w:p>
      <w:pPr>
        <w:spacing w:line="360" w:lineRule="auto"/>
        <w:rPr>
          <w:rFonts w:ascii="Times New Roman" w:hAnsi="Times New Roman"/>
          <w:b/>
          <w:sz w:val="22"/>
        </w:rPr>
      </w:pPr>
      <w:r>
        <w:rPr>
          <w:rFonts w:ascii="Times New Roman" w:hAnsi="Times New Roman"/>
          <w:b/>
          <w:sz w:val="22"/>
        </w:rPr>
        <w:t>References</w:t>
      </w:r>
      <w:r>
        <w:rPr>
          <w:rFonts w:hint="eastAsia" w:ascii="Times New Roman" w:hAnsi="Times New Roman"/>
          <w:b/>
          <w:sz w:val="22"/>
        </w:rPr>
        <w:t xml:space="preserve"> in Table S2</w:t>
      </w:r>
      <w:r>
        <w:rPr>
          <w:rFonts w:ascii="Times New Roman" w:hAnsi="Times New Roman"/>
          <w:b/>
          <w:sz w:val="22"/>
        </w:rPr>
        <w:t>:</w:t>
      </w:r>
    </w:p>
    <w:p>
      <w:pPr>
        <w:autoSpaceDE w:val="0"/>
        <w:autoSpaceDN w:val="0"/>
        <w:adjustRightInd w:val="0"/>
        <w:spacing w:line="360" w:lineRule="auto"/>
        <w:ind w:left="330" w:hanging="329" w:hangingChars="157"/>
        <w:rPr>
          <w:rFonts w:ascii="Times New Roman" w:hAnsi="Times New Roman" w:cs="Times New Roman"/>
          <w:kern w:val="0"/>
          <w:szCs w:val="21"/>
        </w:rPr>
      </w:pPr>
      <w:r>
        <w:rPr>
          <w:rFonts w:ascii="Times New Roman" w:hAnsi="Times New Roman" w:cs="Times New Roman"/>
          <w:kern w:val="0"/>
          <w:szCs w:val="21"/>
        </w:rPr>
        <w:t>Buck Louis GM, Smarr MM, Sun L, Chen Z, Honda M, Wang W, Karthikraj R, Weck J, Kannan K. Endocrine disrupting chemicals in seminal plasma and couple fecundity. Environ Res. 2018 May;163:64-70. doi: 10.1016/j.envres.2018.01.028. Epub 2018 Feb 22. PMID: 29426029; PMCID: PMC5878734.</w:t>
      </w:r>
    </w:p>
    <w:p>
      <w:pPr>
        <w:autoSpaceDE w:val="0"/>
        <w:autoSpaceDN w:val="0"/>
        <w:adjustRightInd w:val="0"/>
        <w:spacing w:line="360" w:lineRule="auto"/>
        <w:ind w:left="330" w:hanging="329" w:hangingChars="157"/>
        <w:rPr>
          <w:rFonts w:ascii="Times New Roman" w:hAnsi="Times New Roman" w:cs="Times New Roman"/>
          <w:kern w:val="0"/>
          <w:szCs w:val="21"/>
        </w:rPr>
      </w:pPr>
      <w:r>
        <w:rPr>
          <w:rFonts w:ascii="Times New Roman" w:hAnsi="Times New Roman" w:cs="Times New Roman"/>
          <w:kern w:val="0"/>
          <w:szCs w:val="21"/>
        </w:rPr>
        <w:t>Frederiksen H, Jørgensen N, Andersson AM. Parabens in urine, serum and seminal plasma from healthy Danish men determined by liquid chromatography-tandem mass spectrometry (LC-MS/MS). J Expo Sci Environ Epidemiol. 2011;21(3):262-271. doi:10.1038/jes.2010.6</w:t>
      </w:r>
    </w:p>
    <w:p>
      <w:pPr>
        <w:autoSpaceDE w:val="0"/>
        <w:autoSpaceDN w:val="0"/>
        <w:adjustRightInd w:val="0"/>
        <w:spacing w:line="360" w:lineRule="auto"/>
        <w:ind w:left="330" w:hanging="329" w:hangingChars="157"/>
        <w:rPr>
          <w:rFonts w:ascii="Times New Roman" w:hAnsi="Times New Roman" w:cs="Times New Roman"/>
          <w:kern w:val="0"/>
          <w:szCs w:val="21"/>
        </w:rPr>
      </w:pPr>
      <w:r>
        <w:rPr>
          <w:rFonts w:ascii="Times New Roman" w:hAnsi="Times New Roman" w:cs="Times New Roman"/>
          <w:kern w:val="0"/>
          <w:szCs w:val="21"/>
        </w:rPr>
        <w:t>Smarr MM, Kannan K, Sun L, Honda M, Wang W, Karthikraj R, Chen Z, Weck J, Buck Louis GM. Preconception seminal plasma concentrations of endocrine disrupting chemicals in relation to semen quality parameters among male partners planning for pregnancy. Environ Res. 2018b Nov;167:78-86. doi: 10.1016/j.envres.2018.07.004. Epub 2018 Jul 4. PMID: 30014899.</w:t>
      </w:r>
    </w:p>
    <w:p>
      <w:pPr>
        <w:autoSpaceDE w:val="0"/>
        <w:autoSpaceDN w:val="0"/>
        <w:adjustRightInd w:val="0"/>
        <w:spacing w:line="360" w:lineRule="auto"/>
        <w:ind w:left="330" w:hanging="329" w:hangingChars="157"/>
        <w:rPr>
          <w:rFonts w:ascii="Times New Roman" w:hAnsi="Times New Roman" w:cs="Times New Roman"/>
          <w:kern w:val="0"/>
          <w:szCs w:val="21"/>
        </w:rPr>
      </w:pPr>
      <w:r>
        <w:rPr>
          <w:rFonts w:ascii="Times New Roman" w:hAnsi="Times New Roman" w:cs="Times New Roman"/>
          <w:kern w:val="0"/>
          <w:szCs w:val="21"/>
        </w:rPr>
        <w:t>Smarr MM, Sundaram R, Honda M, Kannan K, Buck Louis GM. Urinary Concentrations of Parabens and Other Antimicrobial Chemicals and Their Association with Couples' Fecundity. Environ Health Perspect. 2017 Apr;125(4):730-736. doi: 10.1289/EHP189.</w:t>
      </w:r>
    </w:p>
    <w:p>
      <w:pPr>
        <w:autoSpaceDE w:val="0"/>
        <w:autoSpaceDN w:val="0"/>
        <w:adjustRightInd w:val="0"/>
        <w:spacing w:line="360" w:lineRule="auto"/>
        <w:ind w:left="330" w:hanging="329" w:hangingChars="157"/>
        <w:rPr>
          <w:rFonts w:ascii="Times New Roman" w:hAnsi="Times New Roman" w:cs="Times New Roman"/>
          <w:kern w:val="0"/>
          <w:szCs w:val="21"/>
        </w:rPr>
      </w:pPr>
      <w:r>
        <w:rPr>
          <w:rFonts w:ascii="Times New Roman" w:hAnsi="Times New Roman" w:cs="Times New Roman"/>
          <w:kern w:val="0"/>
          <w:szCs w:val="21"/>
        </w:rPr>
        <w:t>Yu L, Peng F, Yuan D, Zhang L, Guo Y, Chang B, Shi X, Ding C, Liang X. Correlation study of parabens in urine, serum, and seminal plasma of adult men in Beijing, China. Environ Sci Pollut Res Int. 2021 Aug;28(30):41120-41126. doi: 10.1007/s11356-021-13625-y. Epub 2021 Mar 28. PMID: 33774781.</w:t>
      </w:r>
    </w:p>
    <w:p>
      <w:pPr>
        <w:autoSpaceDE w:val="0"/>
        <w:autoSpaceDN w:val="0"/>
        <w:adjustRightInd w:val="0"/>
        <w:spacing w:line="360" w:lineRule="auto"/>
        <w:ind w:left="330" w:hanging="329" w:hangingChars="157"/>
        <w:rPr>
          <w:rFonts w:ascii="Times New Roman" w:hAnsi="Times New Roman" w:cs="Times New Roman"/>
          <w:kern w:val="0"/>
          <w:szCs w:val="21"/>
        </w:rPr>
      </w:pPr>
      <w:r>
        <w:rPr>
          <w:rFonts w:ascii="Times New Roman" w:hAnsi="Times New Roman" w:cs="Times New Roman"/>
          <w:kern w:val="0"/>
          <w:szCs w:val="21"/>
        </w:rPr>
        <w:t>Zhang H, Quan Q, Li X, Sun W, Zhu K, Wang X, Sun X, Zhan M, Xu W, Lu L, Fan J, Gao Y. Occurrence of parabens and their metabolites in the paired urine and blood samples from Chinese university students: Implications on human exposure. Environ Res. 2020a Apr;183:109288. doi: 10.1016/j.envres.2020.109288. Epub 2020 Feb 22. PMID: 32311914.</w:t>
      </w:r>
    </w:p>
    <w:p>
      <w:pPr>
        <w:autoSpaceDE w:val="0"/>
        <w:autoSpaceDN w:val="0"/>
        <w:adjustRightInd w:val="0"/>
        <w:spacing w:line="360" w:lineRule="auto"/>
        <w:ind w:left="314" w:hanging="314" w:hangingChars="157"/>
        <w:rPr>
          <w:rFonts w:ascii="Times New Roman" w:hAnsi="Times New Roman" w:cs="Times New Roman"/>
          <w:kern w:val="0"/>
          <w:sz w:val="20"/>
          <w:szCs w:val="20"/>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ascii="TimesNewRomanPSMT" w:hAnsi="TimesNewRomanPSMT"/>
          <w:sz w:val="22"/>
        </w:rPr>
      </w:pPr>
    </w:p>
    <w:p>
      <w:pPr>
        <w:jc w:val="left"/>
        <w:rPr>
          <w:rFonts w:hint="eastAsia" w:ascii="TimesNewRomanPSMT" w:hAnsi="TimesNewRomanPSMT"/>
          <w:sz w:val="22"/>
        </w:rPr>
      </w:pPr>
    </w:p>
    <w:p>
      <w:pPr>
        <w:spacing w:line="360" w:lineRule="auto"/>
        <w:rPr>
          <w:rFonts w:ascii="TimesNewRomanPSMT" w:hAnsi="TimesNewRomanPSMT"/>
          <w:sz w:val="22"/>
        </w:rPr>
      </w:pPr>
      <w:r>
        <w:rPr>
          <w:rFonts w:ascii="TimesNewRomanPSMT" w:hAnsi="TimesNewRomanPSMT"/>
          <w:sz w:val="22"/>
        </w:rPr>
        <w:t xml:space="preserve">The following is the </w:t>
      </w:r>
      <w:r>
        <w:rPr>
          <w:rFonts w:hint="eastAsia" w:ascii="TimesNewRomanPSMT" w:hAnsi="TimesNewRomanPSMT"/>
          <w:sz w:val="22"/>
        </w:rPr>
        <w:t>suppo</w:t>
      </w:r>
      <w:r>
        <w:rPr>
          <w:rFonts w:ascii="TimesNewRomanPSMT" w:hAnsi="TimesNewRomanPSMT"/>
          <w:sz w:val="22"/>
        </w:rPr>
        <w:t>r</w:t>
      </w:r>
      <w:r>
        <w:rPr>
          <w:rFonts w:hint="eastAsia" w:ascii="TimesNewRomanPSMT" w:hAnsi="TimesNewRomanPSMT"/>
          <w:sz w:val="22"/>
        </w:rPr>
        <w:t xml:space="preserve">ting results </w:t>
      </w:r>
      <w:r>
        <w:rPr>
          <w:rFonts w:ascii="TimesNewRomanPSMT" w:hAnsi="TimesNewRomanPSMT"/>
          <w:sz w:val="22"/>
        </w:rPr>
        <w:t xml:space="preserve">of </w:t>
      </w:r>
      <w:r>
        <w:rPr>
          <w:rFonts w:hint="eastAsia" w:ascii="TimesNewRomanPSMT" w:hAnsi="TimesNewRomanPSMT"/>
          <w:sz w:val="22"/>
        </w:rPr>
        <w:t xml:space="preserve">our previous animal experiment </w:t>
      </w:r>
      <w:r>
        <w:rPr>
          <w:rFonts w:ascii="TimesNewRomanPSMT" w:hAnsi="TimesNewRomanPSMT"/>
          <w:sz w:val="22"/>
        </w:rPr>
        <w:t xml:space="preserve">“Study on the effect of butylparaben on gut microbiota and liver glycometabolism of male rats”. </w:t>
      </w:r>
      <w:r>
        <w:rPr>
          <w:rFonts w:hint="eastAsia" w:ascii="TimesNewRomanPSMT" w:hAnsi="TimesNewRomanPSMT"/>
          <w:sz w:val="22"/>
        </w:rPr>
        <w:t>(unpublished)</w:t>
      </w:r>
    </w:p>
    <w:p>
      <w:pPr>
        <w:spacing w:line="360" w:lineRule="auto"/>
        <w:jc w:val="left"/>
        <w:rPr>
          <w:rFonts w:ascii="TimesNewRomanPSMT" w:hAnsi="TimesNewRomanPSMT"/>
          <w:sz w:val="22"/>
        </w:rPr>
      </w:pPr>
    </w:p>
    <w:p>
      <w:pPr>
        <w:spacing w:line="360" w:lineRule="auto"/>
        <w:rPr>
          <w:rFonts w:ascii="TimesNewRomanPSMT" w:hAnsi="TimesNewRomanPSMT"/>
          <w:b/>
          <w:bCs/>
          <w:sz w:val="22"/>
        </w:rPr>
      </w:pPr>
      <w:r>
        <w:rPr>
          <w:rFonts w:hint="eastAsia" w:ascii="TimesNewRomanPSMT" w:hAnsi="TimesNewRomanPSMT"/>
          <w:b/>
          <w:bCs/>
          <w:sz w:val="22"/>
        </w:rPr>
        <w:t>Methods:</w:t>
      </w:r>
    </w:p>
    <w:p>
      <w:pPr>
        <w:spacing w:line="360" w:lineRule="auto"/>
        <w:rPr>
          <w:rFonts w:ascii="TimesNewRomanPSMT" w:hAnsi="TimesNewRomanPSMT"/>
          <w:sz w:val="22"/>
        </w:rPr>
      </w:pPr>
      <w:r>
        <w:rPr>
          <w:rFonts w:ascii="TimesNewRomanPSMT" w:hAnsi="TimesNewRomanPSMT"/>
          <w:sz w:val="22"/>
        </w:rPr>
        <w:t xml:space="preserve">In the animal experiment, Butyl-paraben (BuP) was administered into male </w:t>
      </w:r>
      <w:r>
        <w:rPr>
          <w:rFonts w:ascii="TimesNewRomanPSMT" w:hAnsi="TimesNewRomanPSMT"/>
          <w:i/>
          <w:iCs/>
          <w:sz w:val="22"/>
        </w:rPr>
        <w:t>Wistar</w:t>
      </w:r>
      <w:r>
        <w:rPr>
          <w:rFonts w:ascii="TimesNewRomanPSMT" w:hAnsi="TimesNewRomanPSMT"/>
          <w:sz w:val="22"/>
        </w:rPr>
        <w:t xml:space="preserve"> rats by oral gavage to investigate the effect of BuP on gut microbiota of rats.</w:t>
      </w:r>
    </w:p>
    <w:p>
      <w:pPr>
        <w:numPr>
          <w:ilvl w:val="0"/>
          <w:numId w:val="1"/>
        </w:numPr>
        <w:spacing w:line="360" w:lineRule="auto"/>
        <w:rPr>
          <w:rFonts w:ascii="TimesNewRomanPSMT" w:hAnsi="TimesNewRomanPSMT"/>
          <w:sz w:val="22"/>
        </w:rPr>
      </w:pPr>
      <w:r>
        <w:rPr>
          <w:rFonts w:ascii="TimesNewRomanPSMT" w:hAnsi="TimesNewRomanPSMT"/>
          <w:sz w:val="22"/>
        </w:rPr>
        <w:t>Experiment animals and treatment</w:t>
      </w:r>
    </w:p>
    <w:p>
      <w:pPr>
        <w:spacing w:line="360" w:lineRule="auto"/>
        <w:rPr>
          <w:rFonts w:ascii="Times New Roman" w:hAnsi="Times New Roman" w:cs="Times New Roman"/>
          <w:sz w:val="24"/>
        </w:rPr>
      </w:pPr>
      <w:r>
        <w:rPr>
          <w:rFonts w:ascii="TimesNewRomanPSMT" w:hAnsi="TimesNewRomanPSMT"/>
          <w:sz w:val="22"/>
        </w:rPr>
        <w:t>Thirty-two</w:t>
      </w:r>
      <w:r>
        <w:rPr>
          <w:rFonts w:hint="eastAsia" w:ascii="TimesNewRomanPSMT" w:hAnsi="TimesNewRomanPSMT"/>
          <w:sz w:val="22"/>
        </w:rPr>
        <w:t xml:space="preserve"> male </w:t>
      </w:r>
      <w:r>
        <w:rPr>
          <w:rFonts w:ascii="TimesNewRomanPSMT" w:hAnsi="TimesNewRomanPSMT"/>
          <w:i/>
          <w:iCs/>
          <w:sz w:val="22"/>
        </w:rPr>
        <w:t>Wistar</w:t>
      </w:r>
      <w:r>
        <w:rPr>
          <w:rFonts w:hint="eastAsia" w:ascii="TimesNewRomanPSMT" w:hAnsi="TimesNewRomanPSMT"/>
          <w:sz w:val="22"/>
        </w:rPr>
        <w:t xml:space="preserve"> rats on postnatal day 21</w:t>
      </w:r>
      <w:r>
        <w:rPr>
          <w:rFonts w:ascii="TimesNewRomanPSMT" w:hAnsi="TimesNewRomanPSMT"/>
          <w:sz w:val="22"/>
        </w:rPr>
        <w:t xml:space="preserve">(PND21) were housed in SPF lab. The rats were randomly divided into four groups: </w:t>
      </w:r>
      <w:r>
        <w:rPr>
          <w:rFonts w:hint="eastAsia" w:ascii="TimesNewRomanPSMT" w:hAnsi="TimesNewRomanPSMT"/>
          <w:sz w:val="22"/>
        </w:rPr>
        <w:t>A</w:t>
      </w:r>
      <w:r>
        <w:rPr>
          <w:rFonts w:ascii="TimesNewRomanPSMT" w:hAnsi="TimesNewRomanPSMT"/>
          <w:sz w:val="22"/>
        </w:rPr>
        <w:t>: blank control group;</w:t>
      </w:r>
      <w:r>
        <w:rPr>
          <w:rFonts w:hint="eastAsia" w:ascii="TimesNewRomanPSMT" w:hAnsi="TimesNewRomanPSMT"/>
          <w:sz w:val="22"/>
        </w:rPr>
        <w:t xml:space="preserve"> </w:t>
      </w:r>
      <w:r>
        <w:rPr>
          <w:rFonts w:ascii="TimesNewRomanPSMT" w:hAnsi="TimesNewRomanPSMT"/>
          <w:sz w:val="22"/>
        </w:rPr>
        <w:t xml:space="preserve">B: solvent control group; C: </w:t>
      </w:r>
      <w:r>
        <w:rPr>
          <w:rFonts w:hint="eastAsia" w:ascii="TimesNewRomanPSMT" w:hAnsi="TimesNewRomanPSMT"/>
          <w:sz w:val="22"/>
        </w:rPr>
        <w:t>BuP 160</w:t>
      </w:r>
      <w:r>
        <w:rPr>
          <w:rFonts w:hint="eastAsia" w:ascii="TimesNewRomanPSMT" w:hAnsi="TimesNewRomanPSMT"/>
          <w:i/>
          <w:iCs/>
          <w:sz w:val="22"/>
        </w:rPr>
        <w:t>mg/kg bw</w:t>
      </w:r>
      <w:r>
        <w:rPr>
          <w:rFonts w:ascii="TimesNewRomanPSMT" w:hAnsi="TimesNewRomanPSMT"/>
          <w:sz w:val="22"/>
        </w:rPr>
        <w:t xml:space="preserve"> group; D: BuP 160</w:t>
      </w:r>
      <w:r>
        <w:rPr>
          <w:rFonts w:hint="eastAsia" w:ascii="TimesNewRomanPSMT" w:hAnsi="TimesNewRomanPSMT"/>
          <w:i/>
          <w:iCs/>
          <w:sz w:val="22"/>
        </w:rPr>
        <w:t>mg/kg bw</w:t>
      </w:r>
      <w:r>
        <w:rPr>
          <w:rFonts w:ascii="TimesNewRomanPSMT" w:hAnsi="TimesNewRomanPSMT"/>
          <w:sz w:val="22"/>
        </w:rPr>
        <w:t xml:space="preserve">+high-fat diet group. The exposured period were 8 weeks by gavaging. </w:t>
      </w:r>
      <w:r>
        <w:rPr>
          <w:rFonts w:hint="eastAsia" w:ascii="TimesNewRomanPSMT" w:hAnsi="TimesNewRomanPSMT"/>
          <w:sz w:val="22"/>
        </w:rPr>
        <w:t xml:space="preserve">At the end of the 8-week exposure period, the feces </w:t>
      </w:r>
      <w:r>
        <w:rPr>
          <w:rFonts w:ascii="TimesNewRomanPSMT" w:hAnsi="TimesNewRomanPSMT"/>
          <w:sz w:val="22"/>
        </w:rPr>
        <w:t>specimen</w:t>
      </w:r>
      <w:r>
        <w:rPr>
          <w:rFonts w:hint="eastAsia" w:ascii="TimesNewRomanPSMT" w:hAnsi="TimesNewRomanPSMT"/>
          <w:sz w:val="22"/>
        </w:rPr>
        <w:t xml:space="preserve"> were collected by compression method, sealed in sterile cryopreservation tubes and stored in -80℃. After anesthesia, blood was collected from aortaventralis, and serum was separated and frozen at -80℃. After dissection, ileum was removed and made into pathological sections.</w:t>
      </w:r>
    </w:p>
    <w:p>
      <w:pPr>
        <w:pStyle w:val="8"/>
        <w:numPr>
          <w:ilvl w:val="0"/>
          <w:numId w:val="1"/>
        </w:numPr>
        <w:spacing w:line="360" w:lineRule="auto"/>
        <w:ind w:firstLine="0" w:firstLineChars="0"/>
        <w:rPr>
          <w:rFonts w:ascii="TimesNewRomanPSMT" w:hAnsi="TimesNewRomanPSMT"/>
          <w:sz w:val="22"/>
        </w:rPr>
      </w:pPr>
      <w:r>
        <w:rPr>
          <w:rFonts w:ascii="TimesNewRomanPSMT" w:hAnsi="TimesNewRomanPSMT"/>
          <w:sz w:val="22"/>
        </w:rPr>
        <w:t>Detection of gut microbiota</w:t>
      </w:r>
    </w:p>
    <w:p>
      <w:pPr>
        <w:pStyle w:val="8"/>
        <w:spacing w:line="360" w:lineRule="auto"/>
        <w:ind w:firstLine="0" w:firstLineChars="0"/>
        <w:rPr>
          <w:rFonts w:ascii="TimesNewRomanPSMT" w:hAnsi="TimesNewRomanPSMT"/>
          <w:sz w:val="22"/>
        </w:rPr>
      </w:pPr>
      <w:r>
        <w:rPr>
          <w:rFonts w:hint="eastAsia" w:ascii="TimesNewRomanPSMT" w:hAnsi="TimesNewRomanPSMT"/>
          <w:sz w:val="22"/>
        </w:rPr>
        <w:t>Fecal DNA was sequenced using 16S rRNA, and TruSeqR</w:t>
      </w:r>
      <w:r>
        <w:rPr>
          <w:rFonts w:ascii="TimesNewRomanPSMT" w:hAnsi="TimesNewRomanPSMT"/>
          <w:sz w:val="22"/>
        </w:rPr>
        <w:t>®</w:t>
      </w:r>
      <w:r>
        <w:rPr>
          <w:rFonts w:hint="eastAsia" w:ascii="TimesNewRomanPSMT" w:hAnsi="TimesNewRomanPSMT"/>
          <w:sz w:val="22"/>
        </w:rPr>
        <w:t xml:space="preserve"> DNA PCR-Free Sample Preparation Kit (Illumina,USA) was used to construct the library. </w:t>
      </w:r>
      <w:r>
        <w:rPr>
          <w:rFonts w:ascii="TimesNewRomanPSMT" w:hAnsi="TimesNewRomanPSMT"/>
          <w:sz w:val="22"/>
        </w:rPr>
        <w:t>Bioinformatics and statistical analysis of 16S-rDNA</w:t>
      </w:r>
      <w:r>
        <w:rPr>
          <w:rFonts w:hint="eastAsia" w:ascii="TimesNewRomanPSMT" w:hAnsi="TimesNewRomanPSMT"/>
          <w:sz w:val="22"/>
        </w:rPr>
        <w:t xml:space="preserve"> </w:t>
      </w:r>
      <w:r>
        <w:rPr>
          <w:rFonts w:ascii="TimesNewRomanPSMT" w:hAnsi="TimesNewRomanPSMT"/>
          <w:sz w:val="22"/>
        </w:rPr>
        <w:t>sequencing data</w:t>
      </w:r>
      <w:r>
        <w:rPr>
          <w:rFonts w:hint="eastAsia" w:ascii="TimesNewRomanPSMT" w:hAnsi="TimesNewRomanPSMT"/>
          <w:sz w:val="22"/>
        </w:rPr>
        <w:t>.</w:t>
      </w:r>
    </w:p>
    <w:p>
      <w:pPr>
        <w:numPr>
          <w:ilvl w:val="0"/>
          <w:numId w:val="1"/>
        </w:numPr>
        <w:spacing w:line="360" w:lineRule="auto"/>
        <w:jc w:val="left"/>
        <w:rPr>
          <w:rFonts w:ascii="TimesNewRomanPSMT" w:hAnsi="TimesNewRomanPSMT"/>
          <w:sz w:val="22"/>
        </w:rPr>
      </w:pPr>
      <w:r>
        <w:rPr>
          <w:rFonts w:hint="eastAsia" w:ascii="TimesNewRomanPSMT" w:hAnsi="TimesNewRomanPSMT"/>
          <w:sz w:val="22"/>
        </w:rPr>
        <w:t>Measurement of serum parameters</w:t>
      </w:r>
    </w:p>
    <w:p>
      <w:pPr>
        <w:spacing w:line="360" w:lineRule="auto"/>
        <w:rPr>
          <w:rFonts w:ascii="TimesNewRomanPSMT" w:hAnsi="TimesNewRomanPSMT"/>
          <w:sz w:val="22"/>
        </w:rPr>
      </w:pPr>
      <w:r>
        <w:rPr>
          <w:rFonts w:hint="eastAsia" w:ascii="TimesNewRomanPSMT" w:hAnsi="TimesNewRomanPSMT"/>
          <w:sz w:val="22"/>
        </w:rPr>
        <w:t xml:space="preserve">Rats serum LPS and </w:t>
      </w:r>
      <w:r>
        <w:rPr>
          <w:rFonts w:ascii="Times New Roman" w:hAnsi="Times New Roman" w:cs="Times New Roman"/>
          <w:sz w:val="22"/>
        </w:rPr>
        <w:t xml:space="preserve">IL-6, IL-10, TNF-α </w:t>
      </w:r>
      <w:r>
        <w:rPr>
          <w:rFonts w:hint="eastAsia" w:ascii="TimesNewRomanPSMT" w:hAnsi="TimesNewRomanPSMT"/>
          <w:sz w:val="22"/>
        </w:rPr>
        <w:t>were measured by r</w:t>
      </w:r>
      <w:r>
        <w:rPr>
          <w:rFonts w:ascii="TimesNewRomanPSMT" w:hAnsi="TimesNewRomanPSMT"/>
          <w:sz w:val="22"/>
        </w:rPr>
        <w:t>adioimmunoassay kit</w:t>
      </w:r>
      <w:r>
        <w:rPr>
          <w:rFonts w:hint="eastAsia" w:ascii="TimesNewRomanPSMT" w:hAnsi="TimesNewRomanPSMT"/>
          <w:sz w:val="22"/>
        </w:rPr>
        <w:t xml:space="preserve"> (Furui-Runze, Beijing,China) in accordance with the manufacturer</w:t>
      </w:r>
      <w:r>
        <w:rPr>
          <w:rFonts w:ascii="TimesNewRomanPSMT" w:hAnsi="TimesNewRomanPSMT"/>
          <w:sz w:val="22"/>
        </w:rPr>
        <w:t>’</w:t>
      </w:r>
      <w:r>
        <w:rPr>
          <w:rFonts w:hint="eastAsia" w:ascii="TimesNewRomanPSMT" w:hAnsi="TimesNewRomanPSMT"/>
          <w:sz w:val="22"/>
        </w:rPr>
        <w:t>s protocols.</w:t>
      </w:r>
    </w:p>
    <w:p>
      <w:pPr>
        <w:numPr>
          <w:ilvl w:val="0"/>
          <w:numId w:val="2"/>
        </w:numPr>
        <w:spacing w:line="360" w:lineRule="auto"/>
        <w:jc w:val="left"/>
        <w:rPr>
          <w:rFonts w:ascii="TimesNewRomanPSMT" w:hAnsi="TimesNewRomanPSMT"/>
          <w:sz w:val="22"/>
        </w:rPr>
      </w:pPr>
      <w:r>
        <w:rPr>
          <w:rFonts w:ascii="TimesNewRomanPSMT" w:hAnsi="TimesNewRomanPSMT"/>
          <w:sz w:val="22"/>
        </w:rPr>
        <w:t>Histological examination</w:t>
      </w:r>
    </w:p>
    <w:p>
      <w:pPr>
        <w:spacing w:line="360" w:lineRule="auto"/>
        <w:rPr>
          <w:rFonts w:ascii="TimesNewRomanPSMT" w:hAnsi="TimesNewRomanPSMT"/>
          <w:sz w:val="22"/>
        </w:rPr>
      </w:pPr>
      <w:r>
        <w:rPr>
          <w:rFonts w:hint="eastAsia" w:ascii="TimesNewRomanPSMT" w:hAnsi="TimesNewRomanPSMT"/>
          <w:sz w:val="22"/>
        </w:rPr>
        <w:t>Ileum</w:t>
      </w:r>
      <w:r>
        <w:rPr>
          <w:rFonts w:ascii="TimesNewRomanPSMT" w:hAnsi="TimesNewRomanPSMT"/>
          <w:sz w:val="22"/>
        </w:rPr>
        <w:t xml:space="preserve"> w</w:t>
      </w:r>
      <w:r>
        <w:rPr>
          <w:rFonts w:hint="eastAsia" w:ascii="TimesNewRomanPSMT" w:hAnsi="TimesNewRomanPSMT"/>
          <w:sz w:val="22"/>
        </w:rPr>
        <w:t>as</w:t>
      </w:r>
      <w:r>
        <w:rPr>
          <w:rFonts w:ascii="TimesNewRomanPSMT" w:hAnsi="TimesNewRomanPSMT"/>
          <w:sz w:val="22"/>
        </w:rPr>
        <w:t xml:space="preserve"> removed and fixed in </w:t>
      </w:r>
      <w:r>
        <w:rPr>
          <w:rFonts w:hint="eastAsia" w:ascii="TimesNewRomanPSMT" w:hAnsi="TimesNewRomanPSMT"/>
          <w:sz w:val="22"/>
        </w:rPr>
        <w:t>10</w:t>
      </w:r>
      <w:r>
        <w:rPr>
          <w:rFonts w:ascii="TimesNewRomanPSMT" w:hAnsi="TimesNewRomanPSMT"/>
          <w:sz w:val="22"/>
        </w:rPr>
        <w:t>% formalin for</w:t>
      </w:r>
      <w:r>
        <w:rPr>
          <w:rFonts w:hint="eastAsia" w:ascii="TimesNewRomanPSMT" w:hAnsi="TimesNewRomanPSMT"/>
          <w:sz w:val="22"/>
        </w:rPr>
        <w:t xml:space="preserve"> one week</w:t>
      </w:r>
      <w:r>
        <w:rPr>
          <w:rFonts w:ascii="TimesNewRomanPSMT" w:hAnsi="TimesNewRomanPSMT"/>
          <w:sz w:val="22"/>
        </w:rPr>
        <w:t>, dehydrated in graded ethanol, embedded in paraffin</w:t>
      </w:r>
      <w:r>
        <w:rPr>
          <w:rFonts w:hint="eastAsia" w:ascii="TimesNewRomanPSMT" w:hAnsi="TimesNewRomanPSMT"/>
          <w:sz w:val="22"/>
        </w:rPr>
        <w:t xml:space="preserve"> </w:t>
      </w:r>
      <w:r>
        <w:rPr>
          <w:rFonts w:ascii="TimesNewRomanPSMT" w:hAnsi="TimesNewRomanPSMT"/>
          <w:sz w:val="22"/>
        </w:rPr>
        <w:t>and sectioned (4 μm in thicknesses). The sections were stained with H&amp;E dye and observed under light microscope (</w:t>
      </w:r>
      <w:r>
        <w:rPr>
          <w:rFonts w:hint="eastAsia" w:ascii="TimesNewRomanPSMT" w:hAnsi="TimesNewRomanPSMT"/>
          <w:sz w:val="22"/>
        </w:rPr>
        <w:t>Nikon Eclipse 80i</w:t>
      </w:r>
      <w:r>
        <w:rPr>
          <w:rFonts w:ascii="TimesNewRomanPSMT" w:hAnsi="TimesNewRomanPSMT"/>
          <w:sz w:val="22"/>
        </w:rPr>
        <w:t>).</w:t>
      </w:r>
    </w:p>
    <w:p>
      <w:pPr>
        <w:spacing w:line="360" w:lineRule="auto"/>
        <w:rPr>
          <w:rFonts w:ascii="TimesNewRomanPSMT" w:hAnsi="TimesNewRomanPSMT"/>
          <w:sz w:val="22"/>
        </w:rPr>
      </w:pPr>
      <w:r>
        <w:rPr>
          <w:rFonts w:hint="eastAsia" w:ascii="TimesNewRomanPSMT" w:hAnsi="TimesNewRomanPSMT"/>
          <w:sz w:val="22"/>
        </w:rPr>
        <w:t>5</w:t>
      </w:r>
      <w:r>
        <w:rPr>
          <w:rFonts w:ascii="TimesNewRomanPSMT" w:hAnsi="TimesNewRomanPSMT"/>
          <w:sz w:val="22"/>
        </w:rPr>
        <w:t xml:space="preserve">. </w:t>
      </w:r>
      <w:r>
        <w:rPr>
          <w:rFonts w:hint="eastAsia" w:ascii="TimesNewRomanPSMT" w:hAnsi="TimesNewRomanPSMT"/>
          <w:sz w:val="22"/>
        </w:rPr>
        <w:t>Immunohistochemical staining</w:t>
      </w:r>
    </w:p>
    <w:p>
      <w:pPr>
        <w:spacing w:line="360" w:lineRule="auto"/>
        <w:rPr>
          <w:rFonts w:ascii="TimesNewRomanPSMT" w:hAnsi="TimesNewRomanPSMT"/>
          <w:sz w:val="22"/>
        </w:rPr>
      </w:pPr>
      <w:r>
        <w:rPr>
          <w:rFonts w:ascii="TimesNewRomanPSMT" w:hAnsi="TimesNewRomanPSMT"/>
          <w:sz w:val="22"/>
        </w:rPr>
        <w:t xml:space="preserve">Immunohistochemical staining for </w:t>
      </w:r>
      <w:r>
        <w:rPr>
          <w:rFonts w:hint="eastAsia" w:ascii="TimesNewRomanPSMT" w:hAnsi="TimesNewRomanPSMT"/>
          <w:sz w:val="22"/>
        </w:rPr>
        <w:t>intestinal tight junction protein (ZO-1)</w:t>
      </w:r>
      <w:r>
        <w:rPr>
          <w:rFonts w:ascii="TimesNewRomanPSMT" w:hAnsi="TimesNewRomanPSMT"/>
          <w:sz w:val="22"/>
        </w:rPr>
        <w:t xml:space="preserve"> were performed</w:t>
      </w:r>
      <w:r>
        <w:rPr>
          <w:rFonts w:hint="eastAsia" w:ascii="TimesNewRomanPSMT" w:hAnsi="TimesNewRomanPSMT"/>
          <w:sz w:val="22"/>
        </w:rPr>
        <w:t xml:space="preserve"> </w:t>
      </w:r>
      <w:r>
        <w:rPr>
          <w:rFonts w:ascii="TimesNewRomanPSMT" w:hAnsi="TimesNewRomanPSMT"/>
          <w:sz w:val="22"/>
        </w:rPr>
        <w:t>using an enhanced two-step method detection kit</w:t>
      </w:r>
      <w:r>
        <w:rPr>
          <w:rFonts w:hint="eastAsia" w:ascii="TimesNewRomanPSMT" w:hAnsi="TimesNewRomanPSMT"/>
          <w:sz w:val="22"/>
        </w:rPr>
        <w:t xml:space="preserve"> </w:t>
      </w:r>
      <w:r>
        <w:rPr>
          <w:rFonts w:ascii="TimesNewRomanPSMT" w:hAnsi="TimesNewRomanPSMT"/>
          <w:sz w:val="22"/>
        </w:rPr>
        <w:t>(ZSGB-Bio, Beijing, China) according to the manufacturer’s instructions. The paraffin tissue sections were incubated</w:t>
      </w:r>
      <w:r>
        <w:rPr>
          <w:rFonts w:hint="eastAsia" w:ascii="TimesNewRomanPSMT" w:hAnsi="TimesNewRomanPSMT"/>
          <w:sz w:val="22"/>
        </w:rPr>
        <w:t xml:space="preserve"> </w:t>
      </w:r>
      <w:r>
        <w:rPr>
          <w:rFonts w:ascii="TimesNewRomanPSMT" w:hAnsi="TimesNewRomanPSMT"/>
          <w:sz w:val="22"/>
        </w:rPr>
        <w:t xml:space="preserve">with </w:t>
      </w:r>
      <w:r>
        <w:rPr>
          <w:rFonts w:hint="eastAsia" w:ascii="TimesNewRomanPSMT" w:hAnsi="TimesNewRomanPSMT"/>
          <w:sz w:val="22"/>
        </w:rPr>
        <w:t>r</w:t>
      </w:r>
      <w:r>
        <w:rPr>
          <w:rFonts w:ascii="TimesNewRomanPSMT" w:hAnsi="TimesNewRomanPSMT"/>
          <w:sz w:val="22"/>
        </w:rPr>
        <w:t>abbit polyclonal antibodies against ZO-1 (1:</w:t>
      </w:r>
      <w:r>
        <w:rPr>
          <w:rFonts w:hint="eastAsia" w:ascii="TimesNewRomanPSMT" w:hAnsi="TimesNewRomanPSMT"/>
          <w:sz w:val="22"/>
        </w:rPr>
        <w:t>2</w:t>
      </w:r>
      <w:r>
        <w:rPr>
          <w:rFonts w:ascii="TimesNewRomanPSMT" w:hAnsi="TimesNewRomanPSMT"/>
          <w:sz w:val="22"/>
        </w:rPr>
        <w:t>00;</w:t>
      </w:r>
      <w:r>
        <w:rPr>
          <w:rFonts w:hint="eastAsia" w:ascii="TimesNewRomanPSMT" w:hAnsi="TimesNewRomanPSMT"/>
          <w:sz w:val="22"/>
        </w:rPr>
        <w:t xml:space="preserve"> Bioss,</w:t>
      </w:r>
      <w:r>
        <w:rPr>
          <w:rFonts w:ascii="TimesNewRomanPSMT" w:hAnsi="TimesNewRomanPSMT"/>
          <w:sz w:val="22"/>
        </w:rPr>
        <w:t xml:space="preserve"> </w:t>
      </w:r>
      <w:r>
        <w:rPr>
          <w:rFonts w:hint="eastAsia" w:ascii="TimesNewRomanPSMT" w:hAnsi="TimesNewRomanPSMT"/>
          <w:sz w:val="22"/>
        </w:rPr>
        <w:t>Beijing,</w:t>
      </w:r>
      <w:r>
        <w:rPr>
          <w:rFonts w:ascii="TimesNewRomanPSMT" w:hAnsi="TimesNewRomanPSMT"/>
          <w:sz w:val="22"/>
        </w:rPr>
        <w:t xml:space="preserve"> </w:t>
      </w:r>
      <w:r>
        <w:rPr>
          <w:rFonts w:hint="eastAsia" w:ascii="TimesNewRomanPSMT" w:hAnsi="TimesNewRomanPSMT"/>
          <w:sz w:val="22"/>
        </w:rPr>
        <w:t>China</w:t>
      </w:r>
      <w:r>
        <w:rPr>
          <w:rFonts w:ascii="TimesNewRomanPSMT" w:hAnsi="TimesNewRomanPSMT"/>
          <w:sz w:val="22"/>
        </w:rPr>
        <w:t xml:space="preserve">). The specific </w:t>
      </w:r>
      <w:r>
        <w:rPr>
          <w:rFonts w:hint="eastAsia" w:ascii="TimesNewRomanPSMT" w:hAnsi="TimesNewRomanPSMT"/>
          <w:sz w:val="22"/>
        </w:rPr>
        <w:t>o</w:t>
      </w:r>
      <w:r>
        <w:rPr>
          <w:rFonts w:ascii="TimesNewRomanPSMT" w:hAnsi="TimesNewRomanPSMT"/>
          <w:sz w:val="22"/>
        </w:rPr>
        <w:t>ptical density</w:t>
      </w:r>
      <w:r>
        <w:rPr>
          <w:rFonts w:hint="eastAsia" w:ascii="TimesNewRomanPSMT" w:hAnsi="TimesNewRomanPSMT"/>
          <w:sz w:val="22"/>
        </w:rPr>
        <w:t xml:space="preserve"> </w:t>
      </w:r>
      <w:r>
        <w:rPr>
          <w:rFonts w:ascii="TimesNewRomanPSMT" w:hAnsi="TimesNewRomanPSMT"/>
          <w:sz w:val="22"/>
        </w:rPr>
        <w:t xml:space="preserve">signals were detected </w:t>
      </w:r>
      <w:r>
        <w:rPr>
          <w:rFonts w:hint="eastAsia" w:ascii="TimesNewRomanPSMT" w:hAnsi="TimesNewRomanPSMT"/>
          <w:sz w:val="22"/>
        </w:rPr>
        <w:t xml:space="preserve">using </w:t>
      </w:r>
      <w:r>
        <w:rPr>
          <w:rFonts w:ascii="TimesNewRomanPSMT" w:hAnsi="TimesNewRomanPSMT"/>
          <w:sz w:val="22"/>
        </w:rPr>
        <w:t>Image-Pro Plus 6.0.</w:t>
      </w:r>
    </w:p>
    <w:p>
      <w:pPr>
        <w:spacing w:line="360" w:lineRule="auto"/>
        <w:jc w:val="left"/>
        <w:rPr>
          <w:rFonts w:ascii="TimesNewRomanPSMT" w:hAnsi="TimesNewRomanPSMT"/>
          <w:b/>
          <w:bCs/>
          <w:sz w:val="22"/>
        </w:rPr>
      </w:pPr>
    </w:p>
    <w:p>
      <w:pPr>
        <w:spacing w:line="360" w:lineRule="auto"/>
        <w:jc w:val="left"/>
        <w:rPr>
          <w:rFonts w:ascii="TimesNewRomanPSMT" w:hAnsi="TimesNewRomanPSMT"/>
          <w:b/>
          <w:bCs/>
          <w:sz w:val="22"/>
        </w:rPr>
      </w:pPr>
    </w:p>
    <w:p>
      <w:pPr>
        <w:spacing w:line="360" w:lineRule="auto"/>
        <w:jc w:val="left"/>
        <w:rPr>
          <w:rFonts w:ascii="TimesNewRomanPSMT" w:hAnsi="TimesNewRomanPSMT"/>
          <w:b/>
          <w:bCs/>
          <w:sz w:val="22"/>
        </w:rPr>
      </w:pPr>
    </w:p>
    <w:p>
      <w:pPr>
        <w:spacing w:line="360" w:lineRule="auto"/>
        <w:jc w:val="left"/>
        <w:rPr>
          <w:rFonts w:ascii="TimesNewRomanPSMT" w:hAnsi="TimesNewRomanPSMT"/>
          <w:b/>
          <w:bCs/>
          <w:sz w:val="22"/>
        </w:rPr>
      </w:pPr>
    </w:p>
    <w:p>
      <w:pPr>
        <w:spacing w:line="360" w:lineRule="auto"/>
        <w:jc w:val="left"/>
        <w:rPr>
          <w:rFonts w:ascii="TimesNewRomanPSMT" w:hAnsi="TimesNewRomanPSMT"/>
          <w:b/>
          <w:bCs/>
          <w:sz w:val="22"/>
        </w:rPr>
      </w:pPr>
      <w:r>
        <w:rPr>
          <w:rFonts w:hint="eastAsia" w:ascii="TimesNewRomanPSMT" w:hAnsi="TimesNewRomanPSMT"/>
          <w:b/>
          <w:bCs/>
          <w:sz w:val="22"/>
        </w:rPr>
        <w:t>Results:</w:t>
      </w:r>
    </w:p>
    <w:p>
      <w:pPr>
        <w:spacing w:line="360" w:lineRule="auto"/>
        <w:rPr>
          <w:rFonts w:ascii="TimesNewRomanPSMT" w:hAnsi="TimesNewRomanPSMT"/>
          <w:b/>
          <w:bCs/>
          <w:sz w:val="22"/>
        </w:rPr>
      </w:pPr>
      <w:r>
        <w:rPr>
          <w:rFonts w:hint="eastAsia" w:ascii="TimesNewRomanPSMT" w:hAnsi="TimesNewRomanPSMT"/>
          <w:b/>
          <w:bCs/>
          <w:sz w:val="22"/>
        </w:rPr>
        <w:t>1.</w:t>
      </w:r>
      <w:r>
        <w:rPr>
          <w:rFonts w:ascii="TimesNewRomanPSMT" w:hAnsi="TimesNewRomanPSMT"/>
          <w:b/>
          <w:bCs/>
          <w:sz w:val="22"/>
        </w:rPr>
        <w:t xml:space="preserve"> The effect</w:t>
      </w:r>
      <w:r>
        <w:rPr>
          <w:rFonts w:hint="eastAsia" w:ascii="TimesNewRomanPSMT" w:hAnsi="TimesNewRomanPSMT"/>
          <w:b/>
          <w:bCs/>
          <w:sz w:val="22"/>
        </w:rPr>
        <w:t>s</w:t>
      </w:r>
      <w:r>
        <w:rPr>
          <w:rFonts w:ascii="TimesNewRomanPSMT" w:hAnsi="TimesNewRomanPSMT"/>
          <w:b/>
          <w:bCs/>
          <w:sz w:val="22"/>
        </w:rPr>
        <w:t xml:space="preserve"> of BuP on the composition of gut microbiota</w:t>
      </w:r>
    </w:p>
    <w:p>
      <w:pPr>
        <w:spacing w:line="360" w:lineRule="auto"/>
        <w:rPr>
          <w:rFonts w:ascii="Times New Roman" w:hAnsi="Times New Roman" w:cs="Times New Roman"/>
          <w:szCs w:val="21"/>
        </w:rPr>
      </w:pPr>
      <w:r>
        <w:rPr>
          <w:rFonts w:ascii="TimesNewRomanPSMT" w:hAnsi="TimesNewRomanPSMT"/>
          <w:sz w:val="22"/>
        </w:rPr>
        <w:t>BuP would change the composition of gut microbiota, resulting in the reduction of bacteria abundance and diversity (</w:t>
      </w:r>
      <w:r>
        <w:rPr>
          <w:rFonts w:ascii="TimesNewRomanPSMT" w:hAnsi="TimesNewRomanPSMT"/>
          <w:i/>
          <w:iCs/>
          <w:sz w:val="22"/>
        </w:rPr>
        <w:t>P</w:t>
      </w:r>
      <w:r>
        <w:rPr>
          <w:rFonts w:ascii="TimesNewRomanPSMT" w:hAnsi="TimesNewRomanPSMT"/>
          <w:sz w:val="22"/>
        </w:rPr>
        <w:t>&lt;0.05, Table S3; Figure S1); the abundance of Fimicutes and Bacteroidetes in the group of BuP was not different from that of the blank or solvent group (</w:t>
      </w:r>
      <w:r>
        <w:rPr>
          <w:rFonts w:ascii="TimesNewRomanPSMT" w:hAnsi="TimesNewRomanPSMT"/>
          <w:i/>
          <w:iCs/>
          <w:sz w:val="22"/>
        </w:rPr>
        <w:t>P</w:t>
      </w:r>
      <w:r>
        <w:rPr>
          <w:rFonts w:ascii="TimesNewRomanPSMT" w:hAnsi="TimesNewRomanPSMT"/>
          <w:sz w:val="22"/>
        </w:rPr>
        <w:t>&gt;0.05,Figure S2;S3). Exposed to BuP could significantly increase the proportion of gram negative bacteria (G-) of the dominant bacteria at Genus level (</w:t>
      </w:r>
      <w:r>
        <w:rPr>
          <w:rFonts w:ascii="TimesNewRomanPSMT" w:hAnsi="TimesNewRomanPSMT"/>
          <w:i/>
          <w:iCs/>
          <w:sz w:val="22"/>
        </w:rPr>
        <w:t>P</w:t>
      </w:r>
      <w:r>
        <w:rPr>
          <w:rFonts w:ascii="TimesNewRomanPSMT" w:hAnsi="TimesNewRomanPSMT"/>
          <w:sz w:val="22"/>
        </w:rPr>
        <w:t>&lt;0.05, Figure S4).</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T</w:t>
      </w:r>
      <w:r>
        <w:rPr>
          <w:rFonts w:ascii="Times New Roman" w:hAnsi="Times New Roman" w:cs="Times New Roman"/>
          <w:color w:val="000000" w:themeColor="text1"/>
          <w:szCs w:val="21"/>
          <w14:textFill>
            <w14:solidFill>
              <w14:schemeClr w14:val="tx1"/>
            </w14:solidFill>
          </w14:textFill>
        </w:rPr>
        <w:t>able S3. The results of OTUs Number and diversity of different groups (n=5)</w:t>
      </w:r>
    </w:p>
    <w:tbl>
      <w:tblPr>
        <w:tblStyle w:val="5"/>
        <w:tblW w:w="8296"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74"/>
        <w:gridCol w:w="2074"/>
        <w:gridCol w:w="2074"/>
        <w:gridCol w:w="207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74" w:type="dxa"/>
            <w:vMerge w:val="restart"/>
            <w:tcBorders>
              <w:top w:val="single" w:color="auto" w:sz="4" w:space="0"/>
              <w:bottom w:val="nil"/>
            </w:tcBorders>
            <w:vAlign w:val="center"/>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 xml:space="preserve">Group </w:t>
            </w:r>
          </w:p>
        </w:tc>
        <w:tc>
          <w:tcPr>
            <w:tcW w:w="2074" w:type="dxa"/>
            <w:vMerge w:val="restart"/>
            <w:tcBorders>
              <w:top w:val="single" w:color="auto" w:sz="4" w:space="0"/>
              <w:bottom w:val="nil"/>
            </w:tcBorders>
            <w:vAlign w:val="center"/>
          </w:tcPr>
          <w:p>
            <w:pPr>
              <w:spacing w:line="360" w:lineRule="auto"/>
              <w:jc w:val="center"/>
              <w:rPr>
                <w:rFonts w:ascii="Cambria Math" w:hAnsi="Cambria Math" w:cs="Times New Roman"/>
                <w:color w:val="000000" w:themeColor="text1"/>
                <w:sz w:val="22"/>
                <w:szCs w:val="22"/>
                <w14:textFill>
                  <w14:solidFill>
                    <w14:schemeClr w14:val="tx1"/>
                  </w14:solidFill>
                </w14:textFill>
              </w:rPr>
            </w:pPr>
            <w:r>
              <w:rPr>
                <w:rFonts w:hint="eastAsia" w:ascii="Cambria Math" w:hAnsi="Cambria Math" w:cs="Times New Roman"/>
                <w:color w:val="000000" w:themeColor="text1"/>
                <w:sz w:val="22"/>
                <w:szCs w:val="22"/>
                <w14:textFill>
                  <w14:solidFill>
                    <w14:schemeClr w14:val="tx1"/>
                  </w14:solidFill>
                </w14:textFill>
              </w:rPr>
              <w:t>OTUs</w:t>
            </w:r>
            <w:r>
              <w:rPr>
                <w:rFonts w:ascii="Cambria Math" w:hAnsi="Cambria Math" w:cs="Times New Roman"/>
                <w:color w:val="000000" w:themeColor="text1"/>
                <w:sz w:val="22"/>
                <w:szCs w:val="22"/>
                <w14:textFill>
                  <w14:solidFill>
                    <w14:schemeClr w14:val="tx1"/>
                  </w14:solidFill>
                </w14:textFill>
              </w:rPr>
              <w:t xml:space="preserve"> </w:t>
            </w:r>
            <w:r>
              <w:rPr>
                <w:rFonts w:hint="eastAsia" w:ascii="Cambria Math" w:hAnsi="Cambria Math" w:cs="Times New Roman"/>
                <w:color w:val="000000" w:themeColor="text1"/>
                <w:sz w:val="22"/>
                <w:szCs w:val="22"/>
                <w14:textFill>
                  <w14:solidFill>
                    <w14:schemeClr w14:val="tx1"/>
                  </w14:solidFill>
                </w14:textFill>
              </w:rPr>
              <w:t>Number</w:t>
            </w:r>
          </w:p>
          <w:p>
            <w:pPr>
              <w:spacing w:line="360" w:lineRule="auto"/>
              <w:jc w:val="center"/>
              <w:rPr>
                <w:rFonts w:ascii="Times New Roman" w:hAnsi="Times New Roman" w:cs="Times New Roman"/>
                <w:color w:val="000000" w:themeColor="text1"/>
                <w:sz w:val="22"/>
                <w:szCs w:val="22"/>
                <w14:textFill>
                  <w14:solidFill>
                    <w14:schemeClr w14:val="tx1"/>
                  </w14:solidFill>
                </w14:textFill>
              </w:rPr>
            </w:pPr>
            <m:oMath>
              <m:acc>
                <m:accPr>
                  <m:chr m:val="̅"/>
                  <m:ctrlPr>
                    <w:rPr>
                      <w:rFonts w:ascii="Cambria Math" w:hAnsi="Cambria Math" w:cs="Times New Roman"/>
                      <w:color w:val="000000" w:themeColor="text1"/>
                      <w:sz w:val="22"/>
                      <w:szCs w:val="22"/>
                      <w14:textFill>
                        <w14:solidFill>
                          <w14:schemeClr w14:val="tx1"/>
                        </w14:solidFill>
                      </w14:textFill>
                    </w:rPr>
                  </m:ctrlPr>
                </m:accPr>
                <m:e>
                  <m:r>
                    <m:rPr>
                      <m:sty m:val="p"/>
                    </m:rPr>
                    <w:rPr>
                      <w:rFonts w:ascii="Cambria Math" w:hAnsi="Cambria Math" w:cs="Times New Roman"/>
                      <w:color w:val="000000" w:themeColor="text1"/>
                      <w:sz w:val="22"/>
                      <w:szCs w:val="22"/>
                      <w14:textFill>
                        <w14:solidFill>
                          <w14:schemeClr w14:val="tx1"/>
                        </w14:solidFill>
                      </w14:textFill>
                    </w:rPr>
                    <m:t>x</m:t>
                  </m:r>
                  <m:ctrlPr>
                    <w:rPr>
                      <w:rFonts w:ascii="Cambria Math" w:hAnsi="Cambria Math" w:cs="Times New Roman"/>
                      <w:color w:val="000000" w:themeColor="text1"/>
                      <w:sz w:val="22"/>
                      <w:szCs w:val="22"/>
                      <w14:textFill>
                        <w14:solidFill>
                          <w14:schemeClr w14:val="tx1"/>
                        </w14:solidFill>
                      </w14:textFill>
                    </w:rPr>
                  </m:ctrlPr>
                </m:e>
              </m:acc>
            </m:oMath>
            <w:r>
              <w:rPr>
                <w:rFonts w:ascii="Times New Roman" w:hAnsi="Times New Roman" w:cs="Times New Roman"/>
                <w:color w:val="000000" w:themeColor="text1"/>
                <w:sz w:val="22"/>
                <w:szCs w:val="22"/>
                <w14:textFill>
                  <w14:solidFill>
                    <w14:schemeClr w14:val="tx1"/>
                  </w14:solidFill>
                </w14:textFill>
              </w:rPr>
              <w:t>±</w:t>
            </w:r>
            <w:r>
              <w:rPr>
                <w:rFonts w:ascii="Times New Roman" w:hAnsi="Times New Roman" w:cs="Times New Roman"/>
                <w:i/>
                <w:color w:val="000000" w:themeColor="text1"/>
                <w:sz w:val="22"/>
                <w:szCs w:val="22"/>
                <w14:textFill>
                  <w14:solidFill>
                    <w14:schemeClr w14:val="tx1"/>
                  </w14:solidFill>
                </w14:textFill>
              </w:rPr>
              <w:t>s</w:t>
            </w:r>
          </w:p>
        </w:tc>
        <w:tc>
          <w:tcPr>
            <w:tcW w:w="4148" w:type="dxa"/>
            <w:gridSpan w:val="2"/>
            <w:tcBorders>
              <w:top w:val="single" w:color="auto" w:sz="4" w:space="0"/>
              <w:bottom w:val="single" w:color="auto" w:sz="4" w:space="0"/>
            </w:tcBorders>
            <w:vAlign w:val="center"/>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Alpha-</w:t>
            </w:r>
            <w:r>
              <w:rPr>
                <w:rFonts w:hint="eastAsia" w:ascii="Times New Roman" w:hAnsi="Times New Roman" w:cs="Times New Roman"/>
                <w:color w:val="000000" w:themeColor="text1"/>
                <w:sz w:val="22"/>
                <w:szCs w:val="22"/>
                <w14:textFill>
                  <w14:solidFill>
                    <w14:schemeClr w14:val="tx1"/>
                  </w14:solidFill>
                </w14:textFill>
              </w:rPr>
              <w:t xml:space="preserve"> diversity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74" w:type="dxa"/>
            <w:vMerge w:val="continue"/>
            <w:tcBorders>
              <w:top w:val="nil"/>
              <w:bottom w:val="single" w:color="auto" w:sz="4" w:space="0"/>
            </w:tcBorders>
            <w:vAlign w:val="center"/>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p>
        </w:tc>
        <w:tc>
          <w:tcPr>
            <w:tcW w:w="2074" w:type="dxa"/>
            <w:vMerge w:val="continue"/>
            <w:tcBorders>
              <w:top w:val="nil"/>
              <w:bottom w:val="single" w:color="auto" w:sz="4" w:space="0"/>
            </w:tcBorders>
            <w:vAlign w:val="center"/>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p>
        </w:tc>
        <w:tc>
          <w:tcPr>
            <w:tcW w:w="2074" w:type="dxa"/>
            <w:tcBorders>
              <w:top w:val="single" w:color="auto" w:sz="4" w:space="0"/>
              <w:bottom w:val="single" w:color="auto" w:sz="4" w:space="0"/>
            </w:tcBorders>
            <w:vAlign w:val="center"/>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Chao1</w:t>
            </w:r>
          </w:p>
          <w:p>
            <w:pPr>
              <w:spacing w:line="360" w:lineRule="auto"/>
              <w:jc w:val="center"/>
              <w:rPr>
                <w:rFonts w:ascii="Times New Roman" w:hAnsi="Times New Roman" w:cs="Times New Roman"/>
                <w:color w:val="000000" w:themeColor="text1"/>
                <w:sz w:val="22"/>
                <w:szCs w:val="22"/>
                <w14:textFill>
                  <w14:solidFill>
                    <w14:schemeClr w14:val="tx1"/>
                  </w14:solidFill>
                </w14:textFill>
              </w:rPr>
            </w:pPr>
            <m:oMath>
              <m:acc>
                <m:accPr>
                  <m:chr m:val="̅"/>
                  <m:ctrlPr>
                    <w:rPr>
                      <w:rFonts w:ascii="Cambria Math" w:hAnsi="Cambria Math" w:cs="Times New Roman"/>
                      <w:color w:val="000000" w:themeColor="text1"/>
                      <w:sz w:val="22"/>
                      <w:szCs w:val="22"/>
                      <w14:textFill>
                        <w14:solidFill>
                          <w14:schemeClr w14:val="tx1"/>
                        </w14:solidFill>
                      </w14:textFill>
                    </w:rPr>
                  </m:ctrlPr>
                </m:accPr>
                <m:e>
                  <m:r>
                    <m:rPr>
                      <m:sty m:val="p"/>
                    </m:rPr>
                    <w:rPr>
                      <w:rFonts w:ascii="Cambria Math" w:hAnsi="Cambria Math" w:cs="Times New Roman"/>
                      <w:color w:val="000000" w:themeColor="text1"/>
                      <w:sz w:val="22"/>
                      <w:szCs w:val="22"/>
                      <w14:textFill>
                        <w14:solidFill>
                          <w14:schemeClr w14:val="tx1"/>
                        </w14:solidFill>
                      </w14:textFill>
                    </w:rPr>
                    <m:t>x</m:t>
                  </m:r>
                  <m:ctrlPr>
                    <w:rPr>
                      <w:rFonts w:ascii="Cambria Math" w:hAnsi="Cambria Math" w:cs="Times New Roman"/>
                      <w:color w:val="000000" w:themeColor="text1"/>
                      <w:sz w:val="22"/>
                      <w:szCs w:val="22"/>
                      <w14:textFill>
                        <w14:solidFill>
                          <w14:schemeClr w14:val="tx1"/>
                        </w14:solidFill>
                      </w14:textFill>
                    </w:rPr>
                  </m:ctrlPr>
                </m:e>
              </m:acc>
            </m:oMath>
            <w:r>
              <w:rPr>
                <w:rFonts w:ascii="Times New Roman" w:hAnsi="Times New Roman" w:cs="Times New Roman"/>
                <w:color w:val="000000" w:themeColor="text1"/>
                <w:sz w:val="22"/>
                <w:szCs w:val="22"/>
                <w14:textFill>
                  <w14:solidFill>
                    <w14:schemeClr w14:val="tx1"/>
                  </w14:solidFill>
                </w14:textFill>
              </w:rPr>
              <w:t>±</w:t>
            </w:r>
            <w:r>
              <w:rPr>
                <w:rFonts w:ascii="Times New Roman" w:hAnsi="Times New Roman" w:cs="Times New Roman"/>
                <w:i/>
                <w:color w:val="000000" w:themeColor="text1"/>
                <w:sz w:val="22"/>
                <w:szCs w:val="22"/>
                <w14:textFill>
                  <w14:solidFill>
                    <w14:schemeClr w14:val="tx1"/>
                  </w14:solidFill>
                </w14:textFill>
              </w:rPr>
              <w:t>s</w:t>
            </w:r>
          </w:p>
        </w:tc>
        <w:tc>
          <w:tcPr>
            <w:tcW w:w="2074" w:type="dxa"/>
            <w:tcBorders>
              <w:top w:val="single" w:color="auto" w:sz="4" w:space="0"/>
              <w:bottom w:val="single" w:color="auto" w:sz="4" w:space="0"/>
            </w:tcBorders>
            <w:vAlign w:val="center"/>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Shannon</w:t>
            </w:r>
          </w:p>
          <w:p>
            <w:pPr>
              <w:spacing w:line="360" w:lineRule="auto"/>
              <w:jc w:val="center"/>
              <w:rPr>
                <w:rFonts w:ascii="Times New Roman" w:hAnsi="Times New Roman" w:cs="Times New Roman"/>
                <w:color w:val="000000" w:themeColor="text1"/>
                <w:sz w:val="22"/>
                <w:szCs w:val="22"/>
                <w14:textFill>
                  <w14:solidFill>
                    <w14:schemeClr w14:val="tx1"/>
                  </w14:solidFill>
                </w14:textFill>
              </w:rPr>
            </w:pPr>
            <m:oMath>
              <m:acc>
                <m:accPr>
                  <m:chr m:val="̅"/>
                  <m:ctrlPr>
                    <w:rPr>
                      <w:rFonts w:ascii="Cambria Math" w:hAnsi="Cambria Math" w:cs="Times New Roman"/>
                      <w:color w:val="000000" w:themeColor="text1"/>
                      <w:sz w:val="22"/>
                      <w:szCs w:val="22"/>
                      <w14:textFill>
                        <w14:solidFill>
                          <w14:schemeClr w14:val="tx1"/>
                        </w14:solidFill>
                      </w14:textFill>
                    </w:rPr>
                  </m:ctrlPr>
                </m:accPr>
                <m:e>
                  <m:r>
                    <m:rPr>
                      <m:sty m:val="p"/>
                    </m:rPr>
                    <w:rPr>
                      <w:rFonts w:ascii="Cambria Math" w:hAnsi="Cambria Math" w:cs="Times New Roman"/>
                      <w:color w:val="000000" w:themeColor="text1"/>
                      <w:sz w:val="22"/>
                      <w:szCs w:val="22"/>
                      <w14:textFill>
                        <w14:solidFill>
                          <w14:schemeClr w14:val="tx1"/>
                        </w14:solidFill>
                      </w14:textFill>
                    </w:rPr>
                    <m:t>x</m:t>
                  </m:r>
                  <m:ctrlPr>
                    <w:rPr>
                      <w:rFonts w:ascii="Cambria Math" w:hAnsi="Cambria Math" w:cs="Times New Roman"/>
                      <w:color w:val="000000" w:themeColor="text1"/>
                      <w:sz w:val="22"/>
                      <w:szCs w:val="22"/>
                      <w14:textFill>
                        <w14:solidFill>
                          <w14:schemeClr w14:val="tx1"/>
                        </w14:solidFill>
                      </w14:textFill>
                    </w:rPr>
                  </m:ctrlPr>
                </m:e>
              </m:acc>
            </m:oMath>
            <w:r>
              <w:rPr>
                <w:rFonts w:ascii="Times New Roman" w:hAnsi="Times New Roman" w:cs="Times New Roman"/>
                <w:color w:val="000000" w:themeColor="text1"/>
                <w:sz w:val="22"/>
                <w:szCs w:val="22"/>
                <w14:textFill>
                  <w14:solidFill>
                    <w14:schemeClr w14:val="tx1"/>
                  </w14:solidFill>
                </w14:textFill>
              </w:rPr>
              <w:t>±</w:t>
            </w:r>
            <w:r>
              <w:rPr>
                <w:rFonts w:ascii="Times New Roman" w:hAnsi="Times New Roman" w:cs="Times New Roman"/>
                <w:i/>
                <w:color w:val="000000" w:themeColor="text1"/>
                <w:sz w:val="22"/>
                <w:szCs w:val="22"/>
                <w14:textFill>
                  <w14:solidFill>
                    <w14:schemeClr w14:val="tx1"/>
                  </w14:solidFill>
                </w14:textFill>
              </w:rPr>
              <w: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NewRomanPSMT" w:hAnsi="TimesNewRomanPSMT"/>
                <w:sz w:val="22"/>
                <w:szCs w:val="22"/>
              </w:rPr>
              <w:t>blank control</w:t>
            </w:r>
          </w:p>
        </w:tc>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1160.44±412.74</w:t>
            </w:r>
          </w:p>
        </w:tc>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1547.01±579.02</w:t>
            </w:r>
          </w:p>
        </w:tc>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6.71±0.79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NewRomanPSMT" w:hAnsi="TimesNewRomanPSMT"/>
                <w:sz w:val="22"/>
                <w:szCs w:val="22"/>
              </w:rPr>
              <w:t>solvent control</w:t>
            </w:r>
          </w:p>
        </w:tc>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1428.00±57.40</w:t>
            </w:r>
          </w:p>
        </w:tc>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1909.13±140.37</w:t>
            </w:r>
          </w:p>
        </w:tc>
        <w:tc>
          <w:tcPr>
            <w:tcW w:w="2074" w:type="dxa"/>
            <w:tcBorders>
              <w:top w:val="nil"/>
              <w:bottom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7.19±0.26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74" w:type="dxa"/>
            <w:tcBorders>
              <w:top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NewRomanPSMT" w:hAnsi="TimesNewRomanPSMT"/>
                <w:sz w:val="22"/>
                <w:szCs w:val="22"/>
              </w:rPr>
              <w:t>BuP 160</w:t>
            </w:r>
            <w:r>
              <w:rPr>
                <w:rFonts w:ascii="TimesNewRomanPSMT" w:hAnsi="TimesNewRomanPSMT"/>
                <w:i/>
                <w:iCs/>
                <w:sz w:val="22"/>
                <w:szCs w:val="22"/>
              </w:rPr>
              <w:t>mg/kg bw</w:t>
            </w:r>
          </w:p>
        </w:tc>
        <w:tc>
          <w:tcPr>
            <w:tcW w:w="2074" w:type="dxa"/>
            <w:tcBorders>
              <w:top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954.60±357.47*</w:t>
            </w:r>
          </w:p>
        </w:tc>
        <w:tc>
          <w:tcPr>
            <w:tcW w:w="2074" w:type="dxa"/>
            <w:tcBorders>
              <w:top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1272.66±555.80*</w:t>
            </w:r>
          </w:p>
        </w:tc>
        <w:tc>
          <w:tcPr>
            <w:tcW w:w="2074" w:type="dxa"/>
            <w:tcBorders>
              <w:top w:val="nil"/>
            </w:tcBorders>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6.23±0.89*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74" w:type="dxa"/>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NewRomanPSMT" w:hAnsi="TimesNewRomanPSMT"/>
                <w:sz w:val="22"/>
                <w:szCs w:val="22"/>
              </w:rPr>
              <w:t>BuP 160</w:t>
            </w:r>
            <w:r>
              <w:rPr>
                <w:rFonts w:ascii="TimesNewRomanPSMT" w:hAnsi="TimesNewRomanPSMT"/>
                <w:i/>
                <w:iCs/>
                <w:sz w:val="22"/>
                <w:szCs w:val="22"/>
              </w:rPr>
              <w:t xml:space="preserve">mg/kg bw </w:t>
            </w:r>
            <w:r>
              <w:rPr>
                <w:rFonts w:ascii="TimesNewRomanPSMT" w:hAnsi="TimesNewRomanPSMT"/>
                <w:sz w:val="22"/>
                <w:szCs w:val="22"/>
              </w:rPr>
              <w:t>+ high-fat diet</w:t>
            </w:r>
          </w:p>
        </w:tc>
        <w:tc>
          <w:tcPr>
            <w:tcW w:w="2074" w:type="dxa"/>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673.20±370.34*</w:t>
            </w:r>
          </w:p>
        </w:tc>
        <w:tc>
          <w:tcPr>
            <w:tcW w:w="2074" w:type="dxa"/>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872.33±448.12*</w:t>
            </w:r>
          </w:p>
        </w:tc>
        <w:tc>
          <w:tcPr>
            <w:tcW w:w="2074" w:type="dxa"/>
          </w:tcPr>
          <w:p>
            <w:pPr>
              <w:spacing w:line="360" w:lineRule="auto"/>
              <w:jc w:val="center"/>
              <w:rPr>
                <w:rFonts w:ascii="Times New Roman" w:hAnsi="Times New Roman" w:cs="Times New Roman"/>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5.92±0.56*</w:t>
            </w:r>
          </w:p>
        </w:tc>
      </w:tr>
    </w:tbl>
    <w:p>
      <w:pPr>
        <w:spacing w:line="360" w:lineRule="auto"/>
        <w:rPr>
          <w:rFonts w:ascii="Times New Roman" w:hAnsi="Times New Roman" w:cs="Times New Roman"/>
          <w:iCs/>
          <w:color w:val="000000" w:themeColor="text1"/>
          <w:szCs w:val="21"/>
          <w14:textFill>
            <w14:solidFill>
              <w14:schemeClr w14:val="tx1"/>
            </w14:solidFill>
          </w14:textFill>
        </w:rPr>
      </w:pPr>
      <w:r>
        <w:rPr>
          <w:rFonts w:ascii="Times New Roman" w:hAnsi="Times New Roman"/>
          <w:sz w:val="22"/>
        </w:rPr>
        <w:t xml:space="preserve">Note: </w:t>
      </w:r>
      <w:r>
        <w:rPr>
          <w:rFonts w:ascii="Times New Roman" w:hAnsi="Times New Roman" w:cs="Times New Roman"/>
          <w:color w:val="000000" w:themeColor="text1"/>
          <w:szCs w:val="21"/>
          <w14:textFill>
            <w14:solidFill>
              <w14:schemeClr w14:val="tx1"/>
            </w14:solidFill>
          </w14:textFill>
        </w:rPr>
        <w:t xml:space="preserve">OTUs Number, Chao1 and Shannon are the common indicator for evaluating the abundance and diversity of </w:t>
      </w:r>
      <w:r>
        <w:rPr>
          <w:rFonts w:ascii="TimesNewRomanPSMT" w:hAnsi="TimesNewRomanPSMT"/>
          <w:sz w:val="22"/>
        </w:rPr>
        <w:t>gut microbiota.</w:t>
      </w:r>
      <w:r>
        <w:rPr>
          <w:rFonts w:ascii="Times New Roman" w:hAnsi="Times New Roman" w:cs="Times New Roman"/>
          <w:color w:val="000000" w:themeColor="text1"/>
          <w:szCs w:val="21"/>
          <w14:textFill>
            <w14:solidFill>
              <w14:schemeClr w14:val="tx1"/>
            </w14:solidFill>
          </w14:textFill>
        </w:rPr>
        <w:t xml:space="preserve">*compared with </w:t>
      </w:r>
      <w:r>
        <w:rPr>
          <w:rFonts w:ascii="TimesNewRomanPSMT" w:hAnsi="TimesNewRomanPSMT"/>
          <w:sz w:val="22"/>
        </w:rPr>
        <w:t>blank control group</w:t>
      </w: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 xml:space="preserve"> </w:t>
      </w:r>
      <w:r>
        <w:rPr>
          <w:rFonts w:ascii="Times New Roman" w:hAnsi="Times New Roman" w:cs="Times New Roman"/>
          <w:i/>
          <w:color w:val="000000" w:themeColor="text1"/>
          <w:szCs w:val="21"/>
          <w14:textFill>
            <w14:solidFill>
              <w14:schemeClr w14:val="tx1"/>
            </w14:solidFill>
          </w14:textFill>
        </w:rPr>
        <w:t>P</w:t>
      </w:r>
      <w:r>
        <w:rPr>
          <w:rFonts w:ascii="Times New Roman" w:hAnsi="Times New Roman" w:cs="Times New Roman"/>
          <w:iCs/>
          <w:color w:val="000000" w:themeColor="text1"/>
          <w:szCs w:val="21"/>
          <w14:textFill>
            <w14:solidFill>
              <w14:schemeClr w14:val="tx1"/>
            </w14:solidFill>
          </w14:textFill>
        </w:rPr>
        <w:t>&lt;0.05</w:t>
      </w:r>
      <w:r>
        <w:rPr>
          <w:rFonts w:hint="eastAsia" w:ascii="Times New Roman" w:hAnsi="Times New Roman" w:cs="Times New Roman"/>
          <w:iCs/>
          <w:color w:val="000000" w:themeColor="text1"/>
          <w:szCs w:val="21"/>
          <w14:textFill>
            <w14:solidFill>
              <w14:schemeClr w14:val="tx1"/>
            </w14:solidFill>
          </w14:textFill>
        </w:rPr>
        <w:t>.</w:t>
      </w:r>
    </w:p>
    <w:p>
      <w:pPr>
        <w:spacing w:line="360" w:lineRule="auto"/>
        <w:rPr>
          <w:rFonts w:ascii="Times New Roman" w:hAnsi="Times New Roman" w:cs="Times New Roman"/>
          <w:i/>
          <w:color w:val="000000" w:themeColor="text1"/>
          <w:szCs w:val="21"/>
          <w14:textFill>
            <w14:solidFill>
              <w14:schemeClr w14:val="tx1"/>
            </w14:solidFill>
          </w14:textFill>
        </w:rPr>
      </w:pP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0" distR="0">
            <wp:extent cx="4102100" cy="2654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102100" cy="2654300"/>
                    </a:xfrm>
                    <a:prstGeom prst="rect">
                      <a:avLst/>
                    </a:prstGeom>
                    <a:noFill/>
                    <a:ln>
                      <a:noFill/>
                    </a:ln>
                  </pic:spPr>
                </pic:pic>
              </a:graphicData>
            </a:graphic>
          </wp:inline>
        </w:drawing>
      </w:r>
    </w:p>
    <w:p>
      <w:pPr>
        <w:spacing w:line="360" w:lineRule="auto"/>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sz w:val="22"/>
          <w:szCs w:val="22"/>
          <w14:textFill>
            <w14:solidFill>
              <w14:schemeClr w14:val="tx1"/>
            </w14:solidFill>
          </w14:textFill>
        </w:rPr>
        <w:t>Figure S1</w:t>
      </w:r>
      <w:r>
        <w:rPr>
          <w:rFonts w:ascii="Times New Roman" w:hAnsi="Times New Roman" w:cs="Times New Roman"/>
          <w:color w:val="000000" w:themeColor="text1"/>
          <w:sz w:val="22"/>
          <w:szCs w:val="22"/>
          <w14:textFill>
            <w14:solidFill>
              <w14:schemeClr w14:val="tx1"/>
            </w14:solidFill>
          </w14:textFill>
        </w:rPr>
        <w:t>.</w:t>
      </w:r>
      <w:r>
        <w:rPr>
          <w:rFonts w:hint="eastAsia" w:ascii="Times New Roman" w:hAnsi="Times New Roman" w:cs="Times New Roman"/>
          <w:color w:val="000000" w:themeColor="text1"/>
          <w:sz w:val="22"/>
          <w:szCs w:val="22"/>
          <w14:textFill>
            <w14:solidFill>
              <w14:schemeClr w14:val="tx1"/>
            </w14:solidFill>
          </w14:textFill>
        </w:rPr>
        <w:t xml:space="preserve"> </w:t>
      </w:r>
      <w:r>
        <w:rPr>
          <w:rFonts w:hint="eastAsia" w:ascii="TimesNewRomanPSMT" w:hAnsi="TimesNewRomanPSMT"/>
          <w:sz w:val="22"/>
          <w:szCs w:val="22"/>
        </w:rPr>
        <w:t>PCoA analysis</w:t>
      </w:r>
      <w:r>
        <w:rPr>
          <w:rFonts w:hint="eastAsia"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color w:val="000000" w:themeColor="text1"/>
          <w:sz w:val="22"/>
          <w:szCs w:val="22"/>
          <w14:textFill>
            <w14:solidFill>
              <w14:schemeClr w14:val="tx1"/>
            </w14:solidFill>
          </w14:textFill>
        </w:rPr>
        <w:t>b</w:t>
      </w:r>
      <w:r>
        <w:rPr>
          <w:rFonts w:hint="eastAsia" w:ascii="Times New Roman" w:hAnsi="Times New Roman" w:cs="Times New Roman"/>
          <w:color w:val="000000" w:themeColor="text1"/>
          <w:sz w:val="22"/>
          <w:szCs w:val="22"/>
          <w14:textFill>
            <w14:solidFill>
              <w14:schemeClr w14:val="tx1"/>
            </w14:solidFill>
          </w14:textFill>
        </w:rPr>
        <w:t xml:space="preserve">ased </w:t>
      </w:r>
      <w:r>
        <w:rPr>
          <w:rFonts w:ascii="Times New Roman" w:hAnsi="Times New Roman" w:cs="Times New Roman"/>
          <w:color w:val="000000" w:themeColor="text1"/>
          <w:sz w:val="22"/>
          <w:szCs w:val="22"/>
          <w14:textFill>
            <w14:solidFill>
              <w14:schemeClr w14:val="tx1"/>
            </w14:solidFill>
          </w14:textFill>
        </w:rPr>
        <w:t>on Weighted Unifrac distance.</w:t>
      </w:r>
      <w:r>
        <w:rPr>
          <w:sz w:val="22"/>
          <w:szCs w:val="22"/>
        </w:rPr>
        <w:t xml:space="preserve"> </w:t>
      </w:r>
      <w:r>
        <w:rPr>
          <w:rFonts w:ascii="Times New Roman" w:hAnsi="Times New Roman" w:cs="Times New Roman"/>
          <w:color w:val="000000" w:themeColor="text1"/>
          <w:sz w:val="22"/>
          <w:szCs w:val="22"/>
          <w14:textFill>
            <w14:solidFill>
              <w14:schemeClr w14:val="tx1"/>
            </w14:solidFill>
          </w14:textFill>
        </w:rPr>
        <w:t>PCOA (principal co-ordinates analysis) is used to observe differences between individuals or groups. Each point represents a sample, and the points of the same color come from the same group. The closer the two points are, the smaller the difference in their community composition.</w:t>
      </w:r>
      <w:r>
        <w:rPr>
          <w:rFonts w:ascii="Times New Roman" w:hAnsi="Times New Roman" w:cs="Times New Roman"/>
          <w:color w:val="000000" w:themeColor="text1"/>
          <w:szCs w:val="21"/>
          <w14:textFill>
            <w14:solidFill>
              <w14:schemeClr w14:val="tx1"/>
            </w14:solidFill>
          </w14:textFill>
        </w:rPr>
        <w:t xml:space="preserve"> n=5.</w:t>
      </w:r>
    </w:p>
    <w:p>
      <w:pPr>
        <w:spacing w:line="360" w:lineRule="auto"/>
        <w:jc w:val="center"/>
        <w:rPr>
          <w:rFonts w:ascii="Times New Roman" w:hAnsi="Times New Roman" w:cs="Times New Roman"/>
          <w:color w:val="000000" w:themeColor="text1"/>
          <w:szCs w:val="21"/>
          <w14:textFill>
            <w14:solidFill>
              <w14:schemeClr w14:val="tx1"/>
            </w14:solidFill>
          </w14:textFill>
        </w:rPr>
      </w:pP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0" distR="0">
            <wp:extent cx="2832100" cy="206375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832100" cy="2063750"/>
                    </a:xfrm>
                    <a:prstGeom prst="rect">
                      <a:avLst/>
                    </a:prstGeom>
                    <a:noFill/>
                    <a:ln>
                      <a:noFill/>
                    </a:ln>
                  </pic:spPr>
                </pic:pic>
              </a:graphicData>
            </a:graphic>
          </wp:inline>
        </w:drawing>
      </w:r>
    </w:p>
    <w:p>
      <w:pPr>
        <w:spacing w:line="360" w:lineRule="auto"/>
        <w:rPr>
          <w:rFonts w:ascii="TimesNewRomanPSMT" w:hAnsi="TimesNewRomanPSMT"/>
          <w:sz w:val="22"/>
          <w:szCs w:val="22"/>
        </w:rPr>
      </w:pPr>
      <w:r>
        <w:rPr>
          <w:rFonts w:hint="eastAsia" w:ascii="Times New Roman" w:hAnsi="Times New Roman" w:cs="Times New Roman"/>
          <w:color w:val="000000" w:themeColor="text1"/>
          <w:sz w:val="22"/>
          <w:szCs w:val="22"/>
          <w14:textFill>
            <w14:solidFill>
              <w14:schemeClr w14:val="tx1"/>
            </w14:solidFill>
          </w14:textFill>
        </w:rPr>
        <w:t>F</w:t>
      </w:r>
      <w:r>
        <w:rPr>
          <w:rFonts w:ascii="Times New Roman" w:hAnsi="Times New Roman" w:cs="Times New Roman"/>
          <w:color w:val="000000" w:themeColor="text1"/>
          <w:sz w:val="22"/>
          <w:szCs w:val="22"/>
          <w14:textFill>
            <w14:solidFill>
              <w14:schemeClr w14:val="tx1"/>
            </w14:solidFill>
          </w14:textFill>
        </w:rPr>
        <w:t xml:space="preserve">igure S2. The abundance distribution of gut microbiota (top 10) under different samples and treatment groups in </w:t>
      </w:r>
      <w:r>
        <w:rPr>
          <w:rFonts w:ascii="TimesNewRomanPSMT" w:hAnsi="TimesNewRomanPSMT"/>
          <w:sz w:val="22"/>
          <w:szCs w:val="22"/>
        </w:rPr>
        <w:t>Phylum levels</w:t>
      </w:r>
      <w:r>
        <w:rPr>
          <w:rFonts w:ascii="Times New Roman" w:hAnsi="Times New Roman" w:cs="Times New Roman"/>
          <w:color w:val="000000" w:themeColor="text1"/>
          <w:sz w:val="22"/>
          <w:szCs w:val="22"/>
          <w14:textFill>
            <w14:solidFill>
              <w14:schemeClr w14:val="tx1"/>
            </w14:solidFill>
          </w14:textFill>
        </w:rPr>
        <w:t xml:space="preserve">. </w:t>
      </w:r>
      <w:r>
        <w:rPr>
          <w:rFonts w:ascii="TimesNewRomanPSMT" w:hAnsi="TimesNewRomanPSMT"/>
          <w:sz w:val="22"/>
          <w:szCs w:val="22"/>
        </w:rPr>
        <w:t>According to the annotation results of species, the top 10 species with the highest relative abundance at Phylum levels were selected from each group, and the column accumulation diagram was generated to observe the species with the highest relative abundance at Phylum levels and their proportion.</w:t>
      </w:r>
      <w:r>
        <w:rPr>
          <w:rFonts w:hint="eastAsia" w:ascii="TimesNewRomanPSMT" w:hAnsi="TimesNewRomanPSMT"/>
          <w:sz w:val="22"/>
          <w:szCs w:val="22"/>
        </w:rPr>
        <w:t xml:space="preserve"> A</w:t>
      </w:r>
      <w:r>
        <w:rPr>
          <w:rFonts w:ascii="TimesNewRomanPSMT" w:hAnsi="TimesNewRomanPSMT"/>
          <w:sz w:val="22"/>
          <w:szCs w:val="22"/>
        </w:rPr>
        <w:t>: blank control group;</w:t>
      </w:r>
      <w:r>
        <w:rPr>
          <w:rFonts w:hint="eastAsia" w:ascii="TimesNewRomanPSMT" w:hAnsi="TimesNewRomanPSMT"/>
          <w:sz w:val="22"/>
          <w:szCs w:val="22"/>
        </w:rPr>
        <w:t xml:space="preserve"> </w:t>
      </w:r>
      <w:r>
        <w:rPr>
          <w:rFonts w:ascii="TimesNewRomanPSMT" w:hAnsi="TimesNewRomanPSMT"/>
          <w:sz w:val="22"/>
          <w:szCs w:val="22"/>
        </w:rPr>
        <w:t xml:space="preserve">B: solvent control group; C: </w:t>
      </w:r>
      <w:r>
        <w:rPr>
          <w:rFonts w:hint="eastAsia" w:ascii="TimesNewRomanPSMT" w:hAnsi="TimesNewRomanPSMT"/>
          <w:sz w:val="22"/>
          <w:szCs w:val="22"/>
        </w:rPr>
        <w:t>BuP 160</w:t>
      </w:r>
      <w:r>
        <w:rPr>
          <w:rFonts w:hint="eastAsia" w:ascii="TimesNewRomanPSMT" w:hAnsi="TimesNewRomanPSMT"/>
          <w:i/>
          <w:iCs/>
          <w:sz w:val="22"/>
          <w:szCs w:val="22"/>
        </w:rPr>
        <w:t>mg/kg bw</w:t>
      </w:r>
      <w:r>
        <w:rPr>
          <w:rFonts w:ascii="TimesNewRomanPSMT" w:hAnsi="TimesNewRomanPSMT"/>
          <w:sz w:val="22"/>
          <w:szCs w:val="22"/>
        </w:rPr>
        <w:t xml:space="preserve"> group; D: BuP 160</w:t>
      </w:r>
      <w:r>
        <w:rPr>
          <w:rFonts w:hint="eastAsia"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n=5.</w:t>
      </w: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0" distR="0">
            <wp:extent cx="3003550" cy="2108200"/>
            <wp:effectExtent l="0" t="0" r="635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003550" cy="2108200"/>
                    </a:xfrm>
                    <a:prstGeom prst="rect">
                      <a:avLst/>
                    </a:prstGeom>
                    <a:noFill/>
                    <a:ln>
                      <a:noFill/>
                    </a:ln>
                  </pic:spPr>
                </pic:pic>
              </a:graphicData>
            </a:graphic>
          </wp:inline>
        </w:drawing>
      </w:r>
    </w:p>
    <w:p>
      <w:pPr>
        <w:spacing w:line="360" w:lineRule="auto"/>
        <w:rPr>
          <w:rFonts w:ascii="TimesNewRomanPSMT" w:hAnsi="TimesNewRomanPSMT"/>
          <w:sz w:val="22"/>
          <w:szCs w:val="22"/>
        </w:rPr>
      </w:pPr>
      <w:r>
        <w:rPr>
          <w:rFonts w:hint="eastAsia" w:ascii="Times New Roman" w:hAnsi="Times New Roman" w:cs="Times New Roman"/>
          <w:color w:val="000000" w:themeColor="text1"/>
          <w:sz w:val="22"/>
          <w:szCs w:val="22"/>
          <w14:textFill>
            <w14:solidFill>
              <w14:schemeClr w14:val="tx1"/>
            </w14:solidFill>
          </w14:textFill>
        </w:rPr>
        <w:t>F</w:t>
      </w:r>
      <w:r>
        <w:rPr>
          <w:rFonts w:ascii="Times New Roman" w:hAnsi="Times New Roman" w:cs="Times New Roman"/>
          <w:color w:val="000000" w:themeColor="text1"/>
          <w:sz w:val="22"/>
          <w:szCs w:val="22"/>
          <w14:textFill>
            <w14:solidFill>
              <w14:schemeClr w14:val="tx1"/>
            </w14:solidFill>
          </w14:textFill>
        </w:rPr>
        <w:t xml:space="preserve">igure S3. The abundance distribution of gut microbiota (top 10) under different samples and treatment groups in </w:t>
      </w:r>
      <w:r>
        <w:rPr>
          <w:rFonts w:ascii="TimesNewRomanPSMT" w:hAnsi="TimesNewRomanPSMT"/>
          <w:sz w:val="22"/>
          <w:szCs w:val="22"/>
        </w:rPr>
        <w:t>Genus levels</w:t>
      </w:r>
      <w:r>
        <w:rPr>
          <w:rFonts w:ascii="Times New Roman" w:hAnsi="Times New Roman" w:cs="Times New Roman"/>
          <w:color w:val="000000" w:themeColor="text1"/>
          <w:sz w:val="22"/>
          <w:szCs w:val="22"/>
          <w14:textFill>
            <w14:solidFill>
              <w14:schemeClr w14:val="tx1"/>
            </w14:solidFill>
          </w14:textFill>
        </w:rPr>
        <w:t xml:space="preserve">. </w:t>
      </w:r>
      <w:r>
        <w:rPr>
          <w:rFonts w:ascii="TimesNewRomanPSMT" w:hAnsi="TimesNewRomanPSMT"/>
          <w:sz w:val="22"/>
          <w:szCs w:val="22"/>
        </w:rPr>
        <w:t>According to the annotation results of species, the top 10 species with the highest relative abundance at Genus levels were selected from each group, and the column accumulation diagram was generated to observe the species with the highest relative abundance at Genus levels and their proportion.</w:t>
      </w:r>
      <w:r>
        <w:rPr>
          <w:rFonts w:hint="eastAsia" w:ascii="TimesNewRomanPSMT" w:hAnsi="TimesNewRomanPSMT"/>
          <w:sz w:val="22"/>
          <w:szCs w:val="22"/>
        </w:rPr>
        <w:t xml:space="preserve"> A</w:t>
      </w:r>
      <w:r>
        <w:rPr>
          <w:rFonts w:ascii="TimesNewRomanPSMT" w:hAnsi="TimesNewRomanPSMT"/>
          <w:sz w:val="22"/>
          <w:szCs w:val="22"/>
        </w:rPr>
        <w:t>: blank control group;</w:t>
      </w:r>
      <w:r>
        <w:rPr>
          <w:rFonts w:hint="eastAsia" w:ascii="TimesNewRomanPSMT" w:hAnsi="TimesNewRomanPSMT"/>
          <w:sz w:val="22"/>
          <w:szCs w:val="22"/>
        </w:rPr>
        <w:t xml:space="preserve"> </w:t>
      </w:r>
      <w:r>
        <w:rPr>
          <w:rFonts w:ascii="TimesNewRomanPSMT" w:hAnsi="TimesNewRomanPSMT"/>
          <w:sz w:val="22"/>
          <w:szCs w:val="22"/>
        </w:rPr>
        <w:t xml:space="preserve">B: solvent control group; C: </w:t>
      </w:r>
      <w:r>
        <w:rPr>
          <w:rFonts w:hint="eastAsia" w:ascii="TimesNewRomanPSMT" w:hAnsi="TimesNewRomanPSMT"/>
          <w:sz w:val="22"/>
          <w:szCs w:val="22"/>
        </w:rPr>
        <w:t>BuP 160</w:t>
      </w:r>
      <w:r>
        <w:rPr>
          <w:rFonts w:hint="eastAsia" w:ascii="TimesNewRomanPSMT" w:hAnsi="TimesNewRomanPSMT"/>
          <w:i/>
          <w:iCs/>
          <w:sz w:val="22"/>
          <w:szCs w:val="22"/>
        </w:rPr>
        <w:t>mg/kg bw</w:t>
      </w:r>
      <w:r>
        <w:rPr>
          <w:rFonts w:ascii="TimesNewRomanPSMT" w:hAnsi="TimesNewRomanPSMT"/>
          <w:sz w:val="22"/>
          <w:szCs w:val="22"/>
        </w:rPr>
        <w:t xml:space="preserve"> group; D: BuP 160</w:t>
      </w:r>
      <w:r>
        <w:rPr>
          <w:rFonts w:hint="eastAsia"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n=5.</w:t>
      </w:r>
    </w:p>
    <w:p>
      <w:pPr>
        <w:spacing w:line="360" w:lineRule="auto"/>
        <w:jc w:val="center"/>
        <w:rPr>
          <w:rFonts w:ascii="Times New Roman" w:hAnsi="Times New Roman" w:cs="Times New Roman"/>
          <w:color w:val="000000" w:themeColor="text1"/>
          <w:szCs w:val="21"/>
          <w14:textFill>
            <w14:solidFill>
              <w14:schemeClr w14:val="tx1"/>
            </w14:solidFill>
          </w14:textFill>
        </w:rPr>
      </w:pPr>
    </w:p>
    <w:p>
      <w:pPr>
        <w:spacing w:line="360" w:lineRule="auto"/>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drawing>
          <wp:inline distT="0" distB="0" distL="0" distR="0">
            <wp:extent cx="2368550" cy="20637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368550" cy="2063750"/>
                    </a:xfrm>
                    <a:prstGeom prst="rect">
                      <a:avLst/>
                    </a:prstGeom>
                    <a:noFill/>
                    <a:ln>
                      <a:noFill/>
                    </a:ln>
                  </pic:spPr>
                </pic:pic>
              </a:graphicData>
            </a:graphic>
          </wp:inline>
        </w:drawing>
      </w:r>
    </w:p>
    <w:p>
      <w:pPr>
        <w:spacing w:line="360" w:lineRule="auto"/>
        <w:rPr>
          <w:rFonts w:ascii="Times New Roman" w:hAnsi="Times New Roman" w:cs="Times New Roman"/>
          <w:i/>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 xml:space="preserve">Figure S4. The proportion of G-/G+ of the dominant bacteria in each group. The dominant bacteria showed in Figure S3 were classified according to Gram-negative bacteria(G-) and Gram-positive bacteria(G+), and the sum of OTUs number and the proportion of G-/G+ were calculated respectively. </w:t>
      </w:r>
      <w:r>
        <w:rPr>
          <w:rFonts w:hint="eastAsia" w:ascii="Times New Roman" w:hAnsi="Times New Roman" w:cs="Times New Roman"/>
          <w:color w:val="000000" w:themeColor="text1"/>
          <w:sz w:val="22"/>
          <w:szCs w:val="22"/>
          <w14:textFill>
            <w14:solidFill>
              <w14:schemeClr w14:val="tx1"/>
            </w14:solidFill>
          </w14:textFill>
        </w:rPr>
        <w:t>G-</w:t>
      </w:r>
      <w:r>
        <w:rPr>
          <w:rFonts w:ascii="Times New Roman" w:hAnsi="Times New Roman" w:cs="Times New Roman"/>
          <w:color w:val="000000" w:themeColor="text1"/>
          <w:sz w:val="22"/>
          <w:szCs w:val="22"/>
          <w14:textFill>
            <w14:solidFill>
              <w14:schemeClr w14:val="tx1"/>
            </w14:solidFill>
          </w14:textFill>
        </w:rPr>
        <w:t xml:space="preserve"> included </w:t>
      </w:r>
      <w:r>
        <w:rPr>
          <w:rFonts w:hint="eastAsia" w:ascii="Times New Roman" w:hAnsi="Times New Roman" w:cs="Times New Roman"/>
          <w:color w:val="000000" w:themeColor="text1"/>
          <w:sz w:val="22"/>
          <w:szCs w:val="22"/>
          <w14:textFill>
            <w14:solidFill>
              <w14:schemeClr w14:val="tx1"/>
            </w14:solidFill>
          </w14:textFill>
        </w:rPr>
        <w:t>Prevotella_9</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Bacteroides</w:t>
      </w:r>
      <w:r>
        <w:rPr>
          <w:rFonts w:ascii="Times New Roman" w:hAnsi="Times New Roman" w:cs="Times New Roman"/>
          <w:color w:val="000000" w:themeColor="text1"/>
          <w:sz w:val="22"/>
          <w:szCs w:val="22"/>
          <w14:textFill>
            <w14:solidFill>
              <w14:schemeClr w14:val="tx1"/>
            </w14:solidFill>
          </w14:textFill>
        </w:rPr>
        <w:t xml:space="preserve"> and</w:t>
      </w:r>
      <w:r>
        <w:rPr>
          <w:rFonts w:hint="eastAsia" w:ascii="Times New Roman" w:hAnsi="Times New Roman" w:cs="Times New Roman"/>
          <w:color w:val="000000" w:themeColor="text1"/>
          <w:sz w:val="22"/>
          <w:szCs w:val="22"/>
          <w14:textFill>
            <w14:solidFill>
              <w14:schemeClr w14:val="tx1"/>
            </w14:solidFill>
          </w14:textFill>
        </w:rPr>
        <w:t xml:space="preserve"> Akkermansia</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G+</w:t>
      </w:r>
      <w:r>
        <w:rPr>
          <w:rFonts w:ascii="Times New Roman" w:hAnsi="Times New Roman" w:cs="Times New Roman"/>
          <w:color w:val="000000" w:themeColor="text1"/>
          <w:sz w:val="22"/>
          <w:szCs w:val="22"/>
          <w14:textFill>
            <w14:solidFill>
              <w14:schemeClr w14:val="tx1"/>
            </w14:solidFill>
          </w14:textFill>
        </w:rPr>
        <w:t xml:space="preserve"> included </w:t>
      </w:r>
      <w:r>
        <w:rPr>
          <w:rFonts w:hint="eastAsia" w:ascii="Times New Roman" w:hAnsi="Times New Roman" w:cs="Times New Roman"/>
          <w:color w:val="000000" w:themeColor="text1"/>
          <w:sz w:val="22"/>
          <w:szCs w:val="22"/>
          <w14:textFill>
            <w14:solidFill>
              <w14:schemeClr w14:val="tx1"/>
            </w14:solidFill>
          </w14:textFill>
        </w:rPr>
        <w:t>Lachnoclostridium</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Lactobacillus</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Ruminococcaceae_UCG-005</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Blautia</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Turicibacter</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Allobaculum</w:t>
      </w:r>
      <w:r>
        <w:rPr>
          <w:rFonts w:ascii="Times New Roman" w:hAnsi="Times New Roman" w:cs="Times New Roman"/>
          <w:color w:val="000000" w:themeColor="text1"/>
          <w:sz w:val="22"/>
          <w:szCs w:val="22"/>
          <w14:textFill>
            <w14:solidFill>
              <w14:schemeClr w14:val="tx1"/>
            </w14:solidFill>
          </w14:textFill>
        </w:rPr>
        <w:t xml:space="preserve"> </w:t>
      </w:r>
      <w:r>
        <w:rPr>
          <w:rFonts w:hint="eastAsia" w:ascii="Times New Roman" w:hAnsi="Times New Roman" w:cs="Times New Roman"/>
          <w:color w:val="000000" w:themeColor="text1"/>
          <w:sz w:val="22"/>
          <w:szCs w:val="22"/>
          <w14:textFill>
            <w14:solidFill>
              <w14:schemeClr w14:val="tx1"/>
            </w14:solidFill>
          </w14:textFill>
        </w:rPr>
        <w:t>Romboutsia</w:t>
      </w:r>
      <w:r>
        <w:rPr>
          <w:rFonts w:ascii="Times New Roman" w:hAnsi="Times New Roman" w:cs="Times New Roman"/>
          <w:color w:val="000000" w:themeColor="text1"/>
          <w:sz w:val="22"/>
          <w:szCs w:val="22"/>
          <w14:textFill>
            <w14:solidFill>
              <w14:schemeClr w14:val="tx1"/>
            </w14:solidFill>
          </w14:textFill>
        </w:rPr>
        <w:t>.</w:t>
      </w:r>
      <w:r>
        <w:rPr>
          <w:rFonts w:hint="eastAsia" w:ascii="TimesNewRomanPSMT" w:hAnsi="TimesNewRomanPSMT"/>
          <w:sz w:val="22"/>
          <w:szCs w:val="22"/>
        </w:rPr>
        <w:t xml:space="preserve"> A</w:t>
      </w:r>
      <w:r>
        <w:rPr>
          <w:rFonts w:ascii="TimesNewRomanPSMT" w:hAnsi="TimesNewRomanPSMT"/>
          <w:sz w:val="22"/>
          <w:szCs w:val="22"/>
        </w:rPr>
        <w:t>: blank control group;</w:t>
      </w:r>
      <w:r>
        <w:rPr>
          <w:rFonts w:hint="eastAsia" w:ascii="TimesNewRomanPSMT" w:hAnsi="TimesNewRomanPSMT"/>
          <w:sz w:val="22"/>
          <w:szCs w:val="22"/>
        </w:rPr>
        <w:t xml:space="preserve"> </w:t>
      </w:r>
      <w:r>
        <w:rPr>
          <w:rFonts w:ascii="TimesNewRomanPSMT" w:hAnsi="TimesNewRomanPSMT"/>
          <w:sz w:val="22"/>
          <w:szCs w:val="22"/>
        </w:rPr>
        <w:t xml:space="preserve">B: solvent control group; C: </w:t>
      </w:r>
      <w:r>
        <w:rPr>
          <w:rFonts w:hint="eastAsia" w:ascii="TimesNewRomanPSMT" w:hAnsi="TimesNewRomanPSMT"/>
          <w:sz w:val="22"/>
          <w:szCs w:val="22"/>
        </w:rPr>
        <w:t>BuP 160</w:t>
      </w:r>
      <w:r>
        <w:rPr>
          <w:rFonts w:hint="eastAsia" w:ascii="TimesNewRomanPSMT" w:hAnsi="TimesNewRomanPSMT"/>
          <w:i/>
          <w:iCs/>
          <w:sz w:val="22"/>
          <w:szCs w:val="22"/>
        </w:rPr>
        <w:t>mg/kg bw</w:t>
      </w:r>
      <w:r>
        <w:rPr>
          <w:rFonts w:ascii="TimesNewRomanPSMT" w:hAnsi="TimesNewRomanPSMT"/>
          <w:sz w:val="22"/>
          <w:szCs w:val="22"/>
        </w:rPr>
        <w:t xml:space="preserve"> group; D: BuP 160</w:t>
      </w:r>
      <w:r>
        <w:rPr>
          <w:rFonts w:hint="eastAsia"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n=5. *compared with </w:t>
      </w:r>
      <w:r>
        <w:rPr>
          <w:rFonts w:ascii="TimesNewRomanPSMT" w:hAnsi="TimesNewRomanPSMT"/>
          <w:sz w:val="22"/>
          <w:szCs w:val="22"/>
        </w:rPr>
        <w:t>blank control group</w:t>
      </w:r>
      <w:r>
        <w:rPr>
          <w:rFonts w:hint="eastAsia" w:ascii="Times New Roman" w:hAnsi="Times New Roman" w:cs="Times New Roman"/>
          <w:color w:val="000000" w:themeColor="text1"/>
          <w:sz w:val="22"/>
          <w:szCs w:val="22"/>
          <w14:textFill>
            <w14:solidFill>
              <w14:schemeClr w14:val="tx1"/>
            </w14:solidFill>
          </w14:textFill>
        </w:rPr>
        <w:t>,</w:t>
      </w:r>
      <w:r>
        <w:rPr>
          <w:rFonts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i/>
          <w:color w:val="000000" w:themeColor="text1"/>
          <w:sz w:val="22"/>
          <w:szCs w:val="22"/>
          <w14:textFill>
            <w14:solidFill>
              <w14:schemeClr w14:val="tx1"/>
            </w14:solidFill>
          </w14:textFill>
        </w:rPr>
        <w:t>P&lt;</w:t>
      </w:r>
      <w:r>
        <w:rPr>
          <w:rFonts w:ascii="Times New Roman" w:hAnsi="Times New Roman" w:cs="Times New Roman"/>
          <w:iCs/>
          <w:color w:val="000000" w:themeColor="text1"/>
          <w:sz w:val="22"/>
          <w:szCs w:val="22"/>
          <w14:textFill>
            <w14:solidFill>
              <w14:schemeClr w14:val="tx1"/>
            </w14:solidFill>
          </w14:textFill>
        </w:rPr>
        <w:t>0.05</w:t>
      </w:r>
      <w:r>
        <w:rPr>
          <w:rFonts w:ascii="Times New Roman" w:hAnsi="Times New Roman" w:cs="Times New Roman"/>
          <w:i/>
          <w:color w:val="000000" w:themeColor="text1"/>
          <w:sz w:val="22"/>
          <w:szCs w:val="22"/>
          <w14:textFill>
            <w14:solidFill>
              <w14:schemeClr w14:val="tx1"/>
            </w14:solidFill>
          </w14:textFill>
        </w:rPr>
        <w:t>.</w:t>
      </w:r>
    </w:p>
    <w:p>
      <w:pPr>
        <w:spacing w:line="360" w:lineRule="auto"/>
        <w:rPr>
          <w:rFonts w:ascii="Times New Roman" w:hAnsi="Times New Roman" w:cs="Times New Roman"/>
          <w:i/>
          <w:color w:val="000000" w:themeColor="text1"/>
          <w:sz w:val="22"/>
          <w:szCs w:val="22"/>
          <w14:textFill>
            <w14:solidFill>
              <w14:schemeClr w14:val="tx1"/>
            </w14:solidFill>
          </w14:textFill>
        </w:rPr>
      </w:pPr>
    </w:p>
    <w:p>
      <w:pPr>
        <w:spacing w:line="360" w:lineRule="auto"/>
        <w:rPr>
          <w:rFonts w:ascii="Times New Roman" w:hAnsi="Times New Roman" w:cs="Times New Roman"/>
          <w:b/>
          <w:color w:val="000000" w:themeColor="text1"/>
          <w:sz w:val="22"/>
          <w:szCs w:val="22"/>
          <w14:textFill>
            <w14:solidFill>
              <w14:schemeClr w14:val="tx1"/>
            </w14:solidFill>
          </w14:textFill>
        </w:rPr>
      </w:pPr>
      <w:r>
        <w:rPr>
          <w:rFonts w:hint="eastAsia" w:ascii="Times New Roman" w:hAnsi="Times New Roman" w:cs="Times New Roman"/>
          <w:b/>
          <w:bCs/>
          <w:color w:val="000000" w:themeColor="text1"/>
          <w:sz w:val="22"/>
          <w:szCs w:val="22"/>
          <w14:textFill>
            <w14:solidFill>
              <w14:schemeClr w14:val="tx1"/>
            </w14:solidFill>
          </w14:textFill>
        </w:rPr>
        <w:t>2</w:t>
      </w:r>
      <w:r>
        <w:rPr>
          <w:rFonts w:ascii="Times New Roman" w:hAnsi="Times New Roman" w:cs="Times New Roman"/>
          <w:b/>
          <w:bCs/>
          <w:color w:val="000000" w:themeColor="text1"/>
          <w:sz w:val="22"/>
          <w:szCs w:val="22"/>
          <w14:textFill>
            <w14:solidFill>
              <w14:schemeClr w14:val="tx1"/>
            </w14:solidFill>
          </w14:textFill>
        </w:rPr>
        <w:t xml:space="preserve">. </w:t>
      </w:r>
      <w:r>
        <w:rPr>
          <w:rFonts w:ascii="Times New Roman" w:hAnsi="Times New Roman" w:cs="Times New Roman"/>
          <w:b/>
          <w:color w:val="000000" w:themeColor="text1"/>
          <w:sz w:val="22"/>
          <w:szCs w:val="22"/>
          <w14:textFill>
            <w14:solidFill>
              <w14:schemeClr w14:val="tx1"/>
            </w14:solidFill>
          </w14:textFill>
        </w:rPr>
        <w:t xml:space="preserve">The effect of BuP on </w:t>
      </w:r>
      <w:bookmarkStart w:id="1" w:name="_Hlk97499492"/>
      <w:r>
        <w:rPr>
          <w:rFonts w:ascii="Times New Roman" w:hAnsi="Times New Roman" w:cs="Times New Roman"/>
          <w:b/>
          <w:color w:val="000000" w:themeColor="text1"/>
          <w:sz w:val="22"/>
          <w:szCs w:val="22"/>
          <w14:textFill>
            <w14:solidFill>
              <w14:schemeClr w14:val="tx1"/>
            </w14:solidFill>
          </w14:textFill>
        </w:rPr>
        <w:t>serum LPS</w:t>
      </w:r>
      <w:bookmarkEnd w:id="1"/>
    </w:p>
    <w:p>
      <w:pPr>
        <w:widowControl/>
        <w:spacing w:line="360" w:lineRule="auto"/>
        <w:ind w:firstLine="420"/>
        <w:rPr>
          <w:rFonts w:ascii="Times New Roman" w:hAnsi="Times New Roman" w:cs="Times New Roman"/>
          <w:color w:val="000000" w:themeColor="text1"/>
          <w:kern w:val="0"/>
          <w:sz w:val="22"/>
          <w:szCs w:val="22"/>
          <w14:textFill>
            <w14:solidFill>
              <w14:schemeClr w14:val="tx1"/>
            </w14:solidFill>
          </w14:textFill>
        </w:rPr>
      </w:pPr>
      <w:r>
        <w:rPr>
          <w:rFonts w:ascii="Times New Roman" w:hAnsi="Times New Roman" w:cs="Times New Roman"/>
          <w:color w:val="000000" w:themeColor="text1"/>
          <w:kern w:val="0"/>
          <w:sz w:val="22"/>
          <w:szCs w:val="22"/>
          <w14:textFill>
            <w14:solidFill>
              <w14:schemeClr w14:val="tx1"/>
            </w14:solidFill>
          </w14:textFill>
        </w:rPr>
        <w:t xml:space="preserve">Exposed to </w:t>
      </w:r>
      <w:r>
        <w:rPr>
          <w:rFonts w:hint="eastAsia" w:ascii="Times New Roman" w:hAnsi="Times New Roman" w:cs="Times New Roman"/>
          <w:color w:val="000000" w:themeColor="text1"/>
          <w:kern w:val="0"/>
          <w:sz w:val="22"/>
          <w:szCs w:val="22"/>
          <w14:textFill>
            <w14:solidFill>
              <w14:schemeClr w14:val="tx1"/>
            </w14:solidFill>
          </w14:textFill>
        </w:rPr>
        <w:t>BuP</w:t>
      </w:r>
      <w:r>
        <w:rPr>
          <w:rFonts w:ascii="Times New Roman" w:hAnsi="Times New Roman" w:cs="Times New Roman"/>
          <w:color w:val="000000" w:themeColor="text1"/>
          <w:kern w:val="0"/>
          <w:sz w:val="22"/>
          <w:szCs w:val="22"/>
          <w14:textFill>
            <w14:solidFill>
              <w14:schemeClr w14:val="tx1"/>
            </w14:solidFill>
          </w14:textFill>
        </w:rPr>
        <w:t xml:space="preserve"> could increase LPS level in serum </w:t>
      </w:r>
      <w:r>
        <w:rPr>
          <w:rFonts w:ascii="Times New Roman" w:hAnsi="Times New Roman" w:cs="Times New Roman"/>
          <w:color w:val="000000" w:themeColor="text1"/>
          <w:sz w:val="22"/>
          <w:szCs w:val="22"/>
          <w14:textFill>
            <w14:solidFill>
              <w14:schemeClr w14:val="tx1"/>
            </w14:solidFill>
          </w14:textFill>
        </w:rPr>
        <w:t>(</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&lt;0.05</w:t>
      </w:r>
      <w:r>
        <w:rPr>
          <w:rFonts w:ascii="Times New Roman" w:hAnsi="Times New Roman" w:cs="Times New Roman"/>
          <w:i/>
          <w:color w:val="000000" w:themeColor="text1"/>
          <w:sz w:val="22"/>
          <w:szCs w:val="22"/>
          <w14:textFill>
            <w14:solidFill>
              <w14:schemeClr w14:val="tx1"/>
            </w14:solidFill>
          </w14:textFill>
        </w:rPr>
        <w:t>,</w:t>
      </w:r>
      <w:r>
        <w:rPr>
          <w:rFonts w:ascii="Times New Roman" w:hAnsi="Times New Roman" w:cs="Times New Roman"/>
          <w:color w:val="000000" w:themeColor="text1"/>
          <w:kern w:val="0"/>
          <w:sz w:val="22"/>
          <w:szCs w:val="22"/>
          <w14:textFill>
            <w14:solidFill>
              <w14:schemeClr w14:val="tx1"/>
            </w14:solidFill>
          </w14:textFill>
        </w:rPr>
        <w:t xml:space="preserve"> Figure S5</w:t>
      </w:r>
      <w:r>
        <w:rPr>
          <w:rFonts w:ascii="Times New Roman" w:hAnsi="Times New Roman" w:cs="Times New Roman"/>
          <w:i/>
          <w:color w:val="000000" w:themeColor="text1"/>
          <w:sz w:val="22"/>
          <w:szCs w:val="22"/>
          <w14:textFill>
            <w14:solidFill>
              <w14:schemeClr w14:val="tx1"/>
            </w14:solidFill>
          </w14:textFill>
        </w:rPr>
        <w:t>)</w:t>
      </w:r>
      <w:r>
        <w:rPr>
          <w:rFonts w:ascii="Times New Roman" w:hAnsi="Times New Roman" w:cs="Times New Roman"/>
          <w:color w:val="000000" w:themeColor="text1"/>
          <w:kern w:val="0"/>
          <w:sz w:val="22"/>
          <w:szCs w:val="22"/>
          <w14:textFill>
            <w14:solidFill>
              <w14:schemeClr w14:val="tx1"/>
            </w14:solidFill>
          </w14:textFill>
        </w:rPr>
        <w:t>.</w:t>
      </w:r>
    </w:p>
    <w:p>
      <w:pPr>
        <w:widowControl/>
        <w:spacing w:line="360" w:lineRule="auto"/>
        <w:ind w:firstLine="420"/>
        <w:jc w:val="center"/>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drawing>
          <wp:inline distT="0" distB="0" distL="0" distR="0">
            <wp:extent cx="2330450" cy="1803400"/>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330450" cy="1803400"/>
                    </a:xfrm>
                    <a:prstGeom prst="rect">
                      <a:avLst/>
                    </a:prstGeom>
                    <a:noFill/>
                    <a:ln>
                      <a:noFill/>
                    </a:ln>
                  </pic:spPr>
                </pic:pic>
              </a:graphicData>
            </a:graphic>
          </wp:inline>
        </w:drawing>
      </w:r>
    </w:p>
    <w:p>
      <w:pPr>
        <w:widowControl/>
        <w:spacing w:line="360" w:lineRule="auto"/>
        <w:ind w:firstLine="420"/>
        <w:rPr>
          <w:rFonts w:ascii="Times New Roman" w:hAnsi="Times New Roman" w:cs="Times New Roman"/>
          <w:i/>
          <w:color w:val="000000" w:themeColor="text1"/>
          <w:sz w:val="22"/>
          <w:szCs w:val="22"/>
          <w14:textFill>
            <w14:solidFill>
              <w14:schemeClr w14:val="tx1"/>
            </w14:solidFill>
          </w14:textFill>
        </w:rPr>
      </w:pPr>
      <w:r>
        <w:rPr>
          <w:rFonts w:ascii="Times New Roman" w:hAnsi="Times New Roman" w:cs="Times New Roman"/>
          <w:color w:val="000000" w:themeColor="text1"/>
          <w:sz w:val="22"/>
          <w:szCs w:val="22"/>
          <w14:textFill>
            <w14:solidFill>
              <w14:schemeClr w14:val="tx1"/>
            </w14:solidFill>
          </w14:textFill>
        </w:rPr>
        <w:t>Figure S5.</w:t>
      </w:r>
      <w:r>
        <w:rPr>
          <w:rFonts w:ascii="TimesNewRomanPSMT" w:hAnsi="TimesNewRomanPSMT"/>
          <w:sz w:val="22"/>
          <w:szCs w:val="22"/>
        </w:rPr>
        <w:t xml:space="preserve"> Serum LPS levels in different groups. A: blank control group; B: solvent control group; C: BuP 160</w:t>
      </w:r>
      <w:r>
        <w:rPr>
          <w:rFonts w:ascii="TimesNewRomanPSMT" w:hAnsi="TimesNewRomanPSMT"/>
          <w:i/>
          <w:iCs/>
          <w:sz w:val="22"/>
          <w:szCs w:val="22"/>
        </w:rPr>
        <w:t>mg/kg bw</w:t>
      </w:r>
      <w:r>
        <w:rPr>
          <w:rFonts w:ascii="TimesNewRomanPSMT" w:hAnsi="TimesNewRomanPSMT"/>
          <w:sz w:val="22"/>
          <w:szCs w:val="22"/>
        </w:rPr>
        <w:t xml:space="preserve"> group; D: BuP 160</w:t>
      </w:r>
      <w:r>
        <w:rPr>
          <w:rFonts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n=5. *compared with </w:t>
      </w:r>
      <w:r>
        <w:rPr>
          <w:rFonts w:ascii="TimesNewRomanPSMT" w:hAnsi="TimesNewRomanPSMT"/>
          <w:sz w:val="22"/>
          <w:szCs w:val="22"/>
        </w:rPr>
        <w:t>blank control group</w:t>
      </w:r>
      <w:r>
        <w:rPr>
          <w:rFonts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&lt;0.05</w:t>
      </w:r>
      <w:r>
        <w:rPr>
          <w:rFonts w:ascii="Times New Roman" w:hAnsi="Times New Roman" w:cs="Times New Roman"/>
          <w:i/>
          <w:color w:val="000000" w:themeColor="text1"/>
          <w:sz w:val="22"/>
          <w:szCs w:val="22"/>
          <w14:textFill>
            <w14:solidFill>
              <w14:schemeClr w14:val="tx1"/>
            </w14:solidFill>
          </w14:textFill>
        </w:rPr>
        <w:t>.**</w:t>
      </w:r>
      <w:r>
        <w:rPr>
          <w:rFonts w:ascii="Times New Roman" w:hAnsi="Times New Roman" w:cs="Times New Roman"/>
          <w:color w:val="000000" w:themeColor="text1"/>
          <w:sz w:val="22"/>
          <w:szCs w:val="22"/>
          <w14:textFill>
            <w14:solidFill>
              <w14:schemeClr w14:val="tx1"/>
            </w14:solidFill>
          </w14:textFill>
        </w:rPr>
        <w:t xml:space="preserve"> compared with </w:t>
      </w:r>
      <w:r>
        <w:rPr>
          <w:rFonts w:ascii="TimesNewRomanPSMT" w:hAnsi="TimesNewRomanPSMT"/>
          <w:sz w:val="22"/>
          <w:szCs w:val="22"/>
        </w:rPr>
        <w:t>blank control group</w:t>
      </w:r>
      <w:r>
        <w:rPr>
          <w:rFonts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&lt;0.01</w:t>
      </w:r>
      <w:r>
        <w:rPr>
          <w:rFonts w:ascii="Times New Roman" w:hAnsi="Times New Roman" w:cs="Times New Roman"/>
          <w:i/>
          <w:color w:val="000000" w:themeColor="text1"/>
          <w:sz w:val="22"/>
          <w:szCs w:val="22"/>
          <w14:textFill>
            <w14:solidFill>
              <w14:schemeClr w14:val="tx1"/>
            </w14:solidFill>
          </w14:textFill>
        </w:rPr>
        <w:t>.</w:t>
      </w:r>
    </w:p>
    <w:p>
      <w:pPr>
        <w:widowControl/>
        <w:spacing w:line="360" w:lineRule="auto"/>
        <w:ind w:firstLine="420"/>
        <w:rPr>
          <w:rFonts w:ascii="Times New Roman" w:hAnsi="Times New Roman" w:cs="Times New Roman"/>
          <w:color w:val="000000" w:themeColor="text1"/>
          <w:kern w:val="0"/>
          <w:sz w:val="22"/>
          <w:szCs w:val="22"/>
          <w14:textFill>
            <w14:solidFill>
              <w14:schemeClr w14:val="tx1"/>
            </w14:solidFill>
          </w14:textFill>
        </w:rPr>
      </w:pPr>
    </w:p>
    <w:p>
      <w:pPr>
        <w:widowControl/>
        <w:spacing w:line="360" w:lineRule="auto"/>
        <w:rPr>
          <w:rFonts w:ascii="Times New Roman" w:hAnsi="Times New Roman" w:cs="Times New Roman"/>
          <w:color w:val="000000" w:themeColor="text1"/>
          <w:kern w:val="0"/>
          <w:sz w:val="22"/>
          <w:szCs w:val="22"/>
          <w14:textFill>
            <w14:solidFill>
              <w14:schemeClr w14:val="tx1"/>
            </w14:solidFill>
          </w14:textFill>
        </w:rPr>
      </w:pPr>
      <w:r>
        <w:rPr>
          <w:rFonts w:ascii="Times New Roman" w:hAnsi="Times New Roman" w:cs="Times New Roman"/>
          <w:b/>
          <w:color w:val="000000" w:themeColor="text1"/>
          <w:sz w:val="22"/>
          <w:szCs w:val="22"/>
          <w14:textFill>
            <w14:solidFill>
              <w14:schemeClr w14:val="tx1"/>
            </w14:solidFill>
          </w14:textFill>
        </w:rPr>
        <w:t>3. The effect of BuP on serum inflammatory cytokines</w:t>
      </w:r>
    </w:p>
    <w:p>
      <w:pPr>
        <w:spacing w:line="360" w:lineRule="auto"/>
        <w:ind w:firstLine="420"/>
        <w:rPr>
          <w:rFonts w:ascii="Times New Roman" w:hAnsi="Times New Roman" w:cs="Times New Roman"/>
          <w:color w:val="000000" w:themeColor="text1"/>
          <w:kern w:val="0"/>
          <w:sz w:val="22"/>
          <w:szCs w:val="22"/>
          <w14:textFill>
            <w14:solidFill>
              <w14:schemeClr w14:val="tx1"/>
            </w14:solidFill>
          </w14:textFill>
        </w:rPr>
      </w:pPr>
      <w:r>
        <w:rPr>
          <w:rFonts w:ascii="Times New Roman" w:hAnsi="Times New Roman" w:cs="Times New Roman"/>
          <w:color w:val="000000" w:themeColor="text1"/>
          <w:kern w:val="0"/>
          <w:sz w:val="22"/>
          <w:szCs w:val="22"/>
          <w14:textFill>
            <w14:solidFill>
              <w14:schemeClr w14:val="tx1"/>
            </w14:solidFill>
          </w14:textFill>
        </w:rPr>
        <w:t>BuP could increase serum TNF-α levels</w:t>
      </w:r>
      <w:r>
        <w:rPr>
          <w:rFonts w:ascii="Times New Roman" w:hAnsi="Times New Roman" w:cs="Times New Roman"/>
          <w:color w:val="000000" w:themeColor="text1"/>
          <w:sz w:val="22"/>
          <w:szCs w:val="22"/>
          <w14:textFill>
            <w14:solidFill>
              <w14:schemeClr w14:val="tx1"/>
            </w14:solidFill>
          </w14:textFill>
        </w:rPr>
        <w:t>(</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&lt;0.05</w:t>
      </w:r>
      <w:r>
        <w:rPr>
          <w:rFonts w:ascii="Times New Roman" w:hAnsi="Times New Roman" w:cs="Times New Roman"/>
          <w:i/>
          <w:color w:val="000000" w:themeColor="text1"/>
          <w:sz w:val="22"/>
          <w:szCs w:val="22"/>
          <w14:textFill>
            <w14:solidFill>
              <w14:schemeClr w14:val="tx1"/>
            </w14:solidFill>
          </w14:textFill>
        </w:rPr>
        <w:t>)</w:t>
      </w:r>
      <w:r>
        <w:rPr>
          <w:rFonts w:ascii="Times New Roman" w:hAnsi="Times New Roman" w:cs="Times New Roman"/>
          <w:color w:val="000000" w:themeColor="text1"/>
          <w:kern w:val="0"/>
          <w:sz w:val="22"/>
          <w:szCs w:val="22"/>
          <w14:textFill>
            <w14:solidFill>
              <w14:schemeClr w14:val="tx1"/>
            </w14:solidFill>
          </w14:textFill>
        </w:rPr>
        <w:t xml:space="preserve">. The levels of IL-6 </w:t>
      </w:r>
      <w:r>
        <w:rPr>
          <w:rFonts w:hint="eastAsia" w:ascii="Times New Roman" w:hAnsi="Times New Roman" w:cs="Times New Roman"/>
          <w:color w:val="000000" w:themeColor="text1"/>
          <w:kern w:val="0"/>
          <w:sz w:val="22"/>
          <w:szCs w:val="22"/>
          <w14:textFill>
            <w14:solidFill>
              <w14:schemeClr w14:val="tx1"/>
            </w14:solidFill>
          </w14:textFill>
        </w:rPr>
        <w:t>a</w:t>
      </w:r>
      <w:r>
        <w:rPr>
          <w:rFonts w:ascii="Times New Roman" w:hAnsi="Times New Roman" w:cs="Times New Roman"/>
          <w:color w:val="000000" w:themeColor="text1"/>
          <w:kern w:val="0"/>
          <w:sz w:val="22"/>
          <w:szCs w:val="22"/>
          <w14:textFill>
            <w14:solidFill>
              <w14:schemeClr w14:val="tx1"/>
            </w14:solidFill>
          </w14:textFill>
        </w:rPr>
        <w:t xml:space="preserve">nd IL-10 in </w:t>
      </w:r>
      <w:r>
        <w:rPr>
          <w:rFonts w:ascii="TimesNewRomanPSMT" w:hAnsi="TimesNewRomanPSMT"/>
          <w:sz w:val="22"/>
          <w:szCs w:val="22"/>
        </w:rPr>
        <w:t>BuP 160</w:t>
      </w:r>
      <w:r>
        <w:rPr>
          <w:rFonts w:ascii="TimesNewRomanPSMT" w:hAnsi="TimesNewRomanPSMT"/>
          <w:i/>
          <w:iCs/>
          <w:sz w:val="22"/>
          <w:szCs w:val="22"/>
        </w:rPr>
        <w:t>mg/kg bw</w:t>
      </w:r>
      <w:r>
        <w:rPr>
          <w:rFonts w:ascii="TimesNewRomanPSMT" w:hAnsi="TimesNewRomanPSMT"/>
          <w:sz w:val="22"/>
          <w:szCs w:val="22"/>
        </w:rPr>
        <w:t xml:space="preserve"> group were not different compared with the blank control group(Figure S6).</w:t>
      </w:r>
    </w:p>
    <w:p>
      <w:pPr>
        <w:spacing w:line="360" w:lineRule="auto"/>
        <w:ind w:firstLine="420"/>
        <w:jc w:val="center"/>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drawing>
          <wp:inline distT="0" distB="0" distL="0" distR="0">
            <wp:extent cx="4432300" cy="1905000"/>
            <wp:effectExtent l="0" t="0" r="635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432300" cy="1905000"/>
                    </a:xfrm>
                    <a:prstGeom prst="rect">
                      <a:avLst/>
                    </a:prstGeom>
                    <a:noFill/>
                    <a:ln>
                      <a:noFill/>
                    </a:ln>
                  </pic:spPr>
                </pic:pic>
              </a:graphicData>
            </a:graphic>
          </wp:inline>
        </w:drawing>
      </w:r>
    </w:p>
    <w:p>
      <w:pPr>
        <w:spacing w:line="360" w:lineRule="auto"/>
        <w:ind w:firstLine="420"/>
        <w:rPr>
          <w:rFonts w:ascii="Times New Roman" w:hAnsi="Times New Roman" w:cs="Times New Roman"/>
          <w:i/>
          <w:color w:val="000000" w:themeColor="text1"/>
          <w:sz w:val="22"/>
          <w:szCs w:val="22"/>
          <w14:textFill>
            <w14:solidFill>
              <w14:schemeClr w14:val="tx1"/>
            </w14:solidFill>
          </w14:textFill>
        </w:rPr>
      </w:pPr>
      <w:r>
        <w:rPr>
          <w:rFonts w:hint="eastAsia" w:ascii="Times New Roman" w:hAnsi="Times New Roman" w:cs="Times New Roman"/>
          <w:color w:val="000000" w:themeColor="text1"/>
          <w:kern w:val="0"/>
          <w:sz w:val="22"/>
          <w:szCs w:val="22"/>
          <w14:textFill>
            <w14:solidFill>
              <w14:schemeClr w14:val="tx1"/>
            </w14:solidFill>
          </w14:textFill>
        </w:rPr>
        <w:t>F</w:t>
      </w:r>
      <w:r>
        <w:rPr>
          <w:rFonts w:ascii="Times New Roman" w:hAnsi="Times New Roman" w:cs="Times New Roman"/>
          <w:color w:val="000000" w:themeColor="text1"/>
          <w:kern w:val="0"/>
          <w:sz w:val="22"/>
          <w:szCs w:val="22"/>
          <w14:textFill>
            <w14:solidFill>
              <w14:schemeClr w14:val="tx1"/>
            </w14:solidFill>
          </w14:textFill>
        </w:rPr>
        <w:t xml:space="preserve">igure S6. The levels of inflammatory cytokines in different groups. </w:t>
      </w:r>
      <w:r>
        <w:rPr>
          <w:rFonts w:ascii="TimesNewRomanPSMT" w:hAnsi="TimesNewRomanPSMT"/>
          <w:sz w:val="22"/>
          <w:szCs w:val="22"/>
        </w:rPr>
        <w:t xml:space="preserve">A: blank control group; B: solvent control group; C: </w:t>
      </w:r>
      <w:bookmarkStart w:id="2" w:name="OLE_LINK1"/>
      <w:r>
        <w:rPr>
          <w:rFonts w:ascii="TimesNewRomanPSMT" w:hAnsi="TimesNewRomanPSMT"/>
          <w:sz w:val="22"/>
          <w:szCs w:val="22"/>
        </w:rPr>
        <w:t>BuP 160</w:t>
      </w:r>
      <w:r>
        <w:rPr>
          <w:rFonts w:ascii="TimesNewRomanPSMT" w:hAnsi="TimesNewRomanPSMT"/>
          <w:i/>
          <w:iCs/>
          <w:sz w:val="22"/>
          <w:szCs w:val="22"/>
        </w:rPr>
        <w:t>mg/kg bw</w:t>
      </w:r>
      <w:r>
        <w:rPr>
          <w:rFonts w:ascii="TimesNewRomanPSMT" w:hAnsi="TimesNewRomanPSMT"/>
          <w:sz w:val="22"/>
          <w:szCs w:val="22"/>
        </w:rPr>
        <w:t xml:space="preserve"> group</w:t>
      </w:r>
      <w:bookmarkEnd w:id="2"/>
      <w:r>
        <w:rPr>
          <w:rFonts w:ascii="TimesNewRomanPSMT" w:hAnsi="TimesNewRomanPSMT"/>
          <w:sz w:val="22"/>
          <w:szCs w:val="22"/>
        </w:rPr>
        <w:t>; D: BuP 160</w:t>
      </w:r>
      <w:r>
        <w:rPr>
          <w:rFonts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n=5. *compared with </w:t>
      </w:r>
      <w:r>
        <w:rPr>
          <w:rFonts w:ascii="TimesNewRomanPSMT" w:hAnsi="TimesNewRomanPSMT"/>
          <w:sz w:val="22"/>
          <w:szCs w:val="22"/>
        </w:rPr>
        <w:t>blank control group</w:t>
      </w:r>
      <w:r>
        <w:rPr>
          <w:rFonts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&lt;0.05</w:t>
      </w:r>
      <w:r>
        <w:rPr>
          <w:rFonts w:ascii="Times New Roman" w:hAnsi="Times New Roman" w:cs="Times New Roman"/>
          <w:i/>
          <w:color w:val="000000" w:themeColor="text1"/>
          <w:sz w:val="22"/>
          <w:szCs w:val="22"/>
          <w14:textFill>
            <w14:solidFill>
              <w14:schemeClr w14:val="tx1"/>
            </w14:solidFill>
          </w14:textFill>
        </w:rPr>
        <w:t>.**</w:t>
      </w:r>
      <w:r>
        <w:rPr>
          <w:rFonts w:ascii="Times New Roman" w:hAnsi="Times New Roman" w:cs="Times New Roman"/>
          <w:color w:val="000000" w:themeColor="text1"/>
          <w:sz w:val="22"/>
          <w:szCs w:val="22"/>
          <w14:textFill>
            <w14:solidFill>
              <w14:schemeClr w14:val="tx1"/>
            </w14:solidFill>
          </w14:textFill>
        </w:rPr>
        <w:t xml:space="preserve"> compared with </w:t>
      </w:r>
      <w:r>
        <w:rPr>
          <w:rFonts w:ascii="TimesNewRomanPSMT" w:hAnsi="TimesNewRomanPSMT"/>
          <w:sz w:val="22"/>
          <w:szCs w:val="22"/>
        </w:rPr>
        <w:t>blank control group</w:t>
      </w:r>
      <w:r>
        <w:rPr>
          <w:rFonts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&lt;0.01</w:t>
      </w:r>
      <w:r>
        <w:rPr>
          <w:rFonts w:ascii="Times New Roman" w:hAnsi="Times New Roman" w:cs="Times New Roman"/>
          <w:i/>
          <w:color w:val="000000" w:themeColor="text1"/>
          <w:sz w:val="22"/>
          <w:szCs w:val="22"/>
          <w14:textFill>
            <w14:solidFill>
              <w14:schemeClr w14:val="tx1"/>
            </w14:solidFill>
          </w14:textFill>
        </w:rPr>
        <w:t>.</w:t>
      </w:r>
    </w:p>
    <w:p>
      <w:pPr>
        <w:spacing w:line="360" w:lineRule="auto"/>
        <w:ind w:firstLine="420"/>
        <w:rPr>
          <w:rFonts w:ascii="Times New Roman" w:hAnsi="Times New Roman" w:cs="Times New Roman"/>
          <w:color w:val="000000" w:themeColor="text1"/>
          <w:kern w:val="0"/>
          <w:sz w:val="24"/>
          <w14:textFill>
            <w14:solidFill>
              <w14:schemeClr w14:val="tx1"/>
            </w14:solidFill>
          </w14:textFill>
        </w:rPr>
      </w:pPr>
    </w:p>
    <w:p>
      <w:pPr>
        <w:spacing w:line="360" w:lineRule="auto"/>
        <w:jc w:val="left"/>
        <w:rPr>
          <w:rFonts w:ascii="TimesNewRomanPSMT" w:hAnsi="TimesNewRomanPSMT"/>
          <w:b/>
          <w:bCs/>
          <w:sz w:val="22"/>
        </w:rPr>
      </w:pPr>
      <w:r>
        <w:rPr>
          <w:rFonts w:hint="eastAsia" w:ascii="TimesNewRomanPSMT" w:hAnsi="TimesNewRomanPSMT"/>
          <w:b/>
          <w:bCs/>
          <w:sz w:val="22"/>
        </w:rPr>
        <w:t>4.</w:t>
      </w:r>
      <w:r>
        <w:rPr>
          <w:rFonts w:ascii="TimesNewRomanPSMT" w:hAnsi="TimesNewRomanPSMT"/>
          <w:b/>
          <w:bCs/>
          <w:sz w:val="22"/>
        </w:rPr>
        <w:t xml:space="preserve"> Histological changes of </w:t>
      </w:r>
      <w:r>
        <w:rPr>
          <w:rFonts w:hint="eastAsia" w:ascii="TimesNewRomanPSMT" w:hAnsi="TimesNewRomanPSMT"/>
          <w:b/>
          <w:bCs/>
          <w:sz w:val="22"/>
        </w:rPr>
        <w:t>i</w:t>
      </w:r>
      <w:r>
        <w:rPr>
          <w:rFonts w:ascii="TimesNewRomanPSMT" w:hAnsi="TimesNewRomanPSMT"/>
          <w:b/>
          <w:bCs/>
          <w:sz w:val="22"/>
        </w:rPr>
        <w:t>leum</w:t>
      </w:r>
    </w:p>
    <w:p>
      <w:r>
        <w:rPr>
          <w:rFonts w:hint="eastAsia"/>
        </w:rPr>
        <w:drawing>
          <wp:inline distT="0" distB="0" distL="114300" distR="114300">
            <wp:extent cx="5278120" cy="1363980"/>
            <wp:effectExtent l="0" t="0" r="17780" b="7620"/>
            <wp:docPr id="8" name="图片 8" descr="回肠病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回肠病理"/>
                    <pic:cNvPicPr>
                      <a:picLocks noChangeAspect="1"/>
                    </pic:cNvPicPr>
                  </pic:nvPicPr>
                  <pic:blipFill>
                    <a:blip r:embed="rId11"/>
                    <a:stretch>
                      <a:fillRect/>
                    </a:stretch>
                  </pic:blipFill>
                  <pic:spPr>
                    <a:xfrm>
                      <a:off x="0" y="0"/>
                      <a:ext cx="5278120" cy="1363980"/>
                    </a:xfrm>
                    <a:prstGeom prst="rect">
                      <a:avLst/>
                    </a:prstGeom>
                  </pic:spPr>
                </pic:pic>
              </a:graphicData>
            </a:graphic>
          </wp:inline>
        </w:drawing>
      </w:r>
    </w:p>
    <w:p>
      <w:pPr>
        <w:spacing w:line="360" w:lineRule="auto"/>
        <w:rPr>
          <w:rFonts w:ascii="Times New Roman" w:hAnsi="Times New Roman" w:cs="Times New Roman"/>
          <w:color w:val="000000" w:themeColor="text1"/>
          <w:kern w:val="0"/>
          <w:sz w:val="22"/>
          <w:szCs w:val="22"/>
          <w14:textFill>
            <w14:solidFill>
              <w14:schemeClr w14:val="tx1"/>
            </w14:solidFill>
          </w14:textFill>
        </w:rPr>
      </w:pPr>
    </w:p>
    <w:p>
      <w:pPr>
        <w:spacing w:line="360" w:lineRule="auto"/>
        <w:rPr>
          <w:rFonts w:ascii="Times New Roman" w:hAnsi="Times New Roman" w:cs="Times New Roman"/>
          <w:color w:val="000000" w:themeColor="text1"/>
          <w:sz w:val="22"/>
          <w:szCs w:val="22"/>
          <w14:textFill>
            <w14:solidFill>
              <w14:schemeClr w14:val="tx1"/>
            </w14:solidFill>
          </w14:textFill>
        </w:rPr>
      </w:pPr>
      <w:r>
        <w:rPr>
          <w:rFonts w:hint="eastAsia" w:ascii="Times New Roman" w:hAnsi="Times New Roman" w:cs="Times New Roman"/>
          <w:color w:val="000000" w:themeColor="text1"/>
          <w:kern w:val="0"/>
          <w:sz w:val="22"/>
          <w:szCs w:val="22"/>
          <w14:textFill>
            <w14:solidFill>
              <w14:schemeClr w14:val="tx1"/>
            </w14:solidFill>
          </w14:textFill>
        </w:rPr>
        <w:t>F</w:t>
      </w:r>
      <w:r>
        <w:rPr>
          <w:rFonts w:ascii="Times New Roman" w:hAnsi="Times New Roman" w:cs="Times New Roman"/>
          <w:color w:val="000000" w:themeColor="text1"/>
          <w:kern w:val="0"/>
          <w:sz w:val="22"/>
          <w:szCs w:val="22"/>
          <w14:textFill>
            <w14:solidFill>
              <w14:schemeClr w14:val="tx1"/>
            </w14:solidFill>
          </w14:textFill>
        </w:rPr>
        <w:t>igure S</w:t>
      </w:r>
      <w:r>
        <w:rPr>
          <w:rFonts w:hint="eastAsia" w:ascii="Times New Roman" w:hAnsi="Times New Roman" w:cs="Times New Roman"/>
          <w:color w:val="000000" w:themeColor="text1"/>
          <w:kern w:val="0"/>
          <w:sz w:val="22"/>
          <w:szCs w:val="22"/>
          <w14:textFill>
            <w14:solidFill>
              <w14:schemeClr w14:val="tx1"/>
            </w14:solidFill>
          </w14:textFill>
        </w:rPr>
        <w:t>7</w:t>
      </w:r>
      <w:r>
        <w:rPr>
          <w:rFonts w:ascii="Times New Roman" w:hAnsi="Times New Roman" w:cs="Times New Roman"/>
          <w:color w:val="000000" w:themeColor="text1"/>
          <w:kern w:val="0"/>
          <w:sz w:val="22"/>
          <w:szCs w:val="22"/>
          <w14:textFill>
            <w14:solidFill>
              <w14:schemeClr w14:val="tx1"/>
            </w14:solidFill>
          </w14:textFill>
        </w:rPr>
        <w:t xml:space="preserve">. </w:t>
      </w:r>
      <w:r>
        <w:rPr>
          <w:rFonts w:hint="eastAsia" w:ascii="Times New Roman" w:hAnsi="Times New Roman" w:cs="Times New Roman"/>
          <w:color w:val="000000" w:themeColor="text1"/>
          <w:kern w:val="0"/>
          <w:sz w:val="22"/>
          <w:szCs w:val="22"/>
          <w14:textFill>
            <w14:solidFill>
              <w14:schemeClr w14:val="tx1"/>
            </w14:solidFill>
          </w14:textFill>
        </w:rPr>
        <w:t>Histopathological changes of ileum in different group(</w:t>
      </w:r>
      <w:r>
        <w:rPr>
          <w:rFonts w:ascii="Times New Roman" w:hAnsi="Times New Roman" w:cs="Times New Roman"/>
          <w:color w:val="000000" w:themeColor="text1"/>
          <w:sz w:val="22"/>
          <w:szCs w:val="22"/>
          <w14:textFill>
            <w14:solidFill>
              <w14:schemeClr w14:val="tx1"/>
            </w14:solidFill>
          </w14:textFill>
        </w:rPr>
        <w:t>×200</w:t>
      </w:r>
      <w:r>
        <w:rPr>
          <w:rFonts w:hint="eastAsia"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color w:val="000000" w:themeColor="text1"/>
          <w:sz w:val="22"/>
          <w:szCs w:val="22"/>
          <w14:textFill>
            <w14:solidFill>
              <w14:schemeClr w14:val="tx1"/>
            </w14:solidFill>
          </w14:textFill>
        </w:rPr>
        <w:t>bar=100μm</w:t>
      </w:r>
      <w:r>
        <w:rPr>
          <w:rFonts w:hint="eastAsia" w:ascii="Times New Roman" w:hAnsi="Times New Roman" w:cs="Times New Roman"/>
          <w:color w:val="000000" w:themeColor="text1"/>
          <w:kern w:val="0"/>
          <w:sz w:val="22"/>
          <w:szCs w:val="22"/>
          <w14:textFill>
            <w14:solidFill>
              <w14:schemeClr w14:val="tx1"/>
            </w14:solidFill>
          </w14:textFill>
        </w:rPr>
        <w:t xml:space="preserve">). In blank control group, the structures of mucosal epithelium and lamina propria were clear and intact. The structures of mucosal epithelium of rats in </w:t>
      </w:r>
      <w:r>
        <w:rPr>
          <w:rFonts w:ascii="TimesNewRomanPSMT" w:hAnsi="TimesNewRomanPSMT"/>
          <w:sz w:val="22"/>
          <w:szCs w:val="22"/>
        </w:rPr>
        <w:t>BuP 160</w:t>
      </w:r>
      <w:r>
        <w:rPr>
          <w:rFonts w:ascii="TimesNewRomanPSMT" w:hAnsi="TimesNewRomanPSMT"/>
          <w:i/>
          <w:iCs/>
          <w:sz w:val="22"/>
          <w:szCs w:val="22"/>
        </w:rPr>
        <w:t>mg/kg bw</w:t>
      </w:r>
      <w:r>
        <w:rPr>
          <w:rFonts w:ascii="TimesNewRomanPSMT" w:hAnsi="TimesNewRomanPSMT"/>
          <w:sz w:val="22"/>
          <w:szCs w:val="22"/>
        </w:rPr>
        <w:t xml:space="preserve"> group</w:t>
      </w:r>
      <w:r>
        <w:rPr>
          <w:rFonts w:hint="eastAsia" w:ascii="Times New Roman" w:hAnsi="Times New Roman" w:cs="Times New Roman"/>
          <w:color w:val="000000" w:themeColor="text1"/>
          <w:kern w:val="0"/>
          <w:sz w:val="22"/>
          <w:szCs w:val="22"/>
          <w14:textFill>
            <w14:solidFill>
              <w14:schemeClr w14:val="tx1"/>
            </w14:solidFill>
          </w14:textFill>
        </w:rPr>
        <w:t xml:space="preserve"> were incomplete, with focal infiltration of inflammatory cells (black arrow) and loose arrangement of laminar muscle fibers (yellow arrow).</w:t>
      </w:r>
      <w:r>
        <w:rPr>
          <w:rFonts w:ascii="TimesNewRomanPSMT" w:hAnsi="TimesNewRomanPSMT"/>
          <w:sz w:val="22"/>
          <w:szCs w:val="22"/>
        </w:rPr>
        <w:t>A: blank control group; C: BuP 160</w:t>
      </w:r>
      <w:r>
        <w:rPr>
          <w:rFonts w:ascii="TimesNewRomanPSMT" w:hAnsi="TimesNewRomanPSMT"/>
          <w:i/>
          <w:iCs/>
          <w:sz w:val="22"/>
          <w:szCs w:val="22"/>
        </w:rPr>
        <w:t>mg/kg bw</w:t>
      </w:r>
      <w:r>
        <w:rPr>
          <w:rFonts w:ascii="TimesNewRomanPSMT" w:hAnsi="TimesNewRomanPSMT"/>
          <w:sz w:val="22"/>
          <w:szCs w:val="22"/>
        </w:rPr>
        <w:t xml:space="preserve"> group; D: BuP 160</w:t>
      </w:r>
      <w:r>
        <w:rPr>
          <w:rFonts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w:t>
      </w: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ascii="Times New Roman" w:hAnsi="Times New Roman" w:cs="Times New Roman"/>
          <w:color w:val="000000" w:themeColor="text1"/>
          <w:szCs w:val="21"/>
          <w14:textFill>
            <w14:solidFill>
              <w14:schemeClr w14:val="tx1"/>
            </w14:solidFill>
          </w14:textFill>
        </w:rPr>
      </w:pPr>
    </w:p>
    <w:p>
      <w:pPr>
        <w:spacing w:line="360" w:lineRule="auto"/>
        <w:rPr>
          <w:rFonts w:hint="eastAsia"/>
        </w:rPr>
      </w:pPr>
    </w:p>
    <w:p>
      <w:pPr>
        <w:pStyle w:val="8"/>
        <w:numPr>
          <w:ilvl w:val="0"/>
          <w:numId w:val="2"/>
        </w:numPr>
        <w:spacing w:line="360" w:lineRule="auto"/>
        <w:ind w:firstLine="0" w:firstLineChars="0"/>
        <w:jc w:val="left"/>
        <w:rPr>
          <w:rFonts w:ascii="TimesNewRomanPSMT" w:hAnsi="TimesNewRomanPSMT"/>
          <w:b/>
          <w:bCs/>
          <w:sz w:val="22"/>
        </w:rPr>
      </w:pPr>
      <w:r>
        <w:rPr>
          <w:rFonts w:ascii="TimesNewRomanPSMT" w:hAnsi="TimesNewRomanPSMT"/>
          <w:b/>
          <w:bCs/>
          <w:sz w:val="22"/>
        </w:rPr>
        <w:t xml:space="preserve">Immunohistochemical staining for ZO-1 in </w:t>
      </w:r>
      <w:r>
        <w:rPr>
          <w:rFonts w:hint="eastAsia" w:ascii="TimesNewRomanPSMT" w:hAnsi="TimesNewRomanPSMT"/>
          <w:b/>
          <w:bCs/>
          <w:sz w:val="22"/>
        </w:rPr>
        <w:t>i</w:t>
      </w:r>
      <w:r>
        <w:rPr>
          <w:rFonts w:ascii="TimesNewRomanPSMT" w:hAnsi="TimesNewRomanPSMT"/>
          <w:b/>
          <w:bCs/>
          <w:sz w:val="22"/>
        </w:rPr>
        <w:t>leum</w:t>
      </w:r>
    </w:p>
    <w:p>
      <w:pPr>
        <w:pStyle w:val="8"/>
        <w:spacing w:line="360" w:lineRule="auto"/>
        <w:ind w:firstLine="0" w:firstLineChars="0"/>
        <w:jc w:val="left"/>
        <w:rPr>
          <w:rFonts w:ascii="TimesNewRomanPSMT" w:hAnsi="TimesNewRomanPSMT"/>
          <w:b/>
          <w:bCs/>
          <w:sz w:val="22"/>
        </w:rPr>
      </w:pPr>
      <w:r>
        <w:rPr>
          <w:rFonts w:hint="eastAsia" w:ascii="TimesNewRomanPSMT" w:hAnsi="TimesNewRomanPSMT"/>
          <w:b/>
          <w:bCs/>
          <w:sz w:val="22"/>
        </w:rPr>
        <w:drawing>
          <wp:inline distT="0" distB="0" distL="114300" distR="114300">
            <wp:extent cx="5273040" cy="5064125"/>
            <wp:effectExtent l="0" t="0" r="3810" b="3175"/>
            <wp:docPr id="9" name="图片 9" descr="组化结果Z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组化结果ZO-1"/>
                    <pic:cNvPicPr>
                      <a:picLocks noChangeAspect="1"/>
                    </pic:cNvPicPr>
                  </pic:nvPicPr>
                  <pic:blipFill>
                    <a:blip r:embed="rId12"/>
                    <a:stretch>
                      <a:fillRect/>
                    </a:stretch>
                  </pic:blipFill>
                  <pic:spPr>
                    <a:xfrm>
                      <a:off x="0" y="0"/>
                      <a:ext cx="5273040" cy="5064125"/>
                    </a:xfrm>
                    <a:prstGeom prst="rect">
                      <a:avLst/>
                    </a:prstGeom>
                  </pic:spPr>
                </pic:pic>
              </a:graphicData>
            </a:graphic>
          </wp:inline>
        </w:drawing>
      </w:r>
    </w:p>
    <w:p>
      <w:pPr>
        <w:pStyle w:val="8"/>
        <w:spacing w:line="360" w:lineRule="auto"/>
        <w:ind w:firstLine="0" w:firstLineChars="0"/>
        <w:rPr>
          <w:rFonts w:ascii="Times New Roman" w:hAnsi="Times New Roman" w:cs="Times New Roman"/>
          <w:color w:val="000000" w:themeColor="text1"/>
          <w:kern w:val="0"/>
          <w:sz w:val="24"/>
          <w14:textFill>
            <w14:solidFill>
              <w14:schemeClr w14:val="tx1"/>
            </w14:solidFill>
          </w14:textFill>
        </w:rPr>
      </w:pPr>
    </w:p>
    <w:p>
      <w:pPr>
        <w:pStyle w:val="8"/>
        <w:spacing w:line="360" w:lineRule="auto"/>
        <w:ind w:firstLine="0" w:firstLineChars="0"/>
        <w:rPr>
          <w:rFonts w:ascii="TimesNewRomanPSMT" w:hAnsi="TimesNewRomanPSMT"/>
          <w:sz w:val="22"/>
          <w:szCs w:val="22"/>
        </w:rPr>
      </w:pPr>
      <w:r>
        <w:rPr>
          <w:rFonts w:hint="eastAsia" w:ascii="Times New Roman" w:hAnsi="Times New Roman" w:cs="Times New Roman"/>
          <w:color w:val="000000" w:themeColor="text1"/>
          <w:kern w:val="0"/>
          <w:sz w:val="22"/>
          <w:szCs w:val="22"/>
          <w14:textFill>
            <w14:solidFill>
              <w14:schemeClr w14:val="tx1"/>
            </w14:solidFill>
          </w14:textFill>
        </w:rPr>
        <w:t>F</w:t>
      </w:r>
      <w:r>
        <w:rPr>
          <w:rFonts w:ascii="Times New Roman" w:hAnsi="Times New Roman" w:cs="Times New Roman"/>
          <w:color w:val="000000" w:themeColor="text1"/>
          <w:kern w:val="0"/>
          <w:sz w:val="22"/>
          <w:szCs w:val="22"/>
          <w14:textFill>
            <w14:solidFill>
              <w14:schemeClr w14:val="tx1"/>
            </w14:solidFill>
          </w14:textFill>
        </w:rPr>
        <w:t>igure S</w:t>
      </w:r>
      <w:r>
        <w:rPr>
          <w:rFonts w:hint="eastAsia" w:ascii="Times New Roman" w:hAnsi="Times New Roman" w:cs="Times New Roman"/>
          <w:color w:val="000000" w:themeColor="text1"/>
          <w:kern w:val="0"/>
          <w:sz w:val="22"/>
          <w:szCs w:val="22"/>
          <w14:textFill>
            <w14:solidFill>
              <w14:schemeClr w14:val="tx1"/>
            </w14:solidFill>
          </w14:textFill>
        </w:rPr>
        <w:t>8</w:t>
      </w:r>
      <w:r>
        <w:rPr>
          <w:rFonts w:ascii="Times New Roman" w:hAnsi="Times New Roman" w:cs="Times New Roman"/>
          <w:color w:val="000000" w:themeColor="text1"/>
          <w:kern w:val="0"/>
          <w:sz w:val="22"/>
          <w:szCs w:val="22"/>
          <w14:textFill>
            <w14:solidFill>
              <w14:schemeClr w14:val="tx1"/>
            </w14:solidFill>
          </w14:textFill>
        </w:rPr>
        <w:t xml:space="preserve">. </w:t>
      </w:r>
      <w:r>
        <w:rPr>
          <w:rFonts w:hint="eastAsia" w:ascii="Times New Roman" w:hAnsi="Times New Roman" w:cs="Times New Roman"/>
          <w:color w:val="000000" w:themeColor="text1"/>
          <w:kern w:val="0"/>
          <w:sz w:val="22"/>
          <w:szCs w:val="22"/>
          <w14:textFill>
            <w14:solidFill>
              <w14:schemeClr w14:val="tx1"/>
            </w14:solidFill>
          </w14:textFill>
        </w:rPr>
        <w:t xml:space="preserve">Immunohistochemical staining for ZO-1 in ileum of rats in different group. The positive immunohistochemical expression of ZO-1 in ileum of rats in </w:t>
      </w:r>
      <w:r>
        <w:rPr>
          <w:rFonts w:ascii="TimesNewRomanPSMT" w:hAnsi="TimesNewRomanPSMT"/>
          <w:sz w:val="22"/>
          <w:szCs w:val="22"/>
        </w:rPr>
        <w:t>BuP 160</w:t>
      </w:r>
      <w:r>
        <w:rPr>
          <w:rFonts w:ascii="TimesNewRomanPSMT" w:hAnsi="TimesNewRomanPSMT"/>
          <w:i/>
          <w:iCs/>
          <w:sz w:val="22"/>
          <w:szCs w:val="22"/>
        </w:rPr>
        <w:t>mg/kg bw</w:t>
      </w:r>
      <w:r>
        <w:rPr>
          <w:rFonts w:ascii="TimesNewRomanPSMT" w:hAnsi="TimesNewRomanPSMT"/>
          <w:sz w:val="22"/>
          <w:szCs w:val="22"/>
        </w:rPr>
        <w:t xml:space="preserve"> group</w:t>
      </w:r>
      <w:r>
        <w:rPr>
          <w:rFonts w:hint="eastAsia" w:ascii="TimesNewRomanPSMT" w:hAnsi="TimesNewRomanPSMT"/>
          <w:sz w:val="22"/>
          <w:szCs w:val="22"/>
        </w:rPr>
        <w:t xml:space="preserve"> was significantly weaker than that of </w:t>
      </w:r>
      <w:r>
        <w:rPr>
          <w:rFonts w:ascii="TimesNewRomanPSMT" w:hAnsi="TimesNewRomanPSMT"/>
          <w:sz w:val="22"/>
          <w:szCs w:val="22"/>
        </w:rPr>
        <w:t>blank control group</w:t>
      </w:r>
      <w:r>
        <w:rPr>
          <w:rFonts w:hint="eastAsia" w:ascii="TimesNewRomanPSMT" w:hAnsi="TimesNewRomanPSMT"/>
          <w:sz w:val="22"/>
          <w:szCs w:val="22"/>
        </w:rPr>
        <w:t xml:space="preserve">. </w:t>
      </w:r>
      <w:r>
        <w:rPr>
          <w:rFonts w:ascii="TimesNewRomanPSMT" w:hAnsi="TimesNewRomanPSMT"/>
          <w:sz w:val="22"/>
          <w:szCs w:val="22"/>
        </w:rPr>
        <w:t>A</w:t>
      </w:r>
      <w:r>
        <w:rPr>
          <w:rFonts w:hint="eastAsia" w:ascii="TimesNewRomanPSMT" w:hAnsi="TimesNewRomanPSMT"/>
          <w:sz w:val="22"/>
          <w:szCs w:val="22"/>
        </w:rPr>
        <w:t xml:space="preserve"> and D</w:t>
      </w:r>
      <w:r>
        <w:rPr>
          <w:rFonts w:ascii="TimesNewRomanPSMT" w:hAnsi="TimesNewRomanPSMT"/>
          <w:sz w:val="22"/>
          <w:szCs w:val="22"/>
        </w:rPr>
        <w:t xml:space="preserve">: blank control group; </w:t>
      </w:r>
      <w:r>
        <w:rPr>
          <w:rFonts w:hint="eastAsia" w:ascii="TimesNewRomanPSMT" w:hAnsi="TimesNewRomanPSMT"/>
          <w:sz w:val="22"/>
          <w:szCs w:val="22"/>
        </w:rPr>
        <w:t>B and E</w:t>
      </w:r>
      <w:r>
        <w:rPr>
          <w:rFonts w:ascii="TimesNewRomanPSMT" w:hAnsi="TimesNewRomanPSMT"/>
          <w:sz w:val="22"/>
          <w:szCs w:val="22"/>
        </w:rPr>
        <w:t>: BuP 160</w:t>
      </w:r>
      <w:r>
        <w:rPr>
          <w:rFonts w:ascii="TimesNewRomanPSMT" w:hAnsi="TimesNewRomanPSMT"/>
          <w:i/>
          <w:iCs/>
          <w:sz w:val="22"/>
          <w:szCs w:val="22"/>
        </w:rPr>
        <w:t>mg/kg bw</w:t>
      </w:r>
      <w:r>
        <w:rPr>
          <w:rFonts w:ascii="TimesNewRomanPSMT" w:hAnsi="TimesNewRomanPSMT"/>
          <w:sz w:val="22"/>
          <w:szCs w:val="22"/>
        </w:rPr>
        <w:t xml:space="preserve"> group; </w:t>
      </w:r>
      <w:r>
        <w:rPr>
          <w:rFonts w:hint="eastAsia" w:ascii="TimesNewRomanPSMT" w:hAnsi="TimesNewRomanPSMT"/>
          <w:sz w:val="22"/>
          <w:szCs w:val="22"/>
        </w:rPr>
        <w:t>C and F</w:t>
      </w:r>
      <w:r>
        <w:rPr>
          <w:rFonts w:ascii="TimesNewRomanPSMT" w:hAnsi="TimesNewRomanPSMT"/>
          <w:sz w:val="22"/>
          <w:szCs w:val="22"/>
        </w:rPr>
        <w:t>: BuP 160</w:t>
      </w:r>
      <w:r>
        <w:rPr>
          <w:rFonts w:ascii="TimesNewRomanPSMT" w:hAnsi="TimesNewRomanPSMT"/>
          <w:i/>
          <w:iCs/>
          <w:sz w:val="22"/>
          <w:szCs w:val="22"/>
        </w:rPr>
        <w:t>mg/kg bw</w:t>
      </w:r>
      <w:r>
        <w:rPr>
          <w:rFonts w:ascii="TimesNewRomanPSMT" w:hAnsi="TimesNewRomanPSMT"/>
          <w:sz w:val="22"/>
          <w:szCs w:val="22"/>
        </w:rPr>
        <w:t>+high-fat diet group.</w:t>
      </w:r>
    </w:p>
    <w:p>
      <w:pPr>
        <w:pStyle w:val="8"/>
        <w:spacing w:line="360" w:lineRule="auto"/>
        <w:ind w:firstLine="0" w:firstLineChars="0"/>
        <w:rPr>
          <w:rFonts w:ascii="TimesNewRomanPSMT" w:hAnsi="TimesNewRomanPSMT"/>
          <w:sz w:val="22"/>
          <w:szCs w:val="22"/>
        </w:rPr>
      </w:pPr>
    </w:p>
    <w:p>
      <w:pPr>
        <w:pStyle w:val="8"/>
        <w:spacing w:line="360" w:lineRule="auto"/>
        <w:ind w:firstLine="0" w:firstLineChars="0"/>
        <w:rPr>
          <w:rFonts w:ascii="TimesNewRomanPSMT" w:hAnsi="TimesNewRomanPSMT"/>
          <w:sz w:val="22"/>
        </w:rPr>
      </w:pPr>
    </w:p>
    <w:p>
      <w:pPr>
        <w:pStyle w:val="8"/>
        <w:spacing w:line="360" w:lineRule="auto"/>
        <w:ind w:firstLine="0" w:firstLineChars="0"/>
        <w:rPr>
          <w:rFonts w:hint="eastAsia" w:ascii="TimesNewRomanPSMT" w:hAnsi="TimesNewRomanPSMT"/>
          <w:sz w:val="22"/>
        </w:rPr>
      </w:pPr>
    </w:p>
    <w:p>
      <w:pPr>
        <w:pStyle w:val="8"/>
        <w:spacing w:line="360" w:lineRule="auto"/>
        <w:ind w:firstLine="0" w:firstLineChars="0"/>
        <w:jc w:val="center"/>
        <w:rPr>
          <w:rFonts w:ascii="TimesNewRomanPSMT" w:hAnsi="TimesNewRomanPSMT"/>
          <w:sz w:val="22"/>
        </w:rPr>
      </w:pPr>
      <w:r>
        <w:rPr>
          <w:rFonts w:hint="eastAsia" w:ascii="TimesNewRomanPSMT" w:hAnsi="TimesNewRomanPSMT"/>
          <w:sz w:val="22"/>
        </w:rPr>
        <w:drawing>
          <wp:inline distT="0" distB="0" distL="114300" distR="114300">
            <wp:extent cx="2402840" cy="1630045"/>
            <wp:effectExtent l="0" t="0" r="16510" b="8255"/>
            <wp:docPr id="10" name="图片 10" descr="组化结果ZO-1-累积光密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组化结果ZO-1-累积光密度"/>
                    <pic:cNvPicPr>
                      <a:picLocks noChangeAspect="1"/>
                    </pic:cNvPicPr>
                  </pic:nvPicPr>
                  <pic:blipFill>
                    <a:blip r:embed="rId13"/>
                    <a:stretch>
                      <a:fillRect/>
                    </a:stretch>
                  </pic:blipFill>
                  <pic:spPr>
                    <a:xfrm>
                      <a:off x="0" y="0"/>
                      <a:ext cx="2402840" cy="1630045"/>
                    </a:xfrm>
                    <a:prstGeom prst="rect">
                      <a:avLst/>
                    </a:prstGeom>
                  </pic:spPr>
                </pic:pic>
              </a:graphicData>
            </a:graphic>
          </wp:inline>
        </w:drawing>
      </w:r>
    </w:p>
    <w:p>
      <w:pPr>
        <w:spacing w:line="360" w:lineRule="auto"/>
        <w:rPr>
          <w:rFonts w:ascii="Times New Roman" w:hAnsi="Times New Roman" w:cs="Times New Roman"/>
          <w:color w:val="000000" w:themeColor="text1"/>
          <w:kern w:val="0"/>
          <w:sz w:val="22"/>
          <w:szCs w:val="22"/>
          <w14:textFill>
            <w14:solidFill>
              <w14:schemeClr w14:val="tx1"/>
            </w14:solidFill>
          </w14:textFill>
        </w:rPr>
      </w:pPr>
      <w:r>
        <w:rPr>
          <w:rFonts w:hint="eastAsia" w:ascii="Times New Roman" w:hAnsi="Times New Roman" w:cs="Times New Roman"/>
          <w:color w:val="000000" w:themeColor="text1"/>
          <w:kern w:val="0"/>
          <w:sz w:val="22"/>
          <w:szCs w:val="22"/>
          <w14:textFill>
            <w14:solidFill>
              <w14:schemeClr w14:val="tx1"/>
            </w14:solidFill>
          </w14:textFill>
        </w:rPr>
        <w:t>F</w:t>
      </w:r>
      <w:r>
        <w:rPr>
          <w:rFonts w:ascii="Times New Roman" w:hAnsi="Times New Roman" w:cs="Times New Roman"/>
          <w:color w:val="000000" w:themeColor="text1"/>
          <w:kern w:val="0"/>
          <w:sz w:val="22"/>
          <w:szCs w:val="22"/>
          <w14:textFill>
            <w14:solidFill>
              <w14:schemeClr w14:val="tx1"/>
            </w14:solidFill>
          </w14:textFill>
        </w:rPr>
        <w:t>igure S</w:t>
      </w:r>
      <w:r>
        <w:rPr>
          <w:rFonts w:hint="eastAsia" w:ascii="Times New Roman" w:hAnsi="Times New Roman" w:cs="Times New Roman"/>
          <w:color w:val="000000" w:themeColor="text1"/>
          <w:kern w:val="0"/>
          <w:sz w:val="22"/>
          <w:szCs w:val="22"/>
          <w14:textFill>
            <w14:solidFill>
              <w14:schemeClr w14:val="tx1"/>
            </w14:solidFill>
          </w14:textFill>
        </w:rPr>
        <w:t>9</w:t>
      </w:r>
      <w:r>
        <w:rPr>
          <w:rFonts w:ascii="Times New Roman" w:hAnsi="Times New Roman" w:cs="Times New Roman"/>
          <w:color w:val="000000" w:themeColor="text1"/>
          <w:kern w:val="0"/>
          <w:sz w:val="22"/>
          <w:szCs w:val="22"/>
          <w14:textFill>
            <w14:solidFill>
              <w14:schemeClr w14:val="tx1"/>
            </w14:solidFill>
          </w14:textFill>
        </w:rPr>
        <w:t>.</w:t>
      </w:r>
      <w:r>
        <w:rPr>
          <w:rFonts w:hint="eastAsia" w:ascii="Times New Roman" w:hAnsi="Times New Roman" w:cs="Times New Roman"/>
          <w:color w:val="000000" w:themeColor="text1"/>
          <w:kern w:val="0"/>
          <w:sz w:val="22"/>
          <w:szCs w:val="22"/>
          <w14:textFill>
            <w14:solidFill>
              <w14:schemeClr w14:val="tx1"/>
            </w14:solidFill>
          </w14:textFill>
        </w:rPr>
        <w:t xml:space="preserve"> Cumulative integrated optical density</w:t>
      </w:r>
      <w:r>
        <w:rPr>
          <w:rFonts w:ascii="Times New Roman" w:hAnsi="Times New Roman" w:cs="Times New Roman"/>
          <w:color w:val="000000" w:themeColor="text1"/>
          <w:kern w:val="0"/>
          <w:sz w:val="22"/>
          <w:szCs w:val="22"/>
          <w14:textFill>
            <w14:solidFill>
              <w14:schemeClr w14:val="tx1"/>
            </w14:solidFill>
          </w14:textFill>
        </w:rPr>
        <w:t xml:space="preserve"> </w:t>
      </w:r>
      <w:r>
        <w:rPr>
          <w:rFonts w:hint="eastAsia" w:ascii="Times New Roman" w:hAnsi="Times New Roman" w:cs="Times New Roman"/>
          <w:color w:val="000000" w:themeColor="text1"/>
          <w:kern w:val="0"/>
          <w:sz w:val="22"/>
          <w:szCs w:val="22"/>
          <w14:textFill>
            <w14:solidFill>
              <w14:schemeClr w14:val="tx1"/>
            </w14:solidFill>
          </w14:textFill>
        </w:rPr>
        <w:t xml:space="preserve">(IOD) of Immunohistochemical staining for ZO-1 in Ileum. </w:t>
      </w:r>
      <w:r>
        <w:rPr>
          <w:rFonts w:ascii="TimesNewRomanPSMT" w:hAnsi="TimesNewRomanPSMT"/>
          <w:sz w:val="22"/>
          <w:szCs w:val="22"/>
        </w:rPr>
        <w:t>A: blank control group; B: solvent control group; C: BuP 160</w:t>
      </w:r>
      <w:r>
        <w:rPr>
          <w:rFonts w:ascii="TimesNewRomanPSMT" w:hAnsi="TimesNewRomanPSMT"/>
          <w:i/>
          <w:iCs/>
          <w:sz w:val="22"/>
          <w:szCs w:val="22"/>
        </w:rPr>
        <w:t>mg/kg bw</w:t>
      </w:r>
      <w:r>
        <w:rPr>
          <w:rFonts w:ascii="TimesNewRomanPSMT" w:hAnsi="TimesNewRomanPSMT"/>
          <w:sz w:val="22"/>
          <w:szCs w:val="22"/>
        </w:rPr>
        <w:t xml:space="preserve"> group; D: BuP 160</w:t>
      </w:r>
      <w:r>
        <w:rPr>
          <w:rFonts w:ascii="TimesNewRomanPSMT" w:hAnsi="TimesNewRomanPSMT"/>
          <w:i/>
          <w:iCs/>
          <w:sz w:val="22"/>
          <w:szCs w:val="22"/>
        </w:rPr>
        <w:t>mg/kg bw</w:t>
      </w:r>
      <w:r>
        <w:rPr>
          <w:rFonts w:ascii="TimesNewRomanPSMT" w:hAnsi="TimesNewRomanPSMT"/>
          <w:sz w:val="22"/>
          <w:szCs w:val="22"/>
        </w:rPr>
        <w:t>+high-fat diet group.</w:t>
      </w:r>
      <w:r>
        <w:rPr>
          <w:rFonts w:ascii="Times New Roman" w:hAnsi="Times New Roman" w:cs="Times New Roman"/>
          <w:color w:val="000000" w:themeColor="text1"/>
          <w:sz w:val="22"/>
          <w:szCs w:val="22"/>
          <w14:textFill>
            <w14:solidFill>
              <w14:schemeClr w14:val="tx1"/>
            </w14:solidFill>
          </w14:textFill>
        </w:rPr>
        <w:t xml:space="preserve"> n=5. </w:t>
      </w:r>
      <w:r>
        <w:rPr>
          <w:rFonts w:ascii="Times New Roman" w:hAnsi="Times New Roman" w:cs="Times New Roman"/>
          <w:i/>
          <w:color w:val="000000" w:themeColor="text1"/>
          <w:sz w:val="22"/>
          <w:szCs w:val="22"/>
          <w14:textFill>
            <w14:solidFill>
              <w14:schemeClr w14:val="tx1"/>
            </w14:solidFill>
          </w14:textFill>
        </w:rPr>
        <w:t>**</w:t>
      </w:r>
      <w:r>
        <w:rPr>
          <w:rFonts w:ascii="Times New Roman" w:hAnsi="Times New Roman" w:cs="Times New Roman"/>
          <w:color w:val="000000" w:themeColor="text1"/>
          <w:sz w:val="22"/>
          <w:szCs w:val="22"/>
          <w14:textFill>
            <w14:solidFill>
              <w14:schemeClr w14:val="tx1"/>
            </w14:solidFill>
          </w14:textFill>
        </w:rPr>
        <w:t xml:space="preserve"> compared with </w:t>
      </w:r>
      <w:r>
        <w:rPr>
          <w:rFonts w:ascii="TimesNewRomanPSMT" w:hAnsi="TimesNewRomanPSMT"/>
          <w:sz w:val="22"/>
          <w:szCs w:val="22"/>
        </w:rPr>
        <w:t>blank control group</w:t>
      </w:r>
      <w:r>
        <w:rPr>
          <w:rFonts w:ascii="Times New Roman" w:hAnsi="Times New Roman" w:cs="Times New Roman"/>
          <w:color w:val="000000" w:themeColor="text1"/>
          <w:sz w:val="22"/>
          <w:szCs w:val="22"/>
          <w14:textFill>
            <w14:solidFill>
              <w14:schemeClr w14:val="tx1"/>
            </w14:solidFill>
          </w14:textFill>
        </w:rPr>
        <w:t xml:space="preserve">, </w:t>
      </w:r>
      <w:r>
        <w:rPr>
          <w:rFonts w:ascii="Times New Roman" w:hAnsi="Times New Roman" w:cs="Times New Roman"/>
          <w:i/>
          <w:color w:val="000000" w:themeColor="text1"/>
          <w:sz w:val="22"/>
          <w:szCs w:val="22"/>
          <w14:textFill>
            <w14:solidFill>
              <w14:schemeClr w14:val="tx1"/>
            </w14:solidFill>
          </w14:textFill>
        </w:rPr>
        <w:t>P</w:t>
      </w:r>
      <w:r>
        <w:rPr>
          <w:rFonts w:ascii="Times New Roman" w:hAnsi="Times New Roman" w:cs="Times New Roman"/>
          <w:iCs/>
          <w:color w:val="000000" w:themeColor="text1"/>
          <w:sz w:val="22"/>
          <w:szCs w:val="22"/>
          <w14:textFill>
            <w14:solidFill>
              <w14:schemeClr w14:val="tx1"/>
            </w14:solidFill>
          </w14:textFill>
        </w:rPr>
        <w:t>&lt;0.01</w:t>
      </w:r>
      <w:r>
        <w:rPr>
          <w:rFonts w:ascii="Times New Roman" w:hAnsi="Times New Roman" w:cs="Times New Roman"/>
          <w:i/>
          <w:color w:val="000000" w:themeColor="text1"/>
          <w:sz w:val="22"/>
          <w:szCs w:val="22"/>
          <w14:textFill>
            <w14:solidFill>
              <w14:schemeClr w14:val="tx1"/>
            </w14:solidFill>
          </w14:textFill>
        </w:rPr>
        <w:t>.</w:t>
      </w:r>
    </w:p>
    <w:p>
      <w:pPr>
        <w:pStyle w:val="8"/>
        <w:spacing w:line="360" w:lineRule="auto"/>
        <w:ind w:firstLine="0" w:firstLineChars="0"/>
        <w:rPr>
          <w:rFonts w:ascii="TimesNewRomanPSMT" w:hAnsi="TimesNewRomanPSMT"/>
          <w:sz w:val="22"/>
        </w:rPr>
      </w:pPr>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PSMT">
    <w:altName w:val="Times New Roman"/>
    <w:panose1 w:val="00000000000000000000"/>
    <w:charset w:val="00"/>
    <w:family w:val="swiss"/>
    <w:pitch w:val="default"/>
    <w:sig w:usb0="00000000" w:usb1="00000000" w:usb2="00000000" w:usb3="00000000" w:csb0="00000001" w:csb1="00000000"/>
  </w:font>
  <w:font w:name="Cambria Math">
    <w:panose1 w:val="02040503050406030204"/>
    <w:charset w:val="00"/>
    <w:family w:val="roman"/>
    <w:pitch w:val="default"/>
    <w:sig w:usb0="E00002FF" w:usb1="420024FF" w:usb2="00000000" w:usb3="00000000" w:csb0="2000019F" w:csb1="00000000"/>
  </w:font>
  <w:font w:name="MingLiU">
    <w:panose1 w:val="02020509000000000000"/>
    <w:charset w:val="88"/>
    <w:family w:val="modern"/>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24726D"/>
    <w:multiLevelType w:val="singleLevel"/>
    <w:tmpl w:val="C224726D"/>
    <w:lvl w:ilvl="0" w:tentative="0">
      <w:start w:val="4"/>
      <w:numFmt w:val="decimal"/>
      <w:lvlText w:val="%1."/>
      <w:lvlJc w:val="left"/>
      <w:pPr>
        <w:tabs>
          <w:tab w:val="left" w:pos="312"/>
        </w:tabs>
      </w:pPr>
    </w:lvl>
  </w:abstractNum>
  <w:abstractNum w:abstractNumId="1">
    <w:nsid w:val="0CFE44A1"/>
    <w:multiLevelType w:val="singleLevel"/>
    <w:tmpl w:val="0CFE44A1"/>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038"/>
    <w:rsid w:val="00066418"/>
    <w:rsid w:val="000A5892"/>
    <w:rsid w:val="000D7C85"/>
    <w:rsid w:val="00134FBA"/>
    <w:rsid w:val="001574BB"/>
    <w:rsid w:val="00172A27"/>
    <w:rsid w:val="00173BD6"/>
    <w:rsid w:val="00233D82"/>
    <w:rsid w:val="002963C5"/>
    <w:rsid w:val="002C56CB"/>
    <w:rsid w:val="00301322"/>
    <w:rsid w:val="003431B7"/>
    <w:rsid w:val="003D3201"/>
    <w:rsid w:val="00443656"/>
    <w:rsid w:val="00492260"/>
    <w:rsid w:val="004B2723"/>
    <w:rsid w:val="005742C8"/>
    <w:rsid w:val="006054AC"/>
    <w:rsid w:val="006B3EDD"/>
    <w:rsid w:val="006E0364"/>
    <w:rsid w:val="0073353E"/>
    <w:rsid w:val="00765182"/>
    <w:rsid w:val="00782696"/>
    <w:rsid w:val="00795002"/>
    <w:rsid w:val="007B0541"/>
    <w:rsid w:val="007C007E"/>
    <w:rsid w:val="00821B22"/>
    <w:rsid w:val="0088548B"/>
    <w:rsid w:val="008E0076"/>
    <w:rsid w:val="008E6719"/>
    <w:rsid w:val="00943F57"/>
    <w:rsid w:val="00973793"/>
    <w:rsid w:val="00A05747"/>
    <w:rsid w:val="00A06570"/>
    <w:rsid w:val="00A31BAA"/>
    <w:rsid w:val="00A44D3E"/>
    <w:rsid w:val="00A5053E"/>
    <w:rsid w:val="00AE76F6"/>
    <w:rsid w:val="00B4254B"/>
    <w:rsid w:val="00B665A7"/>
    <w:rsid w:val="00B753FA"/>
    <w:rsid w:val="00BE34B9"/>
    <w:rsid w:val="00C445F0"/>
    <w:rsid w:val="00D94F5A"/>
    <w:rsid w:val="00EA2261"/>
    <w:rsid w:val="00F45388"/>
    <w:rsid w:val="00F51E32"/>
    <w:rsid w:val="00F82128"/>
    <w:rsid w:val="00F86C6D"/>
    <w:rsid w:val="00FF15FD"/>
    <w:rsid w:val="02833847"/>
    <w:rsid w:val="02CA4DFB"/>
    <w:rsid w:val="02CC3EE6"/>
    <w:rsid w:val="03DD5470"/>
    <w:rsid w:val="05414FB0"/>
    <w:rsid w:val="05A124DE"/>
    <w:rsid w:val="05C3307B"/>
    <w:rsid w:val="06357FB1"/>
    <w:rsid w:val="06FC61E0"/>
    <w:rsid w:val="08075C0E"/>
    <w:rsid w:val="08675481"/>
    <w:rsid w:val="0D5A5CE5"/>
    <w:rsid w:val="0F042ACC"/>
    <w:rsid w:val="0F462BD4"/>
    <w:rsid w:val="10D16D1B"/>
    <w:rsid w:val="122653DB"/>
    <w:rsid w:val="127D788B"/>
    <w:rsid w:val="13986488"/>
    <w:rsid w:val="13D73651"/>
    <w:rsid w:val="142D60E2"/>
    <w:rsid w:val="143A59DA"/>
    <w:rsid w:val="14EA24AD"/>
    <w:rsid w:val="1560379B"/>
    <w:rsid w:val="15E36569"/>
    <w:rsid w:val="15E93ABD"/>
    <w:rsid w:val="1602514F"/>
    <w:rsid w:val="16364B45"/>
    <w:rsid w:val="16500166"/>
    <w:rsid w:val="16AE6CFB"/>
    <w:rsid w:val="19DB50E6"/>
    <w:rsid w:val="19E04DD8"/>
    <w:rsid w:val="1A20445A"/>
    <w:rsid w:val="1A21716E"/>
    <w:rsid w:val="1A2C2962"/>
    <w:rsid w:val="1A89321D"/>
    <w:rsid w:val="1A9064A6"/>
    <w:rsid w:val="1AA15FC6"/>
    <w:rsid w:val="1B7E6535"/>
    <w:rsid w:val="1CAA49CD"/>
    <w:rsid w:val="1CF70676"/>
    <w:rsid w:val="1D0B31B6"/>
    <w:rsid w:val="1F5D5337"/>
    <w:rsid w:val="1FD07D1D"/>
    <w:rsid w:val="210C034A"/>
    <w:rsid w:val="215E0C75"/>
    <w:rsid w:val="21CC6B67"/>
    <w:rsid w:val="21D6247C"/>
    <w:rsid w:val="221A2EAE"/>
    <w:rsid w:val="22201E0C"/>
    <w:rsid w:val="24763D9D"/>
    <w:rsid w:val="24BD09EC"/>
    <w:rsid w:val="274C7F7F"/>
    <w:rsid w:val="28036427"/>
    <w:rsid w:val="28550708"/>
    <w:rsid w:val="28C33547"/>
    <w:rsid w:val="29262A9B"/>
    <w:rsid w:val="2A2D13CF"/>
    <w:rsid w:val="2A98176A"/>
    <w:rsid w:val="2C3114EB"/>
    <w:rsid w:val="2C503806"/>
    <w:rsid w:val="2CC6567C"/>
    <w:rsid w:val="2E9C5402"/>
    <w:rsid w:val="2EB15403"/>
    <w:rsid w:val="306F3FA7"/>
    <w:rsid w:val="307B7BDE"/>
    <w:rsid w:val="328A7D5E"/>
    <w:rsid w:val="334716BA"/>
    <w:rsid w:val="34ED7587"/>
    <w:rsid w:val="37A92194"/>
    <w:rsid w:val="37E91ECB"/>
    <w:rsid w:val="38992050"/>
    <w:rsid w:val="38C815DF"/>
    <w:rsid w:val="39453FB3"/>
    <w:rsid w:val="3A1B79BC"/>
    <w:rsid w:val="3A713E9A"/>
    <w:rsid w:val="3A742E8F"/>
    <w:rsid w:val="3BA64EA1"/>
    <w:rsid w:val="3BF45C86"/>
    <w:rsid w:val="3C732BC6"/>
    <w:rsid w:val="3C7D1EA9"/>
    <w:rsid w:val="3C937BA1"/>
    <w:rsid w:val="3C983F19"/>
    <w:rsid w:val="3DF41A12"/>
    <w:rsid w:val="3EA23EBB"/>
    <w:rsid w:val="3FBB52E2"/>
    <w:rsid w:val="40031E2D"/>
    <w:rsid w:val="403A617A"/>
    <w:rsid w:val="41062C09"/>
    <w:rsid w:val="41EA5A0E"/>
    <w:rsid w:val="42171539"/>
    <w:rsid w:val="433B319F"/>
    <w:rsid w:val="44422022"/>
    <w:rsid w:val="45BC46AE"/>
    <w:rsid w:val="45BF5B46"/>
    <w:rsid w:val="4668643E"/>
    <w:rsid w:val="47BE199D"/>
    <w:rsid w:val="480268B0"/>
    <w:rsid w:val="48106B0B"/>
    <w:rsid w:val="482B58D8"/>
    <w:rsid w:val="493277E3"/>
    <w:rsid w:val="4A09033F"/>
    <w:rsid w:val="4A2D1243"/>
    <w:rsid w:val="4BF83AC4"/>
    <w:rsid w:val="4C2926B4"/>
    <w:rsid w:val="4D0C7745"/>
    <w:rsid w:val="4E635C3C"/>
    <w:rsid w:val="4E7C686E"/>
    <w:rsid w:val="4ECC1C8A"/>
    <w:rsid w:val="4F291DF6"/>
    <w:rsid w:val="4F6B651F"/>
    <w:rsid w:val="4FE265A3"/>
    <w:rsid w:val="50616B45"/>
    <w:rsid w:val="5208497C"/>
    <w:rsid w:val="52FA11C9"/>
    <w:rsid w:val="55977C09"/>
    <w:rsid w:val="570F580E"/>
    <w:rsid w:val="57D41D62"/>
    <w:rsid w:val="57E23960"/>
    <w:rsid w:val="58590156"/>
    <w:rsid w:val="5A9C31C3"/>
    <w:rsid w:val="5B222743"/>
    <w:rsid w:val="5B7E5DCB"/>
    <w:rsid w:val="5C2B1002"/>
    <w:rsid w:val="5C2B6A92"/>
    <w:rsid w:val="5C6F5AEA"/>
    <w:rsid w:val="5CAE655D"/>
    <w:rsid w:val="5CC97102"/>
    <w:rsid w:val="5CCA27D6"/>
    <w:rsid w:val="5CD333E1"/>
    <w:rsid w:val="5D227222"/>
    <w:rsid w:val="5DB763A6"/>
    <w:rsid w:val="5E58028B"/>
    <w:rsid w:val="5F0F555A"/>
    <w:rsid w:val="5F70081D"/>
    <w:rsid w:val="5FBC162D"/>
    <w:rsid w:val="62627036"/>
    <w:rsid w:val="62B67942"/>
    <w:rsid w:val="637146CD"/>
    <w:rsid w:val="63E17A18"/>
    <w:rsid w:val="64037DF7"/>
    <w:rsid w:val="644834AC"/>
    <w:rsid w:val="64D51D86"/>
    <w:rsid w:val="64E452EB"/>
    <w:rsid w:val="64EB2909"/>
    <w:rsid w:val="65B714B1"/>
    <w:rsid w:val="66935D61"/>
    <w:rsid w:val="66C1659B"/>
    <w:rsid w:val="66F64DDD"/>
    <w:rsid w:val="69034AE4"/>
    <w:rsid w:val="6992666B"/>
    <w:rsid w:val="69AD7C9D"/>
    <w:rsid w:val="6B071360"/>
    <w:rsid w:val="6B110AE1"/>
    <w:rsid w:val="6B130FE6"/>
    <w:rsid w:val="6BF25B9E"/>
    <w:rsid w:val="6CCE79A6"/>
    <w:rsid w:val="6E492366"/>
    <w:rsid w:val="6F4B2CE7"/>
    <w:rsid w:val="709F1AA5"/>
    <w:rsid w:val="710161F0"/>
    <w:rsid w:val="71A86363"/>
    <w:rsid w:val="71C964A6"/>
    <w:rsid w:val="72CD5680"/>
    <w:rsid w:val="72CE1CCA"/>
    <w:rsid w:val="730C02F0"/>
    <w:rsid w:val="73B9170F"/>
    <w:rsid w:val="74C271C3"/>
    <w:rsid w:val="74D0167F"/>
    <w:rsid w:val="754D02EB"/>
    <w:rsid w:val="756A03B0"/>
    <w:rsid w:val="75A079AD"/>
    <w:rsid w:val="760F0887"/>
    <w:rsid w:val="761A72EE"/>
    <w:rsid w:val="784C083F"/>
    <w:rsid w:val="789264A9"/>
    <w:rsid w:val="78EA47AA"/>
    <w:rsid w:val="792F738E"/>
    <w:rsid w:val="794727D0"/>
    <w:rsid w:val="799F2C1B"/>
    <w:rsid w:val="79DF5E1E"/>
    <w:rsid w:val="7A7F1C3A"/>
    <w:rsid w:val="7AD34F4B"/>
    <w:rsid w:val="7B2202E4"/>
    <w:rsid w:val="7B767997"/>
    <w:rsid w:val="7BAE6160"/>
    <w:rsid w:val="7CB17935"/>
    <w:rsid w:val="7D7336D1"/>
    <w:rsid w:val="7E4240D0"/>
    <w:rsid w:val="7F36612B"/>
    <w:rsid w:val="7F404F31"/>
    <w:rsid w:val="7FE70852"/>
    <w:rsid w:val="7FE8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59"/>
    <w:rPr>
      <w:rFonts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tiff"/><Relationship Id="rId12" Type="http://schemas.openxmlformats.org/officeDocument/2006/relationships/image" Target="media/image8.tiff"/><Relationship Id="rId11" Type="http://schemas.openxmlformats.org/officeDocument/2006/relationships/image" Target="media/image7.tiff"/><Relationship Id="rId10" Type="http://schemas.openxmlformats.org/officeDocument/2006/relationships/image" Target="media/image6.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1893</Words>
  <Characters>10796</Characters>
  <Lines>89</Lines>
  <Paragraphs>25</Paragraphs>
  <TotalTime>59</TotalTime>
  <ScaleCrop>false</ScaleCrop>
  <LinksUpToDate>false</LinksUpToDate>
  <CharactersWithSpaces>12664</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2022-03-06T02:52:00Z</dcterms:created>
  <dc:creator>李斌</dc:creator>
  <cp:lastModifiedBy>webuser</cp:lastModifiedBy>
  <cp:lastPrinted>2022-03-10T08:45:00Z</cp:lastPrinted>
  <dcterms:modified xsi:type="dcterms:W3CDTF">2022-07-25T14:01:50Z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