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AFD20A" w14:textId="03A601FA" w:rsidR="00D60ECB" w:rsidRDefault="00A80798" w:rsidP="00A80798">
      <w:pPr>
        <w:rPr>
          <w:rFonts w:ascii="Times New Roman" w:hAnsi="Times New Roman" w:cs="Times New Roman"/>
          <w:sz w:val="24"/>
          <w:szCs w:val="24"/>
        </w:rPr>
      </w:pPr>
      <w:r w:rsidRPr="00E73575">
        <w:rPr>
          <w:rFonts w:ascii="Times New Roman" w:hAnsi="Times New Roman" w:cs="Times New Roman"/>
          <w:b/>
          <w:bCs/>
          <w:sz w:val="24"/>
          <w:szCs w:val="24"/>
        </w:rPr>
        <w:t>Table</w:t>
      </w:r>
      <w:r w:rsidR="00D00EEA">
        <w:rPr>
          <w:rFonts w:ascii="Times New Roman" w:hAnsi="Times New Roman" w:cs="Times New Roman"/>
          <w:b/>
          <w:bCs/>
          <w:sz w:val="24"/>
          <w:szCs w:val="24"/>
        </w:rPr>
        <w:t xml:space="preserve"> S</w:t>
      </w:r>
      <w:r w:rsidRPr="00E73575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A80798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62896324"/>
      <w:bookmarkStart w:id="1" w:name="_GoBack"/>
      <w:r w:rsidRPr="00A80798">
        <w:rPr>
          <w:rFonts w:ascii="Times New Roman" w:hAnsi="Times New Roman" w:cs="Times New Roman"/>
          <w:sz w:val="24"/>
          <w:szCs w:val="24"/>
        </w:rPr>
        <w:t xml:space="preserve">Publication bias assessment with </w:t>
      </w:r>
      <w:r>
        <w:rPr>
          <w:rFonts w:ascii="Times New Roman" w:hAnsi="Times New Roman" w:cs="Times New Roman"/>
          <w:sz w:val="24"/>
          <w:szCs w:val="24"/>
        </w:rPr>
        <w:t>Egger</w:t>
      </w:r>
      <w:r w:rsidRPr="00A80798">
        <w:rPr>
          <w:rFonts w:ascii="Times New Roman" w:hAnsi="Times New Roman" w:cs="Times New Roman"/>
          <w:sz w:val="24"/>
          <w:szCs w:val="24"/>
        </w:rPr>
        <w:t xml:space="preserve"> test for </w:t>
      </w:r>
      <w:r>
        <w:rPr>
          <w:rFonts w:ascii="Times New Roman" w:hAnsi="Times New Roman" w:cs="Times New Roman"/>
          <w:sz w:val="24"/>
          <w:szCs w:val="24"/>
        </w:rPr>
        <w:t>HT</w:t>
      </w:r>
      <w:r w:rsidRPr="00A80798">
        <w:rPr>
          <w:rFonts w:ascii="Times New Roman" w:hAnsi="Times New Roman" w:cs="Times New Roman"/>
          <w:sz w:val="24"/>
          <w:szCs w:val="24"/>
        </w:rPr>
        <w:t xml:space="preserve"> and functional outcome</w:t>
      </w:r>
      <w:bookmarkEnd w:id="0"/>
      <w:bookmarkEnd w:id="1"/>
    </w:p>
    <w:tbl>
      <w:tblPr>
        <w:tblStyle w:val="a7"/>
        <w:tblW w:w="0" w:type="auto"/>
        <w:tblBorders>
          <w:top w:val="single" w:sz="6" w:space="0" w:color="auto"/>
          <w:left w:val="none" w:sz="0" w:space="0" w:color="auto"/>
          <w:bottom w:val="single" w:sz="6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1275"/>
        <w:gridCol w:w="1985"/>
        <w:gridCol w:w="1951"/>
        <w:gridCol w:w="963"/>
      </w:tblGrid>
      <w:tr w:rsidR="002F1829" w14:paraId="14A1CE09" w14:textId="77777777" w:rsidTr="00CC3073">
        <w:tc>
          <w:tcPr>
            <w:tcW w:w="2122" w:type="dxa"/>
            <w:vMerge w:val="restart"/>
            <w:vAlign w:val="center"/>
          </w:tcPr>
          <w:p w14:paraId="01816918" w14:textId="5380B86D" w:rsidR="002F1829" w:rsidRDefault="002F1829" w:rsidP="002F18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829">
              <w:rPr>
                <w:rFonts w:ascii="Times New Roman" w:hAnsi="Times New Roman" w:cs="Times New Roman"/>
                <w:sz w:val="24"/>
                <w:szCs w:val="24"/>
              </w:rPr>
              <w:t>Publication bias</w:t>
            </w:r>
          </w:p>
        </w:tc>
        <w:tc>
          <w:tcPr>
            <w:tcW w:w="1275" w:type="dxa"/>
            <w:vMerge w:val="restart"/>
          </w:tcPr>
          <w:p w14:paraId="69C0511E" w14:textId="77777777" w:rsidR="002F1829" w:rsidRPr="002F1829" w:rsidRDefault="002F1829" w:rsidP="002F18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829">
              <w:rPr>
                <w:rFonts w:ascii="Times New Roman" w:hAnsi="Times New Roman" w:cs="Times New Roman"/>
                <w:sz w:val="24"/>
                <w:szCs w:val="24"/>
              </w:rPr>
              <w:t xml:space="preserve">Egger’s </w:t>
            </w:r>
          </w:p>
          <w:p w14:paraId="5CA967E7" w14:textId="11F4E8BB" w:rsidR="002F1829" w:rsidRDefault="002F1829" w:rsidP="002F18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7338B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</w:t>
            </w:r>
            <w:r w:rsidRPr="002F1829">
              <w:rPr>
                <w:rFonts w:ascii="Times New Roman" w:hAnsi="Times New Roman" w:cs="Times New Roman"/>
                <w:sz w:val="24"/>
                <w:szCs w:val="24"/>
              </w:rPr>
              <w:t xml:space="preserve"> value</w:t>
            </w:r>
          </w:p>
        </w:tc>
        <w:tc>
          <w:tcPr>
            <w:tcW w:w="3936" w:type="dxa"/>
            <w:gridSpan w:val="2"/>
            <w:tcBorders>
              <w:bottom w:val="single" w:sz="6" w:space="0" w:color="auto"/>
            </w:tcBorders>
          </w:tcPr>
          <w:p w14:paraId="33A31828" w14:textId="39AE7AF5" w:rsidR="002F1829" w:rsidRDefault="002F1829" w:rsidP="009D6C2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1829">
              <w:rPr>
                <w:rFonts w:ascii="Times New Roman" w:hAnsi="Times New Roman" w:cs="Times New Roman"/>
                <w:sz w:val="24"/>
                <w:szCs w:val="24"/>
              </w:rPr>
              <w:t>T&amp;F(Fill) method analysis</w:t>
            </w:r>
          </w:p>
        </w:tc>
        <w:tc>
          <w:tcPr>
            <w:tcW w:w="963" w:type="dxa"/>
            <w:vMerge w:val="restart"/>
            <w:vAlign w:val="center"/>
          </w:tcPr>
          <w:p w14:paraId="12E274A6" w14:textId="0413354D" w:rsidR="002F1829" w:rsidRDefault="002F1829" w:rsidP="002F18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829">
              <w:rPr>
                <w:rFonts w:ascii="Times New Roman" w:hAnsi="Times New Roman" w:cs="Times New Roman"/>
                <w:sz w:val="24"/>
                <w:szCs w:val="24"/>
              </w:rPr>
              <w:t>Model</w:t>
            </w:r>
          </w:p>
        </w:tc>
      </w:tr>
      <w:tr w:rsidR="002F1829" w14:paraId="3AEB68A7" w14:textId="77777777" w:rsidTr="00CC3073">
        <w:tc>
          <w:tcPr>
            <w:tcW w:w="2122" w:type="dxa"/>
            <w:vMerge/>
            <w:tcBorders>
              <w:bottom w:val="single" w:sz="6" w:space="0" w:color="auto"/>
            </w:tcBorders>
          </w:tcPr>
          <w:p w14:paraId="1E69FEEC" w14:textId="354FDA91" w:rsidR="002F1829" w:rsidRDefault="002F1829" w:rsidP="002F18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bottom w:val="single" w:sz="6" w:space="0" w:color="auto"/>
            </w:tcBorders>
          </w:tcPr>
          <w:p w14:paraId="63655A6E" w14:textId="387E8BA7" w:rsidR="002F1829" w:rsidRDefault="002F1829" w:rsidP="002F18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6" w:space="0" w:color="auto"/>
              <w:bottom w:val="single" w:sz="6" w:space="0" w:color="auto"/>
            </w:tcBorders>
          </w:tcPr>
          <w:p w14:paraId="424B1EBA" w14:textId="65290DFE" w:rsidR="002F1829" w:rsidRDefault="002F1829" w:rsidP="002F18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829">
              <w:rPr>
                <w:rFonts w:ascii="Times New Roman" w:hAnsi="Times New Roman" w:cs="Times New Roman"/>
                <w:sz w:val="24"/>
                <w:szCs w:val="24"/>
              </w:rPr>
              <w:t>Before</w:t>
            </w:r>
          </w:p>
        </w:tc>
        <w:tc>
          <w:tcPr>
            <w:tcW w:w="1951" w:type="dxa"/>
            <w:tcBorders>
              <w:top w:val="single" w:sz="6" w:space="0" w:color="auto"/>
              <w:bottom w:val="single" w:sz="6" w:space="0" w:color="auto"/>
            </w:tcBorders>
          </w:tcPr>
          <w:p w14:paraId="56E6AD92" w14:textId="410CE72D" w:rsidR="002F1829" w:rsidRDefault="002F1829" w:rsidP="002F18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829">
              <w:rPr>
                <w:rFonts w:ascii="Times New Roman" w:hAnsi="Times New Roman" w:cs="Times New Roman"/>
                <w:sz w:val="24"/>
                <w:szCs w:val="24"/>
              </w:rPr>
              <w:t>After</w:t>
            </w:r>
          </w:p>
        </w:tc>
        <w:tc>
          <w:tcPr>
            <w:tcW w:w="963" w:type="dxa"/>
            <w:vMerge/>
            <w:tcBorders>
              <w:bottom w:val="single" w:sz="6" w:space="0" w:color="auto"/>
            </w:tcBorders>
          </w:tcPr>
          <w:p w14:paraId="6A9D985F" w14:textId="1847584D" w:rsidR="002F1829" w:rsidRDefault="002F1829" w:rsidP="002F18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F1829" w14:paraId="4AAC4540" w14:textId="77777777" w:rsidTr="00CC3073">
        <w:tc>
          <w:tcPr>
            <w:tcW w:w="2122" w:type="dxa"/>
            <w:tcBorders>
              <w:top w:val="single" w:sz="6" w:space="0" w:color="auto"/>
              <w:bottom w:val="nil"/>
            </w:tcBorders>
          </w:tcPr>
          <w:p w14:paraId="741A96F9" w14:textId="4DD3208E" w:rsidR="002F1829" w:rsidRDefault="002F1829" w:rsidP="002F18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1275" w:type="dxa"/>
            <w:tcBorders>
              <w:top w:val="single" w:sz="6" w:space="0" w:color="auto"/>
              <w:bottom w:val="nil"/>
            </w:tcBorders>
          </w:tcPr>
          <w:p w14:paraId="3B1EB329" w14:textId="567420A8" w:rsidR="002F1829" w:rsidRPr="004301AC" w:rsidRDefault="004301AC" w:rsidP="002F18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1AC">
              <w:rPr>
                <w:rFonts w:ascii="Times New Roman" w:hAnsi="Times New Roman" w:cs="Times New Roman"/>
                <w:bCs/>
                <w:color w:val="000000" w:themeColor="text1"/>
                <w:spacing w:val="15"/>
                <w:sz w:val="24"/>
                <w:szCs w:val="24"/>
              </w:rPr>
              <w:t>0.019</w:t>
            </w:r>
          </w:p>
        </w:tc>
        <w:tc>
          <w:tcPr>
            <w:tcW w:w="1985" w:type="dxa"/>
            <w:tcBorders>
              <w:top w:val="single" w:sz="6" w:space="0" w:color="auto"/>
              <w:bottom w:val="nil"/>
            </w:tcBorders>
          </w:tcPr>
          <w:p w14:paraId="23CC0A88" w14:textId="7F0E36F4" w:rsidR="002F1829" w:rsidRDefault="009B0FA4" w:rsidP="002F18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1AC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301A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1.14</w:t>
            </w:r>
            <w:r w:rsidRPr="004301AC">
              <w:rPr>
                <w:rFonts w:ascii="Times New Roman" w:hAnsi="Times New Roman" w:cs="Times New Roman"/>
                <w:sz w:val="24"/>
                <w:szCs w:val="24"/>
              </w:rPr>
              <w:t>-1.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Pr="004301A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51" w:type="dxa"/>
            <w:tcBorders>
              <w:top w:val="single" w:sz="6" w:space="0" w:color="auto"/>
              <w:bottom w:val="nil"/>
            </w:tcBorders>
          </w:tcPr>
          <w:p w14:paraId="65BCC6B1" w14:textId="39D99C5B" w:rsidR="002F1829" w:rsidRPr="004301AC" w:rsidRDefault="004301AC" w:rsidP="002F18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1AC">
              <w:rPr>
                <w:rFonts w:ascii="Times New Roman" w:hAnsi="Times New Roman" w:cs="Times New Roman"/>
                <w:sz w:val="24"/>
                <w:szCs w:val="24"/>
              </w:rPr>
              <w:t>1.31(0.99-1.72)</w:t>
            </w:r>
          </w:p>
        </w:tc>
        <w:tc>
          <w:tcPr>
            <w:tcW w:w="963" w:type="dxa"/>
            <w:tcBorders>
              <w:top w:val="single" w:sz="6" w:space="0" w:color="auto"/>
              <w:bottom w:val="nil"/>
            </w:tcBorders>
          </w:tcPr>
          <w:p w14:paraId="161F527D" w14:textId="2A41AA52" w:rsidR="002F1829" w:rsidRDefault="002F1829" w:rsidP="002F18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829">
              <w:rPr>
                <w:rFonts w:ascii="Times New Roman" w:hAnsi="Times New Roman" w:cs="Times New Roman"/>
                <w:sz w:val="24"/>
                <w:szCs w:val="24"/>
              </w:rPr>
              <w:t>random</w:t>
            </w:r>
          </w:p>
        </w:tc>
      </w:tr>
      <w:tr w:rsidR="002F1829" w14:paraId="2B2BDFFA" w14:textId="77777777" w:rsidTr="00CC3073">
        <w:tc>
          <w:tcPr>
            <w:tcW w:w="2122" w:type="dxa"/>
            <w:tcBorders>
              <w:top w:val="nil"/>
            </w:tcBorders>
          </w:tcPr>
          <w:p w14:paraId="4DE978CC" w14:textId="17A3E9F8" w:rsidR="002F1829" w:rsidRDefault="002F1829" w:rsidP="002F18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829">
              <w:rPr>
                <w:rFonts w:ascii="Times New Roman" w:hAnsi="Times New Roman" w:cs="Times New Roman"/>
                <w:sz w:val="24"/>
                <w:szCs w:val="24"/>
              </w:rPr>
              <w:t>Functional outcome</w:t>
            </w:r>
          </w:p>
        </w:tc>
        <w:tc>
          <w:tcPr>
            <w:tcW w:w="1275" w:type="dxa"/>
            <w:tcBorders>
              <w:top w:val="nil"/>
            </w:tcBorders>
          </w:tcPr>
          <w:p w14:paraId="10CC0E11" w14:textId="60686F0A" w:rsidR="002F1829" w:rsidRPr="004301AC" w:rsidRDefault="004301AC" w:rsidP="002F18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1AC">
              <w:rPr>
                <w:rFonts w:ascii="Times New Roman" w:hAnsi="Times New Roman" w:cs="Times New Roman"/>
                <w:bCs/>
                <w:color w:val="000000" w:themeColor="text1"/>
                <w:spacing w:val="15"/>
                <w:sz w:val="24"/>
                <w:szCs w:val="24"/>
              </w:rPr>
              <w:t>0.001</w:t>
            </w:r>
          </w:p>
        </w:tc>
        <w:tc>
          <w:tcPr>
            <w:tcW w:w="1985" w:type="dxa"/>
            <w:tcBorders>
              <w:top w:val="nil"/>
            </w:tcBorders>
          </w:tcPr>
          <w:p w14:paraId="7F44617D" w14:textId="06D95E04" w:rsidR="002F1829" w:rsidRDefault="009B0FA4" w:rsidP="002F18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1AC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Pr="004301AC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  <w:r w:rsidRPr="004301A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1.94</w:t>
            </w:r>
            <w:r w:rsidRPr="004301A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951" w:type="dxa"/>
            <w:tcBorders>
              <w:top w:val="nil"/>
            </w:tcBorders>
          </w:tcPr>
          <w:p w14:paraId="7D5CE4E7" w14:textId="46B17B4E" w:rsidR="002F1829" w:rsidRDefault="004301AC" w:rsidP="002F18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301AC">
              <w:rPr>
                <w:rFonts w:ascii="Times New Roman" w:hAnsi="Times New Roman" w:cs="Times New Roman"/>
                <w:sz w:val="24"/>
                <w:szCs w:val="24"/>
              </w:rPr>
              <w:t>1.42(0.86-2.36)</w:t>
            </w:r>
          </w:p>
        </w:tc>
        <w:tc>
          <w:tcPr>
            <w:tcW w:w="963" w:type="dxa"/>
            <w:tcBorders>
              <w:top w:val="nil"/>
            </w:tcBorders>
          </w:tcPr>
          <w:p w14:paraId="6FC672B8" w14:textId="6D222BFF" w:rsidR="002F1829" w:rsidRDefault="002F1829" w:rsidP="002F182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F1829">
              <w:rPr>
                <w:rFonts w:ascii="Times New Roman" w:hAnsi="Times New Roman" w:cs="Times New Roman"/>
                <w:sz w:val="24"/>
                <w:szCs w:val="24"/>
              </w:rPr>
              <w:t>random</w:t>
            </w:r>
          </w:p>
        </w:tc>
      </w:tr>
    </w:tbl>
    <w:p w14:paraId="35FF4015" w14:textId="2E99346F" w:rsidR="002F1829" w:rsidRPr="00A80798" w:rsidRDefault="009D6C28" w:rsidP="009D6C28">
      <w:pPr>
        <w:rPr>
          <w:rFonts w:ascii="Times New Roman" w:hAnsi="Times New Roman" w:cs="Times New Roman"/>
          <w:sz w:val="24"/>
          <w:szCs w:val="24"/>
        </w:rPr>
      </w:pPr>
      <w:r w:rsidRPr="009D6C28">
        <w:rPr>
          <w:rFonts w:ascii="Times New Roman" w:hAnsi="Times New Roman" w:cs="Times New Roman"/>
          <w:sz w:val="24"/>
          <w:szCs w:val="24"/>
        </w:rPr>
        <w:t xml:space="preserve">Abbreviations: </w:t>
      </w:r>
      <w:r>
        <w:rPr>
          <w:rFonts w:ascii="Times New Roman" w:hAnsi="Times New Roman" w:cs="Times New Roman"/>
          <w:sz w:val="24"/>
          <w:szCs w:val="24"/>
        </w:rPr>
        <w:t>HT:</w:t>
      </w:r>
      <w:r w:rsidRPr="009D6C2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9D6C28">
        <w:rPr>
          <w:rFonts w:ascii="Times New Roman" w:hAnsi="Times New Roman" w:cs="Times New Roman"/>
          <w:sz w:val="24"/>
          <w:szCs w:val="24"/>
        </w:rPr>
        <w:t>emorrhagic transformation; Fill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9D6C28">
        <w:rPr>
          <w:rFonts w:ascii="Times New Roman" w:hAnsi="Times New Roman" w:cs="Times New Roman"/>
          <w:sz w:val="24"/>
          <w:szCs w:val="24"/>
        </w:rPr>
        <w:t>number of studies added by trim and fill method; T&amp;F=result of trimmed and filled analysis, using assumption of random effects.</w:t>
      </w:r>
    </w:p>
    <w:sectPr w:rsidR="002F1829" w:rsidRPr="00A807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1EFF779" w14:textId="77777777" w:rsidR="00F15479" w:rsidRDefault="00F15479" w:rsidP="00A80798">
      <w:r>
        <w:separator/>
      </w:r>
    </w:p>
  </w:endnote>
  <w:endnote w:type="continuationSeparator" w:id="0">
    <w:p w14:paraId="363BE43D" w14:textId="77777777" w:rsidR="00F15479" w:rsidRDefault="00F15479" w:rsidP="00A807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84255A" w14:textId="77777777" w:rsidR="00F15479" w:rsidRDefault="00F15479" w:rsidP="00A80798">
      <w:r>
        <w:separator/>
      </w:r>
    </w:p>
  </w:footnote>
  <w:footnote w:type="continuationSeparator" w:id="0">
    <w:p w14:paraId="06A79522" w14:textId="77777777" w:rsidR="00F15479" w:rsidRDefault="00F15479" w:rsidP="00A807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BF6"/>
    <w:rsid w:val="00186BF6"/>
    <w:rsid w:val="002964F8"/>
    <w:rsid w:val="002F1829"/>
    <w:rsid w:val="0037338B"/>
    <w:rsid w:val="004301AC"/>
    <w:rsid w:val="00604989"/>
    <w:rsid w:val="009B0FA4"/>
    <w:rsid w:val="009D6C28"/>
    <w:rsid w:val="00A80798"/>
    <w:rsid w:val="00CC3073"/>
    <w:rsid w:val="00D00EEA"/>
    <w:rsid w:val="00D60ECB"/>
    <w:rsid w:val="00E73575"/>
    <w:rsid w:val="00F15479"/>
    <w:rsid w:val="00F80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0A8321"/>
  <w15:chartTrackingRefBased/>
  <w15:docId w15:val="{148799E2-98F9-481E-83F0-855551424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07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07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07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0798"/>
    <w:rPr>
      <w:sz w:val="18"/>
      <w:szCs w:val="18"/>
    </w:rPr>
  </w:style>
  <w:style w:type="table" w:styleId="a7">
    <w:name w:val="Table Grid"/>
    <w:basedOn w:val="a1"/>
    <w:uiPriority w:val="39"/>
    <w:rsid w:val="002F18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13</cp:revision>
  <dcterms:created xsi:type="dcterms:W3CDTF">2021-01-30T02:00:00Z</dcterms:created>
  <dcterms:modified xsi:type="dcterms:W3CDTF">2021-01-30T02:52:00Z</dcterms:modified>
</cp:coreProperties>
</file>