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480" w:firstLineChars="200"/>
      </w:pPr>
      <w:bookmarkStart w:id="0" w:name="_GoBack"/>
      <w:r>
        <w:rPr>
          <w:rFonts w:ascii="Times New Roman" w:hAnsi="Times New Roman" w:cs="Arial"/>
          <w:color w:val="333333"/>
          <w:sz w:val="24"/>
          <w:shd w:val="clear" w:color="auto" w:fill="FFFFFF"/>
        </w:rPr>
        <w:t>Supplementary Fig. 1 (A, B, C, D).</w:t>
      </w:r>
      <w:bookmarkEnd w:id="0"/>
      <w:r>
        <w:rPr>
          <w:rFonts w:hint="eastAsia" w:ascii="Times New Roman" w:hAnsi="Times New Roman" w:cs="Arial"/>
          <w:color w:val="333333"/>
          <w:sz w:val="24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cs="Arial"/>
          <w:color w:val="333333"/>
          <w:sz w:val="24"/>
          <w:shd w:val="clear" w:color="auto" w:fill="FFFFFF"/>
        </w:rPr>
        <w:t>The kinetics of ALT, AST, TBil and INR of the patients in the first week after operation in POD 90.</w:t>
      </w:r>
    </w:p>
    <w:tbl>
      <w:tblPr>
        <w:tblStyle w:val="3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9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2619" w:hRule="atLeast"/>
        </w:trPr>
        <w:tc>
          <w:tcPr>
            <w:tcW w:w="9000" w:type="dxa"/>
            <w:tcBorders>
              <w:tl2br w:val="nil"/>
              <w:tr2bl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580380" cy="1517650"/>
                  <wp:effectExtent l="0" t="0" r="7620" b="6350"/>
                  <wp:docPr id="1" name="图片 1" descr="Suppeementary F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uppeementary Fi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380" cy="151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4" w:hRule="atLeast"/>
        </w:trPr>
        <w:tc>
          <w:tcPr>
            <w:tcW w:w="900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2915920</wp:posOffset>
                      </wp:positionH>
                      <wp:positionV relativeFrom="page">
                        <wp:posOffset>36195</wp:posOffset>
                      </wp:positionV>
                      <wp:extent cx="1467485" cy="273050"/>
                      <wp:effectExtent l="0" t="0" r="5715" b="635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7485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Supplementary Fig. 1</w:t>
                                  </w:r>
                                  <w:r>
                                    <w:rPr>
                                      <w:rFonts w:hint="eastAsia"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  <w:lang w:val="en-US" w:eastAsia="zh-CN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9.6pt;margin-top:2.85pt;height:21.5pt;width:115.55pt;mso-position-vertical-relative:page;z-index:251659264;mso-width-relative:page;mso-height-relative:page;" fillcolor="#FFFFFF [3201]" filled="t" stroked="f" coordsize="21600,21600" o:gfxdata="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pZnobUAAAACAEAAA8AAAAAAAAA&#10;AQAgAAAAIgAAAGRycy9kb3ducmV2LnhtbFBLAQIUABQAAAAIAIdO4kBMYd7GTgIAAI8EAAAOAAAA&#10;AAAAAAEAIAAAACMBAABkcnMvZTJvRG9jLnhtbFBLBQYAAAAABgAGAFkBAADj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Supplementary Fig. 1</w:t>
                            </w:r>
                            <w:r>
                              <w:rPr>
                                <w:rFonts w:hint="eastAsia"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0">
                      <wp:simplePos x="0" y="0"/>
                      <wp:positionH relativeFrom="column">
                        <wp:posOffset>471805</wp:posOffset>
                      </wp:positionH>
                      <wp:positionV relativeFrom="page">
                        <wp:posOffset>-3810</wp:posOffset>
                      </wp:positionV>
                      <wp:extent cx="1467485" cy="273050"/>
                      <wp:effectExtent l="0" t="0" r="5715" b="635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614170" y="3016250"/>
                                <a:ext cx="1467485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Supplementary Fig. 1A.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7.15pt;margin-top:-0.3pt;height:21.5pt;width:115.55pt;mso-position-vertical-relative:page;z-index:251658240;mso-width-relative:page;mso-height-relative:page;" fillcolor="#FFFFFF [3201]" filled="t" stroked="f" coordsize="21600,21600" o:allowoverlap="f" o:gfxdata="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yYrItMAAAAH&#10;AQAADwAAAAAAAAABACAAAAAiAAAAZHJzL2Rvd25yZXYueG1sUEsBAhQAFAAAAAgAh07iQHUVUuRa&#10;AgAAmwQAAA4AAAAAAAAAAQAgAAAAIgEAAGRycy9lMm9Eb2MueG1sUEsFBgAAAAAGAAYAWQEAAO4F&#10;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Supplementary Fig. 1A.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6" w:hRule="atLeast"/>
        </w:trPr>
        <w:tc>
          <w:tcPr>
            <w:tcW w:w="9000" w:type="dxa"/>
            <w:tcBorders>
              <w:tl2br w:val="nil"/>
              <w:tr2bl w:val="nil"/>
            </w:tcBorders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5619115" cy="1524000"/>
                  <wp:effectExtent l="0" t="0" r="6985" b="0"/>
                  <wp:docPr id="6" name="图片 6" descr="S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S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11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6" w:hRule="atLeast"/>
        </w:trPr>
        <w:tc>
          <w:tcPr>
            <w:tcW w:w="900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ge">
                        <wp:posOffset>43815</wp:posOffset>
                      </wp:positionV>
                      <wp:extent cx="1467485" cy="266700"/>
                      <wp:effectExtent l="0" t="0" r="5715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748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Supplementary Fig. 1</w:t>
                                  </w:r>
                                  <w:r>
                                    <w:rPr>
                                      <w:rFonts w:hint="eastAsia"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  <w:lang w:val="en-US" w:eastAsia="zh-C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5.7pt;margin-top:3.45pt;height:21pt;width:115.55pt;mso-position-vertical-relative:page;z-index:251660288;mso-width-relative:page;mso-height-relative:page;" fillcolor="#FFFFFF [3201]" filled="t" stroked="f" coordsize="21600,21600" o:gfxdata="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a9+WzTAAAABwEAAA8AAAAA&#10;AAAAAQAgAAAAIgAAAGRycy9kb3ducmV2LnhtbFBLAQIUABQAAAAIAIdO4kAksjDqUgIAAI8EAAAO&#10;AAAAAAAAAAEAIAAAACIBAABkcnMvZTJvRG9jLnhtbFBLBQYAAAAABgAGAFkBAADm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Supplementary Fig. 1</w:t>
                            </w:r>
                            <w:r>
                              <w:rPr>
                                <w:rFonts w:hint="eastAsia"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  <w:lang w:val="en-US"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0">
                      <wp:simplePos x="0" y="0"/>
                      <wp:positionH relativeFrom="column">
                        <wp:posOffset>2854960</wp:posOffset>
                      </wp:positionH>
                      <wp:positionV relativeFrom="page">
                        <wp:posOffset>17145</wp:posOffset>
                      </wp:positionV>
                      <wp:extent cx="1467485" cy="273050"/>
                      <wp:effectExtent l="0" t="0" r="5715" b="635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7485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Supplementary Fig. 1</w:t>
                                  </w:r>
                                  <w:r>
                                    <w:rPr>
                                      <w:rFonts w:hint="eastAsia"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  <w:lang w:val="en-US" w:eastAsia="zh-C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 w:cs="Arial"/>
                                      <w:color w:val="333333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4.8pt;margin-top:1.35pt;height:21.5pt;width:115.55pt;mso-position-vertical-relative:page;z-index:251661312;mso-width-relative:page;mso-height-relative:page;" fillcolor="#FFFFFF [3201]" filled="t" stroked="f" coordsize="21600,21600" o:allowoverlap="f" o:gfxdata="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hxE2LTAAAACAEAAA8AAAAAAAAA&#10;AQAgAAAAIgAAAGRycy9kb3ducmV2LnhtbFBLAQIUABQAAAAIAIdO4kBvzfEhTwIAAI8EAAAOAAAA&#10;AAAAAAEAIAAAACIBAABkcnMvZTJvRG9jLnhtbFBLBQYAAAAABgAGAFkBAADj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>Supplementary Fig. 1</w:t>
                            </w:r>
                            <w:r>
                              <w:rPr>
                                <w:rFonts w:hint="eastAsia"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  <w:lang w:val="en-US" w:eastAsia="zh-CN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Arial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76" w:hRule="atLeast"/>
        </w:trPr>
        <w:tc>
          <w:tcPr>
            <w:tcW w:w="9000" w:type="dxa"/>
            <w:tcBorders>
              <w:tl2br w:val="nil"/>
              <w:tr2bl w:val="nil"/>
            </w:tcBorders>
          </w:tcPr>
          <w:p>
            <w:pPr>
              <w:pStyle w:val="5"/>
              <w:spacing w:line="4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0"/>
                <w:szCs w:val="20"/>
                <w:shd w:val="clear" w:color="auto" w:fill="FFFFFF"/>
              </w:rPr>
              <w:t xml:space="preserve">Supplementary Fig.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(A, B, C, D).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Kinetics of ALT, AST, TBil and INR levels in HBV-related HCC patients 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with PHLF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POD 90, data are expressed as mean ± SD, the death group (represented by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solid line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with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blue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dot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and the survival group (represented by the dotted line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with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dot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(A. In the group P &lt; 0.001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Between the groups P = 0.058; B. In the group P &lt; 0.001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Between the groups P = 0.332; C. In the group P &lt; 0.001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Between the groups P = 0.613; D. In the group P &lt; 0.001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Between the groups P = 0.010; respectively)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sz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E2746"/>
    <w:rsid w:val="156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2021-06-14T12:59:00Z</dcterms:created>
  <dc:creator>余良河</dc:creator>
  <cp:lastModifiedBy>余良河</cp:lastModifiedBy>
  <dcterms:modified xsi:type="dcterms:W3CDTF">2021-06-14T13:11:40Z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