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A400" w14:textId="7D08C6EE" w:rsidR="00937216" w:rsidRPr="00937216" w:rsidRDefault="00937216" w:rsidP="005013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37216">
        <w:rPr>
          <w:rFonts w:ascii="Times New Roman" w:hAnsi="Times New Roman" w:cs="Times New Roman"/>
          <w:b/>
          <w:sz w:val="32"/>
          <w:szCs w:val="32"/>
        </w:rPr>
        <w:t xml:space="preserve">Supplementary </w:t>
      </w:r>
      <w:r>
        <w:rPr>
          <w:rFonts w:ascii="Times New Roman" w:hAnsi="Times New Roman" w:cs="Times New Roman"/>
          <w:b/>
          <w:sz w:val="32"/>
          <w:szCs w:val="32"/>
        </w:rPr>
        <w:t>Material</w:t>
      </w:r>
      <w:r w:rsidRPr="00937216">
        <w:rPr>
          <w:rFonts w:ascii="Times New Roman" w:hAnsi="Times New Roman" w:cs="Times New Roman"/>
          <w:b/>
          <w:sz w:val="32"/>
          <w:szCs w:val="32"/>
        </w:rPr>
        <w:t xml:space="preserve"> for </w:t>
      </w:r>
    </w:p>
    <w:p w14:paraId="41436A3E" w14:textId="19A01011" w:rsidR="00937216" w:rsidRPr="00502CC8" w:rsidRDefault="00501359" w:rsidP="005013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Impact of HIV infection and integrase strand transfer inhibitors-based treatment on the gut virome</w:t>
      </w:r>
    </w:p>
    <w:p w14:paraId="18FA2C1E" w14:textId="7B06DFF5" w:rsidR="00501359" w:rsidRPr="00812807" w:rsidRDefault="00501359" w:rsidP="005013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  <w:lang w:val="es-ES"/>
        </w:rPr>
      </w:pP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Pablo Villoslada-Blanco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1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Patricia Pérez-Matute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1</w:t>
      </w:r>
      <w:r w:rsidRPr="00812807">
        <w:rPr>
          <w:rFonts w:ascii="Times New Roman" w:hAnsi="Times New Roman" w:cs="Times New Roman"/>
          <w:bCs/>
          <w:sz w:val="32"/>
          <w:szCs w:val="24"/>
          <w:vertAlign w:val="superscript"/>
        </w:rPr>
        <w:t>§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María Íñiguez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1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 xml:space="preserve">, Emma Recio-Fernández 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1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Daan Jansen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2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Lander De Coninck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2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Lila Close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2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Pilar Blanco-Navarrete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3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Luis Metola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4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Valvanera Ibarra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4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Jorge Alba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4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>, Jelle Matthijnssens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2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 xml:space="preserve"> and José A. Oteo</w:t>
      </w:r>
      <w:r w:rsidRPr="00812807">
        <w:rPr>
          <w:rFonts w:ascii="Times New Roman" w:hAnsi="Times New Roman" w:cs="Times New Roman"/>
          <w:bCs/>
          <w:sz w:val="24"/>
          <w:szCs w:val="28"/>
          <w:vertAlign w:val="superscript"/>
          <w:lang w:val="es-ES"/>
        </w:rPr>
        <w:t>1,4</w:t>
      </w:r>
      <w:r w:rsidRPr="00812807">
        <w:rPr>
          <w:rFonts w:ascii="Times New Roman" w:hAnsi="Times New Roman" w:cs="Times New Roman"/>
          <w:bCs/>
          <w:sz w:val="24"/>
          <w:szCs w:val="28"/>
          <w:lang w:val="es-ES"/>
        </w:rPr>
        <w:t xml:space="preserve">. </w:t>
      </w:r>
    </w:p>
    <w:p w14:paraId="6D9E8808" w14:textId="77777777" w:rsidR="00501359" w:rsidRPr="00812807" w:rsidRDefault="00501359" w:rsidP="005013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  <w:lang w:val="es-ES"/>
        </w:rPr>
      </w:pPr>
      <w:r w:rsidRPr="00812807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812807">
        <w:rPr>
          <w:rFonts w:ascii="Times New Roman" w:hAnsi="Times New Roman" w:cs="Times New Roman"/>
          <w:sz w:val="24"/>
          <w:szCs w:val="28"/>
        </w:rPr>
        <w:t xml:space="preserve">Infectous Diseases, Microbiota and Metabolism Unit. Infectious Diseases Department, Center for Biomedical Research of La Rioja (CIBIR), Logroño, La Rioja, Spain. </w:t>
      </w:r>
    </w:p>
    <w:p w14:paraId="75D58C32" w14:textId="77777777" w:rsidR="00501359" w:rsidRPr="00812807" w:rsidRDefault="00501359" w:rsidP="005013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12807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812807">
        <w:rPr>
          <w:rFonts w:ascii="Times New Roman" w:hAnsi="Times New Roman" w:cs="Times New Roman"/>
          <w:sz w:val="24"/>
          <w:szCs w:val="28"/>
        </w:rPr>
        <w:t>KU Leuven, Department of Microbiology, Immunology and Transplantation, Rega Institute, Laboratory of Viral Metagenomics, Leuven, Belgium.</w:t>
      </w:r>
    </w:p>
    <w:p w14:paraId="1C704C95" w14:textId="77777777" w:rsidR="00501359" w:rsidRPr="00812807" w:rsidRDefault="00501359" w:rsidP="005013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  <w:lang w:val="es-ES"/>
        </w:rPr>
      </w:pPr>
      <w:r w:rsidRPr="00812807">
        <w:rPr>
          <w:rFonts w:ascii="Times New Roman" w:hAnsi="Times New Roman" w:cs="Times New Roman"/>
          <w:sz w:val="24"/>
          <w:szCs w:val="28"/>
          <w:vertAlign w:val="superscript"/>
          <w:lang w:val="es-ES"/>
        </w:rPr>
        <w:t>3</w:t>
      </w:r>
      <w:r w:rsidRPr="00812807">
        <w:rPr>
          <w:rFonts w:ascii="Times New Roman" w:hAnsi="Times New Roman" w:cs="Times New Roman"/>
          <w:sz w:val="24"/>
          <w:szCs w:val="28"/>
          <w:lang w:val="es-ES"/>
        </w:rPr>
        <w:t xml:space="preserve">Centro de Salud Siete Infantes de Lara, Logroño, La Rioja, </w:t>
      </w:r>
      <w:proofErr w:type="spellStart"/>
      <w:r w:rsidRPr="00812807">
        <w:rPr>
          <w:rFonts w:ascii="Times New Roman" w:hAnsi="Times New Roman" w:cs="Times New Roman"/>
          <w:sz w:val="24"/>
          <w:szCs w:val="28"/>
          <w:lang w:val="es-ES"/>
        </w:rPr>
        <w:t>Spain</w:t>
      </w:r>
      <w:proofErr w:type="spellEnd"/>
      <w:r w:rsidRPr="00812807">
        <w:rPr>
          <w:rFonts w:ascii="Times New Roman" w:hAnsi="Times New Roman" w:cs="Times New Roman"/>
          <w:sz w:val="24"/>
          <w:szCs w:val="28"/>
          <w:lang w:val="es-ES"/>
        </w:rPr>
        <w:t>.</w:t>
      </w:r>
    </w:p>
    <w:p w14:paraId="0CE93A23" w14:textId="61EC5C7D" w:rsidR="00937216" w:rsidRDefault="00501359" w:rsidP="005013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  <w:lang w:val="es-ES"/>
        </w:rPr>
      </w:pPr>
      <w:r w:rsidRPr="00812807">
        <w:rPr>
          <w:rFonts w:ascii="Times New Roman" w:hAnsi="Times New Roman" w:cs="Times New Roman"/>
          <w:sz w:val="24"/>
          <w:szCs w:val="28"/>
          <w:vertAlign w:val="superscript"/>
          <w:lang w:val="es-ES"/>
        </w:rPr>
        <w:t>4</w:t>
      </w:r>
      <w:r w:rsidRPr="00812807">
        <w:rPr>
          <w:rFonts w:ascii="Times New Roman" w:hAnsi="Times New Roman" w:cs="Times New Roman"/>
          <w:sz w:val="24"/>
          <w:szCs w:val="28"/>
          <w:lang w:val="es-ES"/>
        </w:rPr>
        <w:t xml:space="preserve">Infectious </w:t>
      </w:r>
      <w:proofErr w:type="spellStart"/>
      <w:r w:rsidRPr="00812807">
        <w:rPr>
          <w:rFonts w:ascii="Times New Roman" w:hAnsi="Times New Roman" w:cs="Times New Roman"/>
          <w:sz w:val="24"/>
          <w:szCs w:val="28"/>
          <w:lang w:val="es-ES"/>
        </w:rPr>
        <w:t>Diseases</w:t>
      </w:r>
      <w:proofErr w:type="spellEnd"/>
      <w:r w:rsidRPr="00812807">
        <w:rPr>
          <w:rFonts w:ascii="Times New Roman" w:hAnsi="Times New Roman" w:cs="Times New Roman"/>
          <w:sz w:val="24"/>
          <w:szCs w:val="28"/>
          <w:lang w:val="es-ES"/>
        </w:rPr>
        <w:t xml:space="preserve"> </w:t>
      </w:r>
      <w:proofErr w:type="spellStart"/>
      <w:r w:rsidRPr="00812807">
        <w:rPr>
          <w:rFonts w:ascii="Times New Roman" w:hAnsi="Times New Roman" w:cs="Times New Roman"/>
          <w:sz w:val="24"/>
          <w:szCs w:val="28"/>
          <w:lang w:val="es-ES"/>
        </w:rPr>
        <w:t>Department</w:t>
      </w:r>
      <w:proofErr w:type="spellEnd"/>
      <w:r w:rsidRPr="00812807">
        <w:rPr>
          <w:rFonts w:ascii="Times New Roman" w:hAnsi="Times New Roman" w:cs="Times New Roman"/>
          <w:sz w:val="24"/>
          <w:szCs w:val="28"/>
          <w:lang w:val="es-ES"/>
        </w:rPr>
        <w:t xml:space="preserve">. Hospital Universitario San Pedro, Logroño, La Rioja, </w:t>
      </w:r>
      <w:proofErr w:type="spellStart"/>
      <w:r w:rsidRPr="00812807">
        <w:rPr>
          <w:rFonts w:ascii="Times New Roman" w:hAnsi="Times New Roman" w:cs="Times New Roman"/>
          <w:sz w:val="24"/>
          <w:szCs w:val="28"/>
          <w:lang w:val="es-ES"/>
        </w:rPr>
        <w:t>Spain</w:t>
      </w:r>
      <w:proofErr w:type="spellEnd"/>
      <w:r w:rsidRPr="00812807">
        <w:rPr>
          <w:rFonts w:ascii="Times New Roman" w:hAnsi="Times New Roman" w:cs="Times New Roman"/>
          <w:sz w:val="24"/>
          <w:szCs w:val="28"/>
          <w:lang w:val="es-ES"/>
        </w:rPr>
        <w:t>.</w:t>
      </w:r>
    </w:p>
    <w:p w14:paraId="43A50991" w14:textId="77777777" w:rsidR="00501359" w:rsidRPr="00501359" w:rsidRDefault="00501359" w:rsidP="0050135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  <w:lang w:val="es-ES"/>
        </w:rPr>
      </w:pPr>
    </w:p>
    <w:p w14:paraId="6A68011E" w14:textId="6771FC2D" w:rsidR="00937216" w:rsidRPr="00A356AA" w:rsidRDefault="00937216" w:rsidP="005013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bCs/>
          <w:sz w:val="32"/>
          <w:szCs w:val="24"/>
          <w:vertAlign w:val="superscript"/>
        </w:rPr>
        <w:t>§</w:t>
      </w:r>
      <w:r w:rsidRPr="00A356AA">
        <w:rPr>
          <w:rFonts w:ascii="Times New Roman" w:hAnsi="Times New Roman" w:cs="Times New Roman"/>
          <w:sz w:val="24"/>
          <w:szCs w:val="24"/>
          <w:lang w:val="en-GB"/>
        </w:rPr>
        <w:t>Corresponding author: Patricia Pérez-Matute</w:t>
      </w:r>
    </w:p>
    <w:p w14:paraId="32FFCE47" w14:textId="3E63EA91" w:rsidR="00937216" w:rsidRPr="00A356AA" w:rsidRDefault="00937216" w:rsidP="005013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 xml:space="preserve">Infectious Diseases, Microbiota and Metabolism Unit. Infectious Diseases Department, Center for Biomedical Research of La Rioja (CIBIR), Logroño, La Rioja, Spain. </w:t>
      </w:r>
    </w:p>
    <w:p w14:paraId="1A994B05" w14:textId="6C61D434" w:rsidR="00937216" w:rsidRPr="00A356AA" w:rsidRDefault="00937216" w:rsidP="005013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>C/Piqueras 98</w:t>
      </w:r>
    </w:p>
    <w:p w14:paraId="05DFAE66" w14:textId="04840F5F" w:rsidR="00937216" w:rsidRPr="00A356AA" w:rsidRDefault="00937216" w:rsidP="005013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>CIBIR building, third floor</w:t>
      </w:r>
    </w:p>
    <w:p w14:paraId="71323FA4" w14:textId="2EC2888B" w:rsidR="00937216" w:rsidRPr="00A974ED" w:rsidRDefault="00937216" w:rsidP="005013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A974ED">
        <w:rPr>
          <w:rFonts w:ascii="Times New Roman" w:hAnsi="Times New Roman" w:cs="Times New Roman"/>
          <w:sz w:val="24"/>
          <w:szCs w:val="24"/>
          <w:lang w:val="es-ES"/>
        </w:rPr>
        <w:t>26006 Logroño (La Rioja)</w:t>
      </w:r>
    </w:p>
    <w:p w14:paraId="57EFD12A" w14:textId="0B9F1DEF" w:rsidR="00314456" w:rsidRDefault="00000000" w:rsidP="00501359">
      <w:pPr>
        <w:spacing w:before="100" w:beforeAutospacing="1" w:after="100" w:afterAutospacing="1" w:line="240" w:lineRule="auto"/>
        <w:rPr>
          <w:rStyle w:val="Hipervnculo"/>
          <w:rFonts w:ascii="Times New Roman" w:hAnsi="Times New Roman" w:cs="Times New Roman"/>
          <w:sz w:val="24"/>
          <w:szCs w:val="24"/>
          <w:lang w:val="es-ES"/>
        </w:rPr>
      </w:pPr>
      <w:hyperlink r:id="rId6" w:history="1">
        <w:r w:rsidR="00937216" w:rsidRPr="00A974ED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cpperez@riojasalud.es</w:t>
        </w:r>
      </w:hyperlink>
    </w:p>
    <w:p w14:paraId="724C031B" w14:textId="77777777" w:rsidR="00501359" w:rsidRDefault="00501359" w:rsidP="00501359">
      <w:pPr>
        <w:spacing w:before="100" w:beforeAutospacing="1" w:after="100" w:afterAutospacing="1" w:line="240" w:lineRule="auto"/>
        <w:rPr>
          <w:rStyle w:val="Hipervnculo"/>
          <w:rFonts w:ascii="Times New Roman" w:hAnsi="Times New Roman" w:cs="Times New Roman"/>
          <w:sz w:val="24"/>
          <w:szCs w:val="24"/>
          <w:lang w:val="es-ES"/>
        </w:rPr>
      </w:pPr>
    </w:p>
    <w:p w14:paraId="17819BB2" w14:textId="51BE460C" w:rsidR="00314456" w:rsidRPr="003D6FF9" w:rsidRDefault="00314456" w:rsidP="00D73B34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 w:rsidRPr="003D6FF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 xml:space="preserve">Supplementary </w:t>
      </w:r>
      <w:r w:rsidR="0050135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T</w:t>
      </w:r>
      <w:r w:rsidRPr="003D6FF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able 1</w:t>
      </w:r>
    </w:p>
    <w:p w14:paraId="28CB5560" w14:textId="05B83534" w:rsidR="00501359" w:rsidRDefault="00314456" w:rsidP="00D73B34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 w:rsidRPr="003D6FF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 xml:space="preserve">Supplementary </w:t>
      </w:r>
      <w:r w:rsidR="0050135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Table 2</w:t>
      </w:r>
    </w:p>
    <w:p w14:paraId="06DDB09C" w14:textId="3046011D" w:rsidR="00F56101" w:rsidRDefault="00F56101" w:rsidP="00D73B34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Table 3</w:t>
      </w:r>
    </w:p>
    <w:p w14:paraId="0E2959ED" w14:textId="77777777" w:rsidR="00501359" w:rsidRDefault="00501359" w:rsidP="00D73B34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Figure 1</w:t>
      </w:r>
    </w:p>
    <w:p w14:paraId="324A4D97" w14:textId="0CDBB421" w:rsidR="00937216" w:rsidRPr="003D6FF9" w:rsidRDefault="00501359" w:rsidP="00D73B3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Figure 2</w:t>
      </w:r>
      <w:r w:rsidR="00937216" w:rsidRPr="003D6FF9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557D62A" w14:textId="77777777" w:rsidR="00501359" w:rsidRPr="00501359" w:rsidRDefault="00501359" w:rsidP="00501359">
      <w:pPr>
        <w:spacing w:after="0"/>
        <w:jc w:val="both"/>
        <w:rPr>
          <w:rFonts w:ascii="Times New Roman" w:hAnsi="Times New Roman" w:cs="Times New Roman"/>
          <w:bCs/>
          <w:szCs w:val="20"/>
          <w:lang w:val="en-GB"/>
        </w:rPr>
      </w:pPr>
      <w:r w:rsidRPr="00501359">
        <w:rPr>
          <w:rFonts w:ascii="Times New Roman" w:hAnsi="Times New Roman" w:cs="Times New Roman"/>
          <w:b/>
          <w:szCs w:val="20"/>
          <w:lang w:val="en-GB"/>
        </w:rPr>
        <w:lastRenderedPageBreak/>
        <w:t xml:space="preserve">Supplementary Table 1. </w:t>
      </w:r>
      <w:bookmarkStart w:id="0" w:name="_Hlk101862832"/>
      <w:r w:rsidRPr="00501359">
        <w:rPr>
          <w:rFonts w:ascii="Times New Roman" w:hAnsi="Times New Roman" w:cs="Times New Roman"/>
          <w:bCs/>
          <w:szCs w:val="20"/>
          <w:lang w:val="en-GB"/>
        </w:rPr>
        <w:t>INSTIs-based treatments used in HIV-infected patients.</w:t>
      </w:r>
    </w:p>
    <w:tbl>
      <w:tblPr>
        <w:tblStyle w:val="Tablaconcuadrcula"/>
        <w:tblW w:w="8254" w:type="dxa"/>
        <w:tblInd w:w="775" w:type="dxa"/>
        <w:tblLook w:val="04A0" w:firstRow="1" w:lastRow="0" w:firstColumn="1" w:lastColumn="0" w:noHBand="0" w:noVBand="1"/>
      </w:tblPr>
      <w:tblGrid>
        <w:gridCol w:w="1563"/>
        <w:gridCol w:w="4368"/>
        <w:gridCol w:w="2323"/>
      </w:tblGrid>
      <w:tr w:rsidR="00501359" w:rsidRPr="00501359" w14:paraId="08F60E9C" w14:textId="77777777" w:rsidTr="000F33D8">
        <w:trPr>
          <w:trHeight w:val="510"/>
        </w:trPr>
        <w:tc>
          <w:tcPr>
            <w:tcW w:w="1563" w:type="dxa"/>
            <w:shd w:val="clear" w:color="auto" w:fill="000000" w:themeFill="text1"/>
            <w:vAlign w:val="center"/>
          </w:tcPr>
          <w:p w14:paraId="45BFF561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bookmarkStart w:id="1" w:name="_Hlk101862852"/>
            <w:bookmarkEnd w:id="0"/>
            <w:r w:rsidRPr="00501359">
              <w:rPr>
                <w:rFonts w:ascii="Times New Roman" w:hAnsi="Times New Roman" w:cs="Times New Roman"/>
                <w:b/>
                <w:szCs w:val="24"/>
                <w:lang w:val="en-GB"/>
              </w:rPr>
              <w:t>INSTI</w:t>
            </w:r>
          </w:p>
        </w:tc>
        <w:tc>
          <w:tcPr>
            <w:tcW w:w="4368" w:type="dxa"/>
            <w:shd w:val="clear" w:color="auto" w:fill="000000" w:themeFill="text1"/>
            <w:vAlign w:val="center"/>
          </w:tcPr>
          <w:p w14:paraId="70356845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/>
                <w:szCs w:val="24"/>
                <w:lang w:val="en-GB"/>
              </w:rPr>
              <w:t>Backbone</w:t>
            </w:r>
          </w:p>
        </w:tc>
        <w:tc>
          <w:tcPr>
            <w:tcW w:w="2323" w:type="dxa"/>
            <w:shd w:val="clear" w:color="auto" w:fill="000000" w:themeFill="text1"/>
            <w:vAlign w:val="center"/>
          </w:tcPr>
          <w:p w14:paraId="4BEE1DB2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/>
                <w:szCs w:val="24"/>
                <w:lang w:val="en-GB"/>
              </w:rPr>
              <w:t>Number of patients</w:t>
            </w:r>
          </w:p>
        </w:tc>
      </w:tr>
      <w:tr w:rsidR="00501359" w:rsidRPr="00501359" w14:paraId="6A89C596" w14:textId="77777777" w:rsidTr="000F33D8">
        <w:trPr>
          <w:trHeight w:val="510"/>
        </w:trPr>
        <w:tc>
          <w:tcPr>
            <w:tcW w:w="1563" w:type="dxa"/>
            <w:vMerge w:val="restart"/>
            <w:vAlign w:val="center"/>
          </w:tcPr>
          <w:p w14:paraId="629B1B16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Cs/>
                <w:szCs w:val="24"/>
                <w:lang w:val="en-GB"/>
              </w:rPr>
              <w:t>Dolutegravir</w:t>
            </w:r>
          </w:p>
        </w:tc>
        <w:tc>
          <w:tcPr>
            <w:tcW w:w="4368" w:type="dxa"/>
            <w:vAlign w:val="center"/>
          </w:tcPr>
          <w:p w14:paraId="736AFF78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Cs/>
                <w:szCs w:val="24"/>
                <w:lang w:val="en-GB"/>
              </w:rPr>
              <w:t>Abacavir and lamivudine</w:t>
            </w:r>
          </w:p>
        </w:tc>
        <w:tc>
          <w:tcPr>
            <w:tcW w:w="2323" w:type="dxa"/>
            <w:vAlign w:val="center"/>
          </w:tcPr>
          <w:p w14:paraId="6AD78EAF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Cs/>
                <w:szCs w:val="24"/>
                <w:lang w:val="en-GB"/>
              </w:rPr>
              <w:t>10/15 (66.67%)</w:t>
            </w:r>
          </w:p>
        </w:tc>
      </w:tr>
      <w:tr w:rsidR="00501359" w:rsidRPr="00501359" w14:paraId="0FA9E72F" w14:textId="77777777" w:rsidTr="000F33D8">
        <w:trPr>
          <w:trHeight w:val="510"/>
        </w:trPr>
        <w:tc>
          <w:tcPr>
            <w:tcW w:w="1563" w:type="dxa"/>
            <w:vMerge/>
            <w:vAlign w:val="center"/>
          </w:tcPr>
          <w:p w14:paraId="426DE8A1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</w:p>
        </w:tc>
        <w:tc>
          <w:tcPr>
            <w:tcW w:w="4368" w:type="dxa"/>
            <w:vAlign w:val="center"/>
          </w:tcPr>
          <w:p w14:paraId="0D8239DD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Cs/>
                <w:szCs w:val="24"/>
                <w:lang w:val="en-GB"/>
              </w:rPr>
              <w:t>Lamivudine</w:t>
            </w:r>
          </w:p>
        </w:tc>
        <w:tc>
          <w:tcPr>
            <w:tcW w:w="2323" w:type="dxa"/>
            <w:vAlign w:val="center"/>
          </w:tcPr>
          <w:p w14:paraId="57F290CD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Cs/>
                <w:szCs w:val="24"/>
                <w:lang w:val="en-GB"/>
              </w:rPr>
              <w:t>2/15 (13.33%)</w:t>
            </w:r>
          </w:p>
        </w:tc>
      </w:tr>
      <w:tr w:rsidR="00501359" w:rsidRPr="00501359" w14:paraId="64EAF111" w14:textId="77777777" w:rsidTr="000F33D8">
        <w:trPr>
          <w:trHeight w:val="510"/>
        </w:trPr>
        <w:tc>
          <w:tcPr>
            <w:tcW w:w="1563" w:type="dxa"/>
            <w:vAlign w:val="center"/>
          </w:tcPr>
          <w:p w14:paraId="0416C055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Cs/>
                <w:szCs w:val="24"/>
                <w:lang w:val="en-GB"/>
              </w:rPr>
              <w:t>Bictegravir</w:t>
            </w:r>
          </w:p>
        </w:tc>
        <w:tc>
          <w:tcPr>
            <w:tcW w:w="4368" w:type="dxa"/>
            <w:vAlign w:val="center"/>
          </w:tcPr>
          <w:p w14:paraId="77DD3094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Cs/>
                <w:szCs w:val="24"/>
                <w:lang w:val="en-GB"/>
              </w:rPr>
              <w:t>Emtricitabine and tenofovir alafenamide</w:t>
            </w:r>
          </w:p>
        </w:tc>
        <w:tc>
          <w:tcPr>
            <w:tcW w:w="2323" w:type="dxa"/>
            <w:vAlign w:val="center"/>
          </w:tcPr>
          <w:p w14:paraId="7B9D8457" w14:textId="77777777" w:rsidR="00501359" w:rsidRPr="00501359" w:rsidRDefault="00501359" w:rsidP="000F33D8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501359">
              <w:rPr>
                <w:rFonts w:ascii="Times New Roman" w:hAnsi="Times New Roman" w:cs="Times New Roman"/>
                <w:bCs/>
                <w:szCs w:val="24"/>
                <w:lang w:val="en-GB"/>
              </w:rPr>
              <w:t>3/15 (20.00%)</w:t>
            </w:r>
          </w:p>
        </w:tc>
      </w:tr>
    </w:tbl>
    <w:bookmarkEnd w:id="1"/>
    <w:p w14:paraId="242F15EF" w14:textId="77777777" w:rsidR="00501359" w:rsidRPr="00501359" w:rsidRDefault="00501359" w:rsidP="00501359">
      <w:pPr>
        <w:spacing w:after="0"/>
        <w:jc w:val="both"/>
        <w:rPr>
          <w:rFonts w:ascii="Times New Roman" w:hAnsi="Times New Roman" w:cs="Times New Roman"/>
          <w:bCs/>
          <w:lang w:val="en-GB"/>
        </w:rPr>
      </w:pPr>
      <w:r w:rsidRPr="00501359">
        <w:rPr>
          <w:rFonts w:ascii="Times New Roman" w:hAnsi="Times New Roman" w:cs="Times New Roman"/>
          <w:bCs/>
          <w:lang w:val="en-GB"/>
        </w:rPr>
        <w:t>HIV (human immunodeficiency virus infection), INSTI (integrase strand transfer inhibitor).</w:t>
      </w:r>
    </w:p>
    <w:p w14:paraId="3D6935DC" w14:textId="77777777" w:rsidR="00501359" w:rsidRPr="00501359" w:rsidRDefault="00501359" w:rsidP="00501359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08441011" w14:textId="77777777" w:rsidR="00501359" w:rsidRPr="00501359" w:rsidRDefault="00501359" w:rsidP="00501359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  <w:r w:rsidRPr="00501359">
        <w:rPr>
          <w:rFonts w:ascii="Times New Roman" w:eastAsia="Times New Roman" w:hAnsi="Times New Roman" w:cs="Times New Roman"/>
          <w:b/>
          <w:bCs/>
        </w:rPr>
        <w:t>Supplementary Table 2.</w:t>
      </w:r>
      <w:r w:rsidRPr="00501359">
        <w:rPr>
          <w:rFonts w:ascii="Times New Roman" w:eastAsia="Times New Roman" w:hAnsi="Times New Roman" w:cs="Times New Roman"/>
        </w:rPr>
        <w:t xml:space="preserve"> Predicted lysogenic-specific genes and their functions.</w:t>
      </w:r>
    </w:p>
    <w:tbl>
      <w:tblPr>
        <w:tblStyle w:val="Tablaconcuadrcula1"/>
        <w:tblW w:w="0" w:type="auto"/>
        <w:tblInd w:w="573" w:type="dxa"/>
        <w:tblLook w:val="04A0" w:firstRow="1" w:lastRow="0" w:firstColumn="1" w:lastColumn="0" w:noHBand="0" w:noVBand="1"/>
      </w:tblPr>
      <w:tblGrid>
        <w:gridCol w:w="5740"/>
        <w:gridCol w:w="2772"/>
      </w:tblGrid>
      <w:tr w:rsidR="00501359" w:rsidRPr="00501359" w14:paraId="5227AA1C" w14:textId="77777777" w:rsidTr="000F33D8">
        <w:trPr>
          <w:trHeight w:val="264"/>
        </w:trPr>
        <w:tc>
          <w:tcPr>
            <w:tcW w:w="5740" w:type="dxa"/>
            <w:shd w:val="clear" w:color="auto" w:fill="000000"/>
            <w:vAlign w:val="center"/>
          </w:tcPr>
          <w:p w14:paraId="3629192B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3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Lysogenic-specific genes</w:t>
            </w:r>
          </w:p>
        </w:tc>
        <w:tc>
          <w:tcPr>
            <w:tcW w:w="2772" w:type="dxa"/>
            <w:shd w:val="clear" w:color="auto" w:fill="000000"/>
            <w:vAlign w:val="center"/>
          </w:tcPr>
          <w:p w14:paraId="61B75AEA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3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Function</w:t>
            </w:r>
          </w:p>
        </w:tc>
      </w:tr>
      <w:tr w:rsidR="00501359" w:rsidRPr="00501359" w14:paraId="1E1B47BB" w14:textId="77777777" w:rsidTr="000F33D8">
        <w:tc>
          <w:tcPr>
            <w:tcW w:w="5740" w:type="dxa"/>
            <w:vAlign w:val="center"/>
          </w:tcPr>
          <w:p w14:paraId="56B5CB9D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Integrase</w:t>
            </w:r>
          </w:p>
        </w:tc>
        <w:tc>
          <w:tcPr>
            <w:tcW w:w="2772" w:type="dxa"/>
            <w:vAlign w:val="center"/>
          </w:tcPr>
          <w:p w14:paraId="17511EE7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Integrase</w:t>
            </w:r>
          </w:p>
        </w:tc>
      </w:tr>
      <w:tr w:rsidR="00501359" w:rsidRPr="00501359" w14:paraId="633784C6" w14:textId="77777777" w:rsidTr="000F33D8">
        <w:tc>
          <w:tcPr>
            <w:tcW w:w="5740" w:type="dxa"/>
            <w:vAlign w:val="center"/>
          </w:tcPr>
          <w:p w14:paraId="179B932C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INTEGRASE</w:t>
            </w:r>
          </w:p>
        </w:tc>
        <w:tc>
          <w:tcPr>
            <w:tcW w:w="2772" w:type="dxa"/>
            <w:vAlign w:val="center"/>
          </w:tcPr>
          <w:p w14:paraId="4669C857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Integrase</w:t>
            </w:r>
          </w:p>
        </w:tc>
      </w:tr>
      <w:tr w:rsidR="00501359" w:rsidRPr="00501359" w14:paraId="4CA222C8" w14:textId="77777777" w:rsidTr="000F33D8">
        <w:tc>
          <w:tcPr>
            <w:tcW w:w="5740" w:type="dxa"/>
            <w:vAlign w:val="center"/>
          </w:tcPr>
          <w:p w14:paraId="63ED9198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Phage_integrase_family_protein</w:t>
            </w:r>
          </w:p>
        </w:tc>
        <w:tc>
          <w:tcPr>
            <w:tcW w:w="2772" w:type="dxa"/>
            <w:vAlign w:val="center"/>
          </w:tcPr>
          <w:p w14:paraId="2BF7631D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Integrase</w:t>
            </w:r>
          </w:p>
        </w:tc>
      </w:tr>
      <w:tr w:rsidR="00501359" w:rsidRPr="00501359" w14:paraId="7D8F78A1" w14:textId="77777777" w:rsidTr="000F33D8">
        <w:tc>
          <w:tcPr>
            <w:tcW w:w="5740" w:type="dxa"/>
            <w:vAlign w:val="center"/>
          </w:tcPr>
          <w:p w14:paraId="031D24EE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SITE_SPECIFIC_RECOMBINASE_XERD</w:t>
            </w:r>
          </w:p>
        </w:tc>
        <w:tc>
          <w:tcPr>
            <w:tcW w:w="2772" w:type="dxa"/>
            <w:vAlign w:val="center"/>
          </w:tcPr>
          <w:p w14:paraId="101E82E0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Integrase</w:t>
            </w:r>
          </w:p>
        </w:tc>
      </w:tr>
      <w:tr w:rsidR="00501359" w:rsidRPr="00501359" w14:paraId="577BC134" w14:textId="77777777" w:rsidTr="000F33D8">
        <w:tc>
          <w:tcPr>
            <w:tcW w:w="5740" w:type="dxa"/>
            <w:vAlign w:val="center"/>
          </w:tcPr>
          <w:p w14:paraId="0413C49C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Excisionase_from_transposon_Tn916</w:t>
            </w:r>
          </w:p>
        </w:tc>
        <w:tc>
          <w:tcPr>
            <w:tcW w:w="2772" w:type="dxa"/>
            <w:vAlign w:val="center"/>
          </w:tcPr>
          <w:p w14:paraId="056A3B90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Excisionase</w:t>
            </w:r>
          </w:p>
        </w:tc>
      </w:tr>
      <w:tr w:rsidR="00501359" w:rsidRPr="00501359" w14:paraId="1D5329BC" w14:textId="77777777" w:rsidTr="000F33D8">
        <w:tc>
          <w:tcPr>
            <w:tcW w:w="5740" w:type="dxa"/>
            <w:vAlign w:val="center"/>
          </w:tcPr>
          <w:p w14:paraId="41AFC314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DNA_binding_</w:t>
            </w:r>
            <w:proofErr w:type="gramStart"/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domain,_</w:t>
            </w:r>
            <w:proofErr w:type="gramEnd"/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excisionase_family</w:t>
            </w:r>
          </w:p>
        </w:tc>
        <w:tc>
          <w:tcPr>
            <w:tcW w:w="2772" w:type="dxa"/>
            <w:vAlign w:val="center"/>
          </w:tcPr>
          <w:p w14:paraId="0EDBB248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Excisionase</w:t>
            </w:r>
          </w:p>
        </w:tc>
      </w:tr>
      <w:tr w:rsidR="00501359" w:rsidRPr="00501359" w14:paraId="7EA25770" w14:textId="77777777" w:rsidTr="000F33D8">
        <w:tc>
          <w:tcPr>
            <w:tcW w:w="5740" w:type="dxa"/>
            <w:vAlign w:val="center"/>
          </w:tcPr>
          <w:p w14:paraId="1A74BFE8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Repressor_protein_CI</w:t>
            </w:r>
          </w:p>
        </w:tc>
        <w:tc>
          <w:tcPr>
            <w:tcW w:w="2772" w:type="dxa"/>
            <w:vAlign w:val="center"/>
          </w:tcPr>
          <w:p w14:paraId="0BF2DA03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Repressor</w:t>
            </w:r>
          </w:p>
        </w:tc>
      </w:tr>
      <w:tr w:rsidR="00501359" w:rsidRPr="00501359" w14:paraId="3E976B43" w14:textId="77777777" w:rsidTr="000F33D8">
        <w:tc>
          <w:tcPr>
            <w:tcW w:w="5740" w:type="dxa"/>
            <w:vAlign w:val="center"/>
          </w:tcPr>
          <w:p w14:paraId="3501664A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P22_AR_repressor_domain_protein</w:t>
            </w:r>
          </w:p>
        </w:tc>
        <w:tc>
          <w:tcPr>
            <w:tcW w:w="2772" w:type="dxa"/>
            <w:vAlign w:val="center"/>
          </w:tcPr>
          <w:p w14:paraId="11BDEF71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Repressor</w:t>
            </w:r>
          </w:p>
        </w:tc>
      </w:tr>
      <w:tr w:rsidR="00501359" w:rsidRPr="00501359" w14:paraId="51621375" w14:textId="77777777" w:rsidTr="000F33D8">
        <w:tc>
          <w:tcPr>
            <w:tcW w:w="5740" w:type="dxa"/>
            <w:vAlign w:val="center"/>
          </w:tcPr>
          <w:p w14:paraId="51FABF6F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REPRESSOR_PROTEIN</w:t>
            </w:r>
          </w:p>
        </w:tc>
        <w:tc>
          <w:tcPr>
            <w:tcW w:w="2772" w:type="dxa"/>
            <w:vAlign w:val="center"/>
          </w:tcPr>
          <w:p w14:paraId="1B8ED3DA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Repressor</w:t>
            </w:r>
          </w:p>
        </w:tc>
      </w:tr>
      <w:tr w:rsidR="00501359" w:rsidRPr="00501359" w14:paraId="1D235D45" w14:textId="77777777" w:rsidTr="000F33D8">
        <w:tc>
          <w:tcPr>
            <w:tcW w:w="5740" w:type="dxa"/>
            <w:vAlign w:val="center"/>
          </w:tcPr>
          <w:p w14:paraId="3A91515C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Cro/C1-type_HTH_DNA-binding_domain</w:t>
            </w:r>
          </w:p>
        </w:tc>
        <w:tc>
          <w:tcPr>
            <w:tcW w:w="2772" w:type="dxa"/>
            <w:vAlign w:val="center"/>
          </w:tcPr>
          <w:p w14:paraId="73EB18CD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Repressor</w:t>
            </w:r>
          </w:p>
        </w:tc>
      </w:tr>
      <w:tr w:rsidR="00501359" w:rsidRPr="00501359" w14:paraId="3C47729D" w14:textId="77777777" w:rsidTr="000F33D8">
        <w:tc>
          <w:tcPr>
            <w:tcW w:w="5740" w:type="dxa"/>
            <w:vAlign w:val="center"/>
          </w:tcPr>
          <w:p w14:paraId="70BDF003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Phage_regulatory_protein_Rha_(Phage_pRha)</w:t>
            </w:r>
          </w:p>
        </w:tc>
        <w:tc>
          <w:tcPr>
            <w:tcW w:w="2772" w:type="dxa"/>
            <w:vAlign w:val="center"/>
          </w:tcPr>
          <w:p w14:paraId="41AD9C06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Repressor</w:t>
            </w:r>
          </w:p>
        </w:tc>
      </w:tr>
      <w:tr w:rsidR="00501359" w:rsidRPr="00501359" w14:paraId="3650D18B" w14:textId="77777777" w:rsidTr="000F33D8">
        <w:tc>
          <w:tcPr>
            <w:tcW w:w="5740" w:type="dxa"/>
            <w:vAlign w:val="center"/>
          </w:tcPr>
          <w:p w14:paraId="1C04C21C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Uncharacterized_</w:t>
            </w:r>
            <w:proofErr w:type="gramStart"/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ATPase,_</w:t>
            </w:r>
            <w:proofErr w:type="gramEnd"/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putative_transposase</w:t>
            </w:r>
          </w:p>
        </w:tc>
        <w:tc>
          <w:tcPr>
            <w:tcW w:w="2772" w:type="dxa"/>
            <w:vAlign w:val="center"/>
          </w:tcPr>
          <w:p w14:paraId="7D97742D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Transposase</w:t>
            </w:r>
          </w:p>
        </w:tc>
      </w:tr>
      <w:tr w:rsidR="00501359" w:rsidRPr="00501359" w14:paraId="004BB255" w14:textId="77777777" w:rsidTr="000F33D8">
        <w:tc>
          <w:tcPr>
            <w:tcW w:w="5740" w:type="dxa"/>
            <w:vAlign w:val="center"/>
          </w:tcPr>
          <w:p w14:paraId="55838A40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MU TRANSPOSASE</w:t>
            </w:r>
          </w:p>
        </w:tc>
        <w:tc>
          <w:tcPr>
            <w:tcW w:w="2772" w:type="dxa"/>
            <w:vAlign w:val="center"/>
          </w:tcPr>
          <w:p w14:paraId="325BA167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Transposase</w:t>
            </w:r>
          </w:p>
        </w:tc>
      </w:tr>
      <w:tr w:rsidR="00501359" w:rsidRPr="00501359" w14:paraId="1DA6636B" w14:textId="77777777" w:rsidTr="000F33D8">
        <w:tc>
          <w:tcPr>
            <w:tcW w:w="5740" w:type="dxa"/>
            <w:vAlign w:val="center"/>
          </w:tcPr>
          <w:p w14:paraId="7305060C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PROPHAGE_LAMBDALM01_ANTIGEN</w:t>
            </w:r>
          </w:p>
        </w:tc>
        <w:tc>
          <w:tcPr>
            <w:tcW w:w="2772" w:type="dxa"/>
            <w:vAlign w:val="center"/>
          </w:tcPr>
          <w:p w14:paraId="22C5E9C8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Prophage domain</w:t>
            </w:r>
          </w:p>
        </w:tc>
      </w:tr>
      <w:tr w:rsidR="00501359" w:rsidRPr="00501359" w14:paraId="7591D2BC" w14:textId="77777777" w:rsidTr="000F33D8">
        <w:tc>
          <w:tcPr>
            <w:tcW w:w="5740" w:type="dxa"/>
            <w:vAlign w:val="center"/>
          </w:tcPr>
          <w:p w14:paraId="1340B779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Mu-like_prophage_DNA_circulation_protein</w:t>
            </w:r>
          </w:p>
        </w:tc>
        <w:tc>
          <w:tcPr>
            <w:tcW w:w="2772" w:type="dxa"/>
            <w:vAlign w:val="center"/>
          </w:tcPr>
          <w:p w14:paraId="34CB47E4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Prophage domain</w:t>
            </w:r>
          </w:p>
        </w:tc>
      </w:tr>
      <w:tr w:rsidR="00501359" w:rsidRPr="00501359" w14:paraId="41709A33" w14:textId="77777777" w:rsidTr="000F33D8">
        <w:tc>
          <w:tcPr>
            <w:tcW w:w="5740" w:type="dxa"/>
            <w:vAlign w:val="center"/>
          </w:tcPr>
          <w:p w14:paraId="764E7F7D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Mu-like_prophage_I_protein</w:t>
            </w:r>
          </w:p>
        </w:tc>
        <w:tc>
          <w:tcPr>
            <w:tcW w:w="2772" w:type="dxa"/>
            <w:vAlign w:val="center"/>
          </w:tcPr>
          <w:p w14:paraId="3C7DCEBA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Prophage domain</w:t>
            </w:r>
          </w:p>
        </w:tc>
      </w:tr>
      <w:tr w:rsidR="00501359" w:rsidRPr="00501359" w14:paraId="07E22DDA" w14:textId="77777777" w:rsidTr="000F33D8">
        <w:tc>
          <w:tcPr>
            <w:tcW w:w="5740" w:type="dxa"/>
            <w:vAlign w:val="center"/>
          </w:tcPr>
          <w:p w14:paraId="17D86E32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ParB protein</w:t>
            </w:r>
          </w:p>
        </w:tc>
        <w:tc>
          <w:tcPr>
            <w:tcW w:w="2772" w:type="dxa"/>
            <w:vAlign w:val="center"/>
          </w:tcPr>
          <w:p w14:paraId="65083B92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Lysogenic recombination</w:t>
            </w:r>
          </w:p>
        </w:tc>
      </w:tr>
      <w:tr w:rsidR="00501359" w:rsidRPr="00501359" w14:paraId="6D8F6FBD" w14:textId="77777777" w:rsidTr="000F33D8">
        <w:tc>
          <w:tcPr>
            <w:tcW w:w="5740" w:type="dxa"/>
            <w:vAlign w:val="center"/>
          </w:tcPr>
          <w:p w14:paraId="0B05C78F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CHROMOSOME_PARTITIONING_PROTEIN_PARB</w:t>
            </w:r>
          </w:p>
        </w:tc>
        <w:tc>
          <w:tcPr>
            <w:tcW w:w="2772" w:type="dxa"/>
            <w:vAlign w:val="center"/>
          </w:tcPr>
          <w:p w14:paraId="77C577BC" w14:textId="77777777" w:rsidR="00501359" w:rsidRPr="00501359" w:rsidRDefault="00501359" w:rsidP="000F33D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359">
              <w:rPr>
                <w:rFonts w:ascii="Times New Roman" w:hAnsi="Times New Roman" w:cs="Times New Roman"/>
                <w:szCs w:val="24"/>
                <w:lang w:val="en-GB"/>
              </w:rPr>
              <w:t>Lysogenic recombination</w:t>
            </w:r>
          </w:p>
        </w:tc>
      </w:tr>
    </w:tbl>
    <w:p w14:paraId="241F5BC8" w14:textId="77777777" w:rsidR="00F56101" w:rsidRDefault="00F56101">
      <w:pPr>
        <w:spacing w:after="160" w:line="259" w:lineRule="auto"/>
        <w:rPr>
          <w:rFonts w:ascii="Times New Roman" w:hAnsi="Times New Roman" w:cs="Times New Roman"/>
          <w:b/>
          <w:bCs/>
          <w:szCs w:val="20"/>
          <w:lang w:val="en-GB"/>
        </w:rPr>
      </w:pPr>
      <w:r>
        <w:rPr>
          <w:rFonts w:ascii="Times New Roman" w:hAnsi="Times New Roman" w:cs="Times New Roman"/>
          <w:b/>
          <w:bCs/>
          <w:szCs w:val="20"/>
          <w:lang w:val="en-GB"/>
        </w:rPr>
        <w:br w:type="page"/>
      </w:r>
    </w:p>
    <w:tbl>
      <w:tblPr>
        <w:tblpPr w:leftFromText="141" w:rightFromText="141" w:vertAnchor="text" w:horzAnchor="margin" w:tblpXSpec="center" w:tblpY="554"/>
        <w:tblW w:w="11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559"/>
        <w:gridCol w:w="2551"/>
        <w:gridCol w:w="2552"/>
        <w:gridCol w:w="1134"/>
      </w:tblGrid>
      <w:tr w:rsidR="00F56101" w:rsidRPr="00A356AA" w14:paraId="5B84647C" w14:textId="77777777" w:rsidTr="00F56101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291F5F14" w14:textId="77777777" w:rsidR="00F56101" w:rsidRPr="003B5A17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s-ES" w:eastAsia="es-ES"/>
              </w:rPr>
            </w:pPr>
            <w:r w:rsidRPr="003B5A1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s-ES" w:eastAsia="es-ES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338F41A8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Control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19D69723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Naive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5870C9AB" w14:textId="3FBF4665" w:rsidR="00F56101" w:rsidRPr="00A356AA" w:rsidRDefault="00DC7743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INSTIs</w:t>
            </w:r>
            <w:r w:rsidR="00F56101" w:rsidRPr="00A356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-treated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79F5888C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p value</w:t>
            </w:r>
          </w:p>
        </w:tc>
      </w:tr>
      <w:tr w:rsidR="00F56101" w:rsidRPr="00A356AA" w14:paraId="7EF9C6D3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FCC2E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Number of patients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C019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728D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D46A5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DCFE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-</w:t>
            </w:r>
          </w:p>
        </w:tc>
      </w:tr>
      <w:tr w:rsidR="00F56101" w:rsidRPr="00A356AA" w14:paraId="3E86E43D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8297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Gender (m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s-ES"/>
              </w:rPr>
              <w:t>en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B118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9/26 (34.62%)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E88B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13/15 (86.67%) **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2FC07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12/15 (80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%) 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B8916" w14:textId="77777777" w:rsidR="00F56101" w:rsidRPr="002D7D53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0.002</w:t>
            </w:r>
          </w:p>
        </w:tc>
      </w:tr>
      <w:tr w:rsidR="00F56101" w:rsidRPr="00A356AA" w14:paraId="5353F99A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CA6E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C8BB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43.58±2.31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9A7EA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33.87±2.85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B11E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43.67±3.39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C86E" w14:textId="77777777" w:rsidR="00F56101" w:rsidRPr="002D7D53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0.033</w:t>
            </w:r>
          </w:p>
        </w:tc>
      </w:tr>
      <w:tr w:rsidR="00F56101" w:rsidRPr="00A356AA" w14:paraId="5BA6D0E9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7A63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BMI (kg/m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301F5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24.30±0.69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CD40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23.23±1.05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E166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23.51±0.85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EC08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0.616</w:t>
            </w:r>
          </w:p>
        </w:tc>
      </w:tr>
      <w:tr w:rsidR="00F56101" w:rsidRPr="00A356AA" w14:paraId="0948A3BD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6AF7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Waist circumference (cm)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943EB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85.35±2.55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856F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83.83±2.86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EBEDA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85.13±2.15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8EA1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0.916</w:t>
            </w:r>
          </w:p>
        </w:tc>
      </w:tr>
      <w:tr w:rsidR="00F56101" w:rsidRPr="00A356AA" w14:paraId="0B9C4E45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36D8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Systolic blood pressure (mmHg)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C441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120.58±2.76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A58A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135.67±5.67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7441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129.73±6.02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A246" w14:textId="77777777" w:rsidR="00F56101" w:rsidRPr="002D7D53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0.050</w:t>
            </w:r>
          </w:p>
        </w:tc>
      </w:tr>
      <w:tr w:rsidR="00F56101" w:rsidRPr="00A356AA" w14:paraId="6C1FE992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363D8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Diastolic blood pressure (mmHg)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007B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72.19±1.94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2C33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81.87±3.31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7F3D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77.8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</w:t>
            </w: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±3.24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3116A" w14:textId="77777777" w:rsidR="00F56101" w:rsidRPr="002D7D53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0.035</w:t>
            </w:r>
          </w:p>
        </w:tc>
      </w:tr>
      <w:tr w:rsidR="00F56101" w:rsidRPr="00A356AA" w14:paraId="47A819B7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6C9E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Alcohol active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3B67F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3/26 (11.54%)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D22D1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8F5A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1/15 (6.67%)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17165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0.578</w:t>
            </w:r>
          </w:p>
        </w:tc>
      </w:tr>
      <w:tr w:rsidR="00F56101" w:rsidRPr="00A356AA" w14:paraId="16D4248F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5C39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Smoking active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A8E8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3/26 (11.54%)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C0F1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7/15 (46.67%)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D6B7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10/15 (66.67%) 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D304" w14:textId="77777777" w:rsidR="00F56101" w:rsidRPr="002D7D53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0.001</w:t>
            </w:r>
          </w:p>
        </w:tc>
      </w:tr>
      <w:tr w:rsidR="00F56101" w:rsidRPr="00A356AA" w14:paraId="7541A87D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4F33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 xml:space="preserve">Basal 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CD4 (cells/µl)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3BC7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442D7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464.07±76.46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348F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850.53±101.68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0E90" w14:textId="77777777" w:rsidR="00F56101" w:rsidRPr="002D7D53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0.006</w:t>
            </w:r>
          </w:p>
        </w:tc>
      </w:tr>
      <w:tr w:rsidR="00F56101" w:rsidRPr="00A356AA" w14:paraId="4F18D29D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9BF1D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Nadir CD4 (cells/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 xml:space="preserve"> µl)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5B78C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F1AA6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464.07±76.46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E3342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202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526.53 ± 56.30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16CD3" w14:textId="77777777" w:rsidR="00F56101" w:rsidRPr="00202582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202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0.517</w:t>
            </w:r>
          </w:p>
        </w:tc>
      </w:tr>
      <w:tr w:rsidR="00F56101" w:rsidRPr="00A356AA" w14:paraId="487B9A6C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A376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CD4/CD8 ratio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F91D9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2394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0.53±0.13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8E0D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0.84±0.10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65C9" w14:textId="77777777" w:rsidR="00F56101" w:rsidRPr="002D7D53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0.027</w:t>
            </w:r>
          </w:p>
        </w:tc>
      </w:tr>
      <w:tr w:rsidR="00F56101" w:rsidRPr="00A356AA" w14:paraId="3E82BEEA" w14:textId="77777777" w:rsidTr="00F56101">
        <w:trPr>
          <w:trHeight w:val="285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093C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s-ES"/>
              </w:rPr>
              <w:t>Mode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GB" w:eastAsia="es-ES"/>
              </w:rPr>
              <w:t xml:space="preserve"> 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of transmission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F2121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6E322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HS: 6/15 (40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314C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HS: 7/15 (46.67%)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EEF3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0.716</w:t>
            </w:r>
          </w:p>
        </w:tc>
      </w:tr>
      <w:tr w:rsidR="00F56101" w:rsidRPr="00A356AA" w14:paraId="1D7E453B" w14:textId="77777777" w:rsidTr="00F56101">
        <w:trPr>
          <w:trHeight w:val="285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F14C" w14:textId="77777777" w:rsidR="00F56101" w:rsidRPr="00A356AA" w:rsidRDefault="00F56101" w:rsidP="00F5610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FC5BA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579A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MSM: 9/15 (60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A5922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MSM: 7/15 (46.67%)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2AF1" w14:textId="77777777" w:rsidR="00F56101" w:rsidRPr="00A356AA" w:rsidRDefault="00F56101" w:rsidP="00F561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</w:tr>
      <w:tr w:rsidR="00F56101" w:rsidRPr="00A356AA" w14:paraId="58AE37D7" w14:textId="77777777" w:rsidTr="00F56101">
        <w:trPr>
          <w:trHeight w:val="285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BA09" w14:textId="77777777" w:rsidR="00F56101" w:rsidRPr="00A356AA" w:rsidRDefault="00F56101" w:rsidP="00F5610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9755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543DC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Parenteral: 0/15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940AA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Parenteral: 1/15 (6.66%)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8968" w14:textId="77777777" w:rsidR="00F56101" w:rsidRPr="00A356AA" w:rsidRDefault="00F56101" w:rsidP="00F5610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</w:tr>
      <w:tr w:rsidR="00F56101" w:rsidRPr="00A356AA" w14:paraId="04F50C4F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23E0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AIDS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A0A02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EF36E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1/15 (6.67%)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6A74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98D0D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1</w:t>
            </w:r>
          </w:p>
        </w:tc>
      </w:tr>
      <w:tr w:rsidR="00F56101" w:rsidRPr="00A356AA" w14:paraId="25612136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5EB58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Coinfection with virus 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7518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09A9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8079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2/15 (13.33%)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60E6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0.483</w:t>
            </w:r>
          </w:p>
        </w:tc>
      </w:tr>
      <w:tr w:rsidR="00F56101" w:rsidRPr="00A356AA" w14:paraId="1669C9E6" w14:textId="77777777" w:rsidTr="00F56101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DD4D" w14:textId="77777777" w:rsidR="00F56101" w:rsidRPr="00A356AA" w:rsidRDefault="00F56101" w:rsidP="00F56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Coinfection with virus 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D8DCB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56EC7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8D73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A67B7" w14:textId="77777777" w:rsidR="00F56101" w:rsidRPr="00A356AA" w:rsidRDefault="00F56101" w:rsidP="00F56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1</w:t>
            </w:r>
          </w:p>
        </w:tc>
      </w:tr>
    </w:tbl>
    <w:p w14:paraId="625076BB" w14:textId="4E5842C8" w:rsidR="00F56101" w:rsidRPr="005A6A50" w:rsidRDefault="00F56101" w:rsidP="00F5610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  <w:lang w:val="en-GB"/>
        </w:rPr>
        <w:t>Supplementary T</w:t>
      </w:r>
      <w:r w:rsidRPr="00A356AA">
        <w:rPr>
          <w:rFonts w:ascii="Times New Roman" w:hAnsi="Times New Roman" w:cs="Times New Roman"/>
          <w:b/>
          <w:bCs/>
          <w:lang w:val="en-GB"/>
        </w:rPr>
        <w:t xml:space="preserve">able </w:t>
      </w:r>
      <w:r>
        <w:rPr>
          <w:rFonts w:ascii="Times New Roman" w:hAnsi="Times New Roman" w:cs="Times New Roman"/>
          <w:b/>
          <w:bCs/>
          <w:lang w:val="en-GB"/>
        </w:rPr>
        <w:t>3</w:t>
      </w:r>
      <w:r w:rsidRPr="00A356AA">
        <w:rPr>
          <w:rFonts w:ascii="Times New Roman" w:hAnsi="Times New Roman" w:cs="Times New Roman"/>
          <w:b/>
          <w:bCs/>
          <w:lang w:val="en-GB"/>
        </w:rPr>
        <w:t>.</w:t>
      </w:r>
      <w:r w:rsidRPr="00A356AA">
        <w:rPr>
          <w:rFonts w:ascii="Times New Roman" w:hAnsi="Times New Roman" w:cs="Times New Roman"/>
          <w:lang w:val="en-GB"/>
        </w:rPr>
        <w:t xml:space="preserve"> Characteristics of healthy uninfected controls and HIV-infected patients (naive and under INSTIs</w:t>
      </w:r>
      <w:r w:rsidRPr="00B03DFB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s-ES"/>
        </w:rPr>
        <w:t xml:space="preserve"> </w:t>
      </w:r>
    </w:p>
    <w:p w14:paraId="1D8B863E" w14:textId="1BF16461" w:rsidR="00A21150" w:rsidRDefault="00F56101" w:rsidP="00FC7003">
      <w:pPr>
        <w:tabs>
          <w:tab w:val="left" w:pos="1758"/>
        </w:tabs>
        <w:spacing w:after="160" w:line="259" w:lineRule="auto"/>
        <w:rPr>
          <w:rFonts w:ascii="Times New Roman" w:hAnsi="Times New Roman" w:cs="Times New Roman"/>
          <w:b/>
          <w:bCs/>
          <w:szCs w:val="20"/>
          <w:lang w:val="en-GB"/>
        </w:rPr>
      </w:pPr>
      <w:proofErr w:type="spellStart"/>
      <w:r w:rsidRPr="005A6A50">
        <w:rPr>
          <w:rFonts w:ascii="Times New Roman" w:hAnsi="Times New Roman" w:cs="Times New Roman"/>
          <w:lang w:val="es-ES"/>
        </w:rPr>
        <w:t>Qualitative</w:t>
      </w:r>
      <w:proofErr w:type="spellEnd"/>
      <w:r w:rsidRPr="005A6A50">
        <w:rPr>
          <w:rFonts w:ascii="Times New Roman" w:hAnsi="Times New Roman" w:cs="Times New Roman"/>
          <w:lang w:val="es-ES"/>
        </w:rPr>
        <w:t xml:space="preserve"> variables are </w:t>
      </w:r>
      <w:proofErr w:type="spellStart"/>
      <w:r w:rsidRPr="005A6A50">
        <w:rPr>
          <w:rFonts w:ascii="Times New Roman" w:hAnsi="Times New Roman" w:cs="Times New Roman"/>
          <w:lang w:val="es-ES"/>
        </w:rPr>
        <w:t>represented</w:t>
      </w:r>
      <w:proofErr w:type="spellEnd"/>
      <w:r w:rsidRPr="005A6A50">
        <w:rPr>
          <w:rFonts w:ascii="Times New Roman" w:hAnsi="Times New Roman" w:cs="Times New Roman"/>
          <w:lang w:val="es-ES"/>
        </w:rPr>
        <w:t xml:space="preserve"> in </w:t>
      </w:r>
      <w:proofErr w:type="spellStart"/>
      <w:r w:rsidRPr="005A6A50">
        <w:rPr>
          <w:rFonts w:ascii="Times New Roman" w:hAnsi="Times New Roman" w:cs="Times New Roman"/>
          <w:lang w:val="es-ES"/>
        </w:rPr>
        <w:t>percentage</w:t>
      </w:r>
      <w:proofErr w:type="spellEnd"/>
      <w:r w:rsidRPr="005A6A50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5A6A50">
        <w:rPr>
          <w:rFonts w:ascii="Times New Roman" w:hAnsi="Times New Roman" w:cs="Times New Roman"/>
          <w:lang w:val="es-ES"/>
        </w:rPr>
        <w:t>while</w:t>
      </w:r>
      <w:proofErr w:type="spellEnd"/>
      <w:r w:rsidRPr="005A6A50">
        <w:rPr>
          <w:rFonts w:ascii="Times New Roman" w:hAnsi="Times New Roman" w:cs="Times New Roman"/>
          <w:lang w:val="es-ES"/>
        </w:rPr>
        <w:t xml:space="preserve"> quantitative variables are </w:t>
      </w:r>
      <w:proofErr w:type="spellStart"/>
      <w:r w:rsidRPr="005A6A50">
        <w:rPr>
          <w:rFonts w:ascii="Times New Roman" w:hAnsi="Times New Roman" w:cs="Times New Roman"/>
          <w:lang w:val="es-ES"/>
        </w:rPr>
        <w:t>represented</w:t>
      </w:r>
      <w:proofErr w:type="spellEnd"/>
      <w:r w:rsidRPr="005A6A50">
        <w:rPr>
          <w:rFonts w:ascii="Times New Roman" w:hAnsi="Times New Roman" w:cs="Times New Roman"/>
          <w:lang w:val="es-ES"/>
        </w:rPr>
        <w:t xml:space="preserve"> as mean ± standard error mean. </w:t>
      </w:r>
      <w:r w:rsidRPr="00A356AA">
        <w:rPr>
          <w:rFonts w:ascii="Times New Roman" w:hAnsi="Times New Roman" w:cs="Times New Roman"/>
          <w:lang w:val="en-GB"/>
        </w:rPr>
        <w:t xml:space="preserve">P value refers to the comparation between two (naive </w:t>
      </w:r>
      <w:r w:rsidRPr="00A356AA">
        <w:rPr>
          <w:rFonts w:ascii="Times New Roman" w:hAnsi="Times New Roman" w:cs="Times New Roman"/>
          <w:i/>
          <w:iCs/>
          <w:lang w:val="en-GB"/>
        </w:rPr>
        <w:t>vs.</w:t>
      </w:r>
      <w:r w:rsidRPr="00A356AA">
        <w:rPr>
          <w:rFonts w:ascii="Times New Roman" w:hAnsi="Times New Roman" w:cs="Times New Roman"/>
          <w:lang w:val="en-GB"/>
        </w:rPr>
        <w:t xml:space="preserve"> ART) or three (control </w:t>
      </w:r>
      <w:r w:rsidRPr="00A356AA">
        <w:rPr>
          <w:rFonts w:ascii="Times New Roman" w:hAnsi="Times New Roman" w:cs="Times New Roman"/>
          <w:i/>
          <w:iCs/>
          <w:lang w:val="en-GB"/>
        </w:rPr>
        <w:t>vs.</w:t>
      </w:r>
      <w:r w:rsidRPr="00A356AA">
        <w:rPr>
          <w:rFonts w:ascii="Times New Roman" w:hAnsi="Times New Roman" w:cs="Times New Roman"/>
          <w:lang w:val="en-GB"/>
        </w:rPr>
        <w:t xml:space="preserve"> naive </w:t>
      </w:r>
      <w:r w:rsidRPr="00A356AA">
        <w:rPr>
          <w:rFonts w:ascii="Times New Roman" w:hAnsi="Times New Roman" w:cs="Times New Roman"/>
          <w:i/>
          <w:iCs/>
          <w:lang w:val="en-GB"/>
        </w:rPr>
        <w:t>vs.</w:t>
      </w:r>
      <w:r w:rsidRPr="00A356AA">
        <w:rPr>
          <w:rFonts w:ascii="Times New Roman" w:hAnsi="Times New Roman" w:cs="Times New Roman"/>
          <w:lang w:val="en-GB"/>
        </w:rPr>
        <w:t xml:space="preserve"> ART) groups, as appropriate. </w:t>
      </w:r>
      <w:r>
        <w:rPr>
          <w:rFonts w:ascii="Times New Roman" w:hAnsi="Times New Roman" w:cs="Times New Roman"/>
          <w:lang w:val="en-GB"/>
        </w:rPr>
        <w:t xml:space="preserve">Statistically significant p values are in bold. </w:t>
      </w:r>
      <w:r w:rsidRPr="00A356AA">
        <w:rPr>
          <w:rFonts w:ascii="Times New Roman" w:hAnsi="Times New Roman" w:cs="Times New Roman"/>
          <w:lang w:val="en-GB"/>
        </w:rPr>
        <w:t xml:space="preserve">Asterisks indicate statistically significant differences with respect to control </w:t>
      </w:r>
      <w:r w:rsidRPr="00A356AA">
        <w:rPr>
          <w:rFonts w:ascii="Times New Roman" w:hAnsi="Times New Roman" w:cs="Times New Roman"/>
          <w:lang w:val="en-GB"/>
        </w:rPr>
        <w:t>group (*p&lt;0.05, **p&lt;0.01 and ***p&lt;0.001). AIDS (acquired immunodeficiency syndrome), BMI (body mass index), HS (heterosexual),</w:t>
      </w:r>
      <w:r w:rsidR="00DC7743">
        <w:rPr>
          <w:rFonts w:ascii="Times New Roman" w:hAnsi="Times New Roman" w:cs="Times New Roman"/>
          <w:lang w:val="en-GB"/>
        </w:rPr>
        <w:t xml:space="preserve"> INSTIs (integrase strand transfer inhibitors</w:t>
      </w:r>
      <w:r w:rsidR="00FC7003">
        <w:rPr>
          <w:rFonts w:ascii="Times New Roman" w:hAnsi="Times New Roman" w:cs="Times New Roman"/>
          <w:lang w:val="en-GB"/>
        </w:rPr>
        <w:t>-based treatment</w:t>
      </w:r>
      <w:r w:rsidR="00DC7743">
        <w:rPr>
          <w:rFonts w:ascii="Times New Roman" w:hAnsi="Times New Roman" w:cs="Times New Roman"/>
          <w:lang w:val="en-GB"/>
        </w:rPr>
        <w:t>),</w:t>
      </w:r>
      <w:r w:rsidRPr="00A356AA">
        <w:rPr>
          <w:rFonts w:ascii="Times New Roman" w:hAnsi="Times New Roman" w:cs="Times New Roman"/>
          <w:lang w:val="en-GB"/>
        </w:rPr>
        <w:t xml:space="preserve"> MSM (men who have sex with men).</w:t>
      </w:r>
      <w:r w:rsidRPr="00F56101">
        <w:rPr>
          <w:rFonts w:ascii="Times New Roman" w:hAnsi="Times New Roman" w:cs="Times New Roman"/>
          <w:szCs w:val="20"/>
          <w:lang w:val="en-GB"/>
        </w:rPr>
        <w:br w:type="page"/>
      </w:r>
      <w:r w:rsidR="00FC7003" w:rsidRPr="00501359">
        <w:rPr>
          <w:rFonts w:ascii="Times New Roman" w:hAnsi="Times New Roman" w:cs="Times New Roman"/>
          <w:b/>
          <w:bCs/>
          <w:noProof/>
          <w:szCs w:val="20"/>
          <w:lang w:val="en-GB"/>
        </w:rPr>
        <w:lastRenderedPageBreak/>
        <w:drawing>
          <wp:anchor distT="0" distB="0" distL="114300" distR="114300" simplePos="0" relativeHeight="251661312" behindDoc="0" locked="0" layoutInCell="1" allowOverlap="1" wp14:anchorId="30F64D31" wp14:editId="29C52729">
            <wp:simplePos x="0" y="0"/>
            <wp:positionH relativeFrom="margin">
              <wp:align>center</wp:align>
            </wp:positionH>
            <wp:positionV relativeFrom="paragraph">
              <wp:posOffset>310</wp:posOffset>
            </wp:positionV>
            <wp:extent cx="6524384" cy="2296554"/>
            <wp:effectExtent l="0" t="0" r="0" b="8890"/>
            <wp:wrapTopAndBottom/>
            <wp:docPr id="3" name="Imagen 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384" cy="2296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359" w:rsidRPr="00501359">
        <w:rPr>
          <w:rFonts w:ascii="Times New Roman" w:hAnsi="Times New Roman" w:cs="Times New Roman"/>
          <w:b/>
          <w:bCs/>
          <w:szCs w:val="20"/>
          <w:lang w:val="en-GB"/>
        </w:rPr>
        <w:t>Supplementary Figure 1.</w:t>
      </w:r>
      <w:r w:rsidR="00501359" w:rsidRPr="00501359">
        <w:rPr>
          <w:rFonts w:ascii="Times New Roman" w:hAnsi="Times New Roman" w:cs="Times New Roman"/>
          <w:szCs w:val="20"/>
          <w:lang w:val="en-GB"/>
        </w:rPr>
        <w:t xml:space="preserve"> </w:t>
      </w:r>
      <w:r w:rsidR="00501359" w:rsidRPr="00501359">
        <w:rPr>
          <w:rFonts w:ascii="Times New Roman" w:hAnsi="Times New Roman" w:cs="Times New Roman"/>
          <w:szCs w:val="20"/>
        </w:rPr>
        <w:t>Flowchart of patient recruitment. INSTIs (integrase strand transfer inhibitors-</w:t>
      </w:r>
      <w:r w:rsidR="00FC7003" w:rsidRPr="00501359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1660288" behindDoc="0" locked="0" layoutInCell="1" allowOverlap="1" wp14:anchorId="5BDB7B82" wp14:editId="37663E9C">
            <wp:simplePos x="0" y="0"/>
            <wp:positionH relativeFrom="margin">
              <wp:align>center</wp:align>
            </wp:positionH>
            <wp:positionV relativeFrom="paragraph">
              <wp:posOffset>2895600</wp:posOffset>
            </wp:positionV>
            <wp:extent cx="4454525" cy="4413250"/>
            <wp:effectExtent l="0" t="0" r="3175" b="6350"/>
            <wp:wrapTopAndBottom/>
            <wp:docPr id="2" name="Imagen 2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1359" w:rsidRPr="00501359">
        <w:rPr>
          <w:rFonts w:ascii="Times New Roman" w:hAnsi="Times New Roman" w:cs="Times New Roman"/>
          <w:szCs w:val="20"/>
        </w:rPr>
        <w:t>based treatment).</w:t>
      </w:r>
      <w:bookmarkStart w:id="2" w:name="_Hlk105503619"/>
    </w:p>
    <w:p w14:paraId="692C5223" w14:textId="2462CB4B" w:rsidR="00883395" w:rsidRPr="00501359" w:rsidRDefault="00501359" w:rsidP="00501359">
      <w:pPr>
        <w:jc w:val="both"/>
        <w:rPr>
          <w:rFonts w:cstheme="minorHAnsi"/>
          <w:bCs/>
          <w:lang w:val="en-GB"/>
        </w:rPr>
      </w:pPr>
      <w:r w:rsidRPr="00501359">
        <w:rPr>
          <w:rFonts w:ascii="Times New Roman" w:hAnsi="Times New Roman" w:cs="Times New Roman"/>
          <w:b/>
          <w:bCs/>
          <w:szCs w:val="20"/>
          <w:lang w:val="en-GB"/>
        </w:rPr>
        <w:t>Supplementary Figure 2.</w:t>
      </w:r>
      <w:r w:rsidRPr="00501359">
        <w:rPr>
          <w:rFonts w:ascii="Times New Roman" w:hAnsi="Times New Roman" w:cs="Times New Roman"/>
          <w:szCs w:val="20"/>
          <w:lang w:val="en-GB"/>
        </w:rPr>
        <w:t xml:space="preserve"> </w:t>
      </w:r>
      <w:r w:rsidRPr="00501359">
        <w:rPr>
          <w:rFonts w:ascii="Times New Roman" w:hAnsi="Times New Roman" w:cs="Times New Roman"/>
          <w:szCs w:val="20"/>
        </w:rPr>
        <w:t xml:space="preserve">Relative abundance of the lysogenic phages belonging to </w:t>
      </w:r>
      <w:r w:rsidRPr="00501359">
        <w:rPr>
          <w:rFonts w:ascii="Times New Roman" w:hAnsi="Times New Roman" w:cs="Times New Roman"/>
          <w:i/>
          <w:iCs/>
          <w:szCs w:val="20"/>
        </w:rPr>
        <w:t xml:space="preserve">Caudoviricetes </w:t>
      </w:r>
      <w:r w:rsidRPr="00501359">
        <w:rPr>
          <w:rFonts w:ascii="Times New Roman" w:hAnsi="Times New Roman" w:cs="Times New Roman"/>
          <w:szCs w:val="20"/>
        </w:rPr>
        <w:t xml:space="preserve">class comparing control group </w:t>
      </w:r>
      <w:r w:rsidRPr="00501359">
        <w:rPr>
          <w:rFonts w:ascii="Times New Roman" w:hAnsi="Times New Roman" w:cs="Times New Roman"/>
          <w:i/>
          <w:iCs/>
          <w:szCs w:val="20"/>
        </w:rPr>
        <w:t xml:space="preserve">vs. </w:t>
      </w:r>
      <w:r w:rsidRPr="00501359">
        <w:rPr>
          <w:rFonts w:ascii="Times New Roman" w:hAnsi="Times New Roman" w:cs="Times New Roman"/>
          <w:szCs w:val="20"/>
        </w:rPr>
        <w:t>HIV-infected patients (</w:t>
      </w:r>
      <w:r w:rsidRPr="002A07A8">
        <w:rPr>
          <w:rFonts w:ascii="Times New Roman" w:hAnsi="Times New Roman" w:cs="Times New Roman"/>
          <w:b/>
          <w:bCs/>
          <w:szCs w:val="20"/>
        </w:rPr>
        <w:t>A</w:t>
      </w:r>
      <w:r w:rsidRPr="00501359">
        <w:rPr>
          <w:rFonts w:ascii="Times New Roman" w:hAnsi="Times New Roman" w:cs="Times New Roman"/>
          <w:szCs w:val="20"/>
        </w:rPr>
        <w:t xml:space="preserve">) and control group </w:t>
      </w:r>
      <w:r w:rsidRPr="00501359">
        <w:rPr>
          <w:rFonts w:ascii="Times New Roman" w:hAnsi="Times New Roman" w:cs="Times New Roman"/>
          <w:i/>
          <w:iCs/>
          <w:szCs w:val="20"/>
        </w:rPr>
        <w:t xml:space="preserve">vs. </w:t>
      </w:r>
      <w:r w:rsidRPr="00501359">
        <w:rPr>
          <w:rFonts w:ascii="Times New Roman" w:hAnsi="Times New Roman" w:cs="Times New Roman"/>
          <w:szCs w:val="20"/>
        </w:rPr>
        <w:t>na</w:t>
      </w:r>
      <w:r w:rsidR="00FC7003">
        <w:rPr>
          <w:rFonts w:ascii="Times New Roman" w:hAnsi="Times New Roman" w:cs="Times New Roman"/>
          <w:szCs w:val="20"/>
        </w:rPr>
        <w:t>i</w:t>
      </w:r>
      <w:r w:rsidRPr="00501359">
        <w:rPr>
          <w:rFonts w:ascii="Times New Roman" w:hAnsi="Times New Roman" w:cs="Times New Roman"/>
          <w:szCs w:val="20"/>
        </w:rPr>
        <w:t xml:space="preserve">ve patients </w:t>
      </w:r>
      <w:r w:rsidRPr="00501359">
        <w:rPr>
          <w:rFonts w:ascii="Times New Roman" w:hAnsi="Times New Roman" w:cs="Times New Roman"/>
          <w:i/>
          <w:iCs/>
          <w:szCs w:val="20"/>
        </w:rPr>
        <w:t>vs.</w:t>
      </w:r>
      <w:r w:rsidRPr="00501359">
        <w:rPr>
          <w:rFonts w:ascii="Times New Roman" w:hAnsi="Times New Roman" w:cs="Times New Roman"/>
          <w:szCs w:val="20"/>
        </w:rPr>
        <w:t xml:space="preserve"> INSTIs-treated patients (</w:t>
      </w:r>
      <w:r w:rsidRPr="002A07A8">
        <w:rPr>
          <w:rFonts w:ascii="Times New Roman" w:hAnsi="Times New Roman" w:cs="Times New Roman"/>
          <w:b/>
          <w:bCs/>
          <w:szCs w:val="20"/>
        </w:rPr>
        <w:t>B</w:t>
      </w:r>
      <w:r w:rsidRPr="00501359">
        <w:rPr>
          <w:rFonts w:ascii="Times New Roman" w:hAnsi="Times New Roman" w:cs="Times New Roman"/>
          <w:szCs w:val="20"/>
        </w:rPr>
        <w:t>). HIV (human immunodeficiency virus),</w:t>
      </w:r>
      <w:r w:rsidRPr="00501359">
        <w:rPr>
          <w:rFonts w:ascii="Times New Roman" w:hAnsi="Times New Roman" w:cs="Times New Roman"/>
          <w:szCs w:val="20"/>
          <w:lang w:val="en-GB"/>
        </w:rPr>
        <w:t xml:space="preserve"> INSTIs (integrase strand transfer inhibitors-based treatment).</w:t>
      </w:r>
      <w:bookmarkEnd w:id="2"/>
      <w:r w:rsidR="00883395" w:rsidRPr="00883395">
        <w:t xml:space="preserve"> </w:t>
      </w:r>
    </w:p>
    <w:sectPr w:rsidR="00883395" w:rsidRPr="00501359" w:rsidSect="00845A06"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9AD1" w14:textId="77777777" w:rsidR="007149E2" w:rsidRDefault="007149E2" w:rsidP="00F56101">
      <w:pPr>
        <w:spacing w:after="0" w:line="240" w:lineRule="auto"/>
      </w:pPr>
      <w:r>
        <w:separator/>
      </w:r>
    </w:p>
  </w:endnote>
  <w:endnote w:type="continuationSeparator" w:id="0">
    <w:p w14:paraId="03C02394" w14:textId="77777777" w:rsidR="007149E2" w:rsidRDefault="007149E2" w:rsidP="00F5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EC630" w14:textId="77777777" w:rsidR="007149E2" w:rsidRDefault="007149E2" w:rsidP="00F56101">
      <w:pPr>
        <w:spacing w:after="0" w:line="240" w:lineRule="auto"/>
      </w:pPr>
      <w:r>
        <w:separator/>
      </w:r>
    </w:p>
  </w:footnote>
  <w:footnote w:type="continuationSeparator" w:id="0">
    <w:p w14:paraId="2D07F7DC" w14:textId="77777777" w:rsidR="007149E2" w:rsidRDefault="007149E2" w:rsidP="00F56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2A"/>
    <w:rsid w:val="00046296"/>
    <w:rsid w:val="00123B60"/>
    <w:rsid w:val="00241E32"/>
    <w:rsid w:val="00273F76"/>
    <w:rsid w:val="002A07A8"/>
    <w:rsid w:val="00314456"/>
    <w:rsid w:val="003B5A17"/>
    <w:rsid w:val="003D6FF9"/>
    <w:rsid w:val="0041662A"/>
    <w:rsid w:val="00501359"/>
    <w:rsid w:val="0052080A"/>
    <w:rsid w:val="005E19BC"/>
    <w:rsid w:val="00696637"/>
    <w:rsid w:val="007149E2"/>
    <w:rsid w:val="007E5515"/>
    <w:rsid w:val="00852861"/>
    <w:rsid w:val="008538E8"/>
    <w:rsid w:val="008775E4"/>
    <w:rsid w:val="00883395"/>
    <w:rsid w:val="00937216"/>
    <w:rsid w:val="009E4BEA"/>
    <w:rsid w:val="00A21150"/>
    <w:rsid w:val="00A8658D"/>
    <w:rsid w:val="00CF57E6"/>
    <w:rsid w:val="00D73B34"/>
    <w:rsid w:val="00DC7743"/>
    <w:rsid w:val="00E9256B"/>
    <w:rsid w:val="00F56101"/>
    <w:rsid w:val="00F752B2"/>
    <w:rsid w:val="00F858CF"/>
    <w:rsid w:val="00FC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7134"/>
  <w15:chartTrackingRefBased/>
  <w15:docId w15:val="{66797822-D77C-44BB-B52E-999261D4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216"/>
    <w:pPr>
      <w:spacing w:after="200" w:line="276" w:lineRule="auto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721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937216"/>
  </w:style>
  <w:style w:type="character" w:styleId="Hipervnculo">
    <w:name w:val="Hyperlink"/>
    <w:basedOn w:val="Fuentedeprrafopredeter"/>
    <w:uiPriority w:val="99"/>
    <w:rsid w:val="0093721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4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456"/>
    <w:rPr>
      <w:rFonts w:ascii="Segoe UI" w:eastAsiaTheme="minorEastAsia" w:hAnsi="Segoe UI" w:cs="Segoe UI"/>
      <w:sz w:val="18"/>
      <w:szCs w:val="18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01359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56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6101"/>
    <w:rPr>
      <w:rFonts w:eastAsiaTheme="minorEastAsia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56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6101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perez@riojasalud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Pablo Villoslada Blanco</cp:lastModifiedBy>
  <cp:revision>21</cp:revision>
  <dcterms:created xsi:type="dcterms:W3CDTF">2022-04-28T12:51:00Z</dcterms:created>
  <dcterms:modified xsi:type="dcterms:W3CDTF">2022-08-17T07:30:00Z</dcterms:modified>
</cp:coreProperties>
</file>