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 Bold" w:hAnsi="Times New Roman Bold" w:eastAsia="Times New Roman" w:cs="Times New Roman Bold"/>
          <w:b/>
          <w:bCs/>
          <w:color w:val="000000" w:themeColor="text1"/>
          <w:sz w:val="20"/>
          <w:szCs w:val="22"/>
          <w:lang w:eastAsia="zh-Hans" w:bidi="en-US"/>
          <w14:textFill>
            <w14:solidFill>
              <w14:schemeClr w14:val="tx1"/>
            </w14:solidFill>
          </w14:textFill>
        </w:rPr>
      </w:pPr>
      <w:r>
        <w:rPr>
          <w:rFonts w:ascii="Times New Roman Bold" w:hAnsi="Times New Roman Bold" w:eastAsia="Times New Roman" w:cs="Times New Roman Bold"/>
          <w:b/>
          <w:bCs/>
          <w:color w:val="000000" w:themeColor="text1"/>
          <w:sz w:val="20"/>
          <w:szCs w:val="22"/>
          <w:lang w:bidi="en-US"/>
          <w14:textFill>
            <w14:solidFill>
              <w14:schemeClr w14:val="tx1"/>
            </w14:solidFill>
          </w14:textFill>
        </w:rPr>
        <w:t>Supplementary F</w:t>
      </w:r>
      <w:r>
        <w:rPr>
          <w:rFonts w:hint="eastAsia" w:ascii="Times New Roman Bold" w:hAnsi="Times New Roman Bold" w:eastAsia="Times New Roman" w:cs="Times New Roman Bold"/>
          <w:b/>
          <w:bCs/>
          <w:color w:val="000000" w:themeColor="text1"/>
          <w:sz w:val="20"/>
          <w:szCs w:val="22"/>
          <w:lang w:eastAsia="zh-Hans" w:bidi="en-US"/>
          <w14:textFill>
            <w14:solidFill>
              <w14:schemeClr w14:val="tx1"/>
            </w14:solidFill>
          </w14:textFill>
        </w:rPr>
        <w:t>igures</w:t>
      </w:r>
    </w:p>
    <w:p>
      <w:pPr>
        <w:rPr>
          <w:rFonts w:ascii="Times New Roman Bold" w:hAnsi="Times New Roman Bold" w:eastAsia="Times New Roman" w:cs="Times New Roman Bold"/>
          <w:b/>
          <w:bCs/>
          <w:color w:val="000000" w:themeColor="text1"/>
          <w:sz w:val="22"/>
          <w:szCs w:val="28"/>
          <w:lang w:bidi="en-US"/>
          <w14:textFill>
            <w14:solidFill>
              <w14:schemeClr w14:val="tx1"/>
            </w14:solidFill>
          </w14:textFill>
        </w:rPr>
      </w:pPr>
    </w:p>
    <w:p>
      <w:r>
        <w:rPr>
          <w:rFonts w:hint="eastAsia"/>
        </w:rPr>
        <w:drawing>
          <wp:inline distT="0" distB="0" distL="114300" distR="114300">
            <wp:extent cx="6635750" cy="4486275"/>
            <wp:effectExtent l="0" t="0" r="19050" b="9525"/>
            <wp:docPr id="1" name="图片 1" descr="Fig.S1 Sequencing depth distribu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S1 Sequencing depth distribution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autoSpaceDE w:val="0"/>
        <w:autoSpaceDN w:val="0"/>
        <w:snapToGrid w:val="0"/>
        <w:spacing w:before="0" w:beforeAutospacing="1" w:after="160" w:afterAutospacing="0" w:line="273" w:lineRule="auto"/>
        <w:ind w:left="0" w:right="0"/>
        <w:jc w:val="both"/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</w:pPr>
      <w:r>
        <w:rPr>
          <w:rFonts w:hint="default" w:ascii="Times New Roman" w:hAnsi="Times New Roman" w:eastAsia="宋体" w:cs="Times New Roman"/>
          <w:b/>
          <w:color w:val="000000"/>
          <w:kern w:val="0"/>
          <w:sz w:val="20"/>
          <w:szCs w:val="20"/>
          <w:lang w:val="en-US" w:eastAsia="zh-CN" w:bidi="ar"/>
        </w:rPr>
        <w:t xml:space="preserve">Supplementary Figure S1. Sequencing depth distribution.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(A) Asian cultivated eggplant, </w:t>
      </w:r>
      <w:r>
        <w:rPr>
          <w:rFonts w:hint="default" w:ascii="Times New Roman" w:hAnsi="Times New Roman" w:eastAsia="宋体" w:cs="Times New Roman"/>
          <w:i/>
          <w:color w:val="000000"/>
          <w:kern w:val="0"/>
          <w:sz w:val="20"/>
          <w:szCs w:val="20"/>
          <w:lang w:val="en-US" w:eastAsia="zh-CN" w:bidi="ar"/>
        </w:rPr>
        <w:t>S. melongena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 177; (B) African eggplant, </w:t>
      </w:r>
      <w:r>
        <w:rPr>
          <w:rFonts w:hint="default" w:ascii="Times New Roman" w:hAnsi="Times New Roman" w:eastAsia="宋体" w:cs="Times New Roman"/>
          <w:i/>
          <w:color w:val="000000"/>
          <w:kern w:val="0"/>
          <w:sz w:val="20"/>
          <w:szCs w:val="20"/>
          <w:lang w:val="en-US" w:eastAsia="zh-CN" w:bidi="ar"/>
        </w:rPr>
        <w:t>S. aethiopicum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 Y11; (C) F1 hybrid progeny of 177×Y11; (D) F1 hybrid progeny of Y11×177. The X-axis represents the sequencing depth. The blue line and left Y-axis represent the percentage of the genome that has sites at a depth ≥ that depth, while the red line and the right Y-axis represent the percentage of the genome that has sites ≥ that depth.</w:t>
      </w:r>
      <w:r>
        <w:rPr>
          <w:rFonts w:hint="eastAsia" w:ascii="Times New Roman" w:hAnsi="Times New Roman" w:eastAsia="宋体" w:cs="Times New Roman"/>
          <w:color w:val="000000"/>
          <w:sz w:val="20"/>
          <w:szCs w:val="20"/>
          <w:lang w:bidi="ar"/>
        </w:rPr>
        <w:t xml:space="preserve">  </w:t>
      </w:r>
    </w:p>
    <w:p>
      <w:pPr>
        <w:tabs>
          <w:tab w:val="left" w:pos="2160"/>
        </w:tabs>
        <w:autoSpaceDE w:val="0"/>
        <w:autoSpaceDN w:val="0"/>
        <w:snapToGrid w:val="0"/>
        <w:spacing w:line="360" w:lineRule="auto"/>
        <w:jc w:val="center"/>
        <w:rPr>
          <w:rFonts w:asciiTheme="majorBidi" w:hAnsiTheme="majorBidi" w:cstheme="majorBidi"/>
          <w:b/>
          <w:color w:val="000000" w:themeColor="text1"/>
          <w:lang w:eastAsia="en-US"/>
          <w14:textFill>
            <w14:solidFill>
              <w14:schemeClr w14:val="tx1"/>
            </w14:solidFill>
          </w14:textFill>
        </w:rPr>
      </w:pPr>
    </w:p>
    <w:p>
      <w:pPr>
        <w:tabs>
          <w:tab w:val="left" w:pos="2160"/>
        </w:tabs>
        <w:autoSpaceDE w:val="0"/>
        <w:autoSpaceDN w:val="0"/>
        <w:snapToGrid w:val="0"/>
        <w:spacing w:line="360" w:lineRule="auto"/>
        <w:jc w:val="center"/>
        <w:rPr>
          <w:rFonts w:asciiTheme="majorBidi" w:hAnsiTheme="majorBidi" w:cstheme="majorBidi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Theme="majorBidi" w:hAnsiTheme="majorBidi" w:cstheme="majorBidi"/>
          <w:b/>
          <w:color w:val="000000" w:themeColor="text1"/>
          <w:lang w:eastAsia="en-US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4890770" cy="4660265"/>
            <wp:effectExtent l="0" t="0" r="11430" b="13335"/>
            <wp:docPr id="11" name="图片 1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hart, bar char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8594" cy="466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1" w:after="160" w:afterAutospacing="0" w:line="260" w:lineRule="atLeast"/>
        <w:ind w:left="0" w:right="0"/>
        <w:jc w:val="both"/>
        <w:rPr>
          <w:sz w:val="20"/>
          <w:szCs w:val="20"/>
        </w:rPr>
      </w:pPr>
      <w:r>
        <w:rPr>
          <w:rFonts w:hint="default" w:ascii="Times New Roman" w:hAnsi="Times New Roman" w:eastAsia="宋体" w:cs="Times New Roman"/>
          <w:b/>
          <w:color w:val="000000"/>
          <w:kern w:val="0"/>
          <w:sz w:val="20"/>
          <w:szCs w:val="20"/>
          <w:lang w:val="en-US" w:eastAsia="zh-CN" w:bidi="ar"/>
        </w:rPr>
        <w:t xml:space="preserve">Supplementary Figure S2. Mutation type and quantity distribution of single-nucleotide polymorphisms (SNPs). </w:t>
      </w: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 xml:space="preserve">Y11: wild African eggplant, </w:t>
      </w:r>
      <w:r>
        <w:rPr>
          <w:rFonts w:hint="default" w:ascii="Times New Roman" w:hAnsi="Times New Roman" w:eastAsia="宋体" w:cs="Times New Roman"/>
          <w:i/>
          <w:color w:val="000000"/>
          <w:kern w:val="2"/>
          <w:sz w:val="20"/>
          <w:szCs w:val="20"/>
          <w:lang w:val="en-US" w:eastAsia="zh-CN" w:bidi="ar"/>
        </w:rPr>
        <w:t>S. aethiopicum</w:t>
      </w: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 xml:space="preserve">; 177: cultivated Japanese eggplant, </w:t>
      </w:r>
      <w:r>
        <w:rPr>
          <w:rFonts w:hint="default" w:ascii="Times New Roman" w:hAnsi="Times New Roman" w:eastAsia="宋体" w:cs="Times New Roman"/>
          <w:i/>
          <w:color w:val="000000"/>
          <w:kern w:val="2"/>
          <w:sz w:val="20"/>
          <w:szCs w:val="20"/>
          <w:lang w:val="en-US" w:eastAsia="zh-CN" w:bidi="ar"/>
        </w:rPr>
        <w:t>S. melongena</w:t>
      </w: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>; 177×Y11: F1 heterozygous progeny of 177×Y11; Y11×177: F1 heterozygous progeny of Y11×177</w:t>
      </w:r>
      <w:r>
        <w:rPr>
          <w:rFonts w:hint="default" w:ascii="Times New Roman" w:hAnsi="Times New Roman" w:eastAsia="宋体" w:cs="Times New Roman"/>
          <w:i/>
          <w:color w:val="000000"/>
          <w:kern w:val="2"/>
          <w:sz w:val="20"/>
          <w:szCs w:val="20"/>
          <w:lang w:val="en-US" w:eastAsia="zh-CN" w:bidi="ar"/>
        </w:rPr>
        <w:t>.</w:t>
      </w:r>
    </w:p>
    <w:p>
      <w:pPr>
        <w:tabs>
          <w:tab w:val="left" w:pos="2160"/>
        </w:tabs>
        <w:autoSpaceDE w:val="0"/>
        <w:autoSpaceDN w:val="0"/>
        <w:snapToGrid w:val="0"/>
        <w:jc w:val="left"/>
        <w:rPr>
          <w:rFonts w:asciiTheme="majorBidi" w:hAnsiTheme="majorBidi" w:cstheme="majorBidi"/>
          <w:b/>
          <w:color w:val="000000" w:themeColor="text1"/>
          <w:lang w:eastAsia="en-US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ajorBidi" w:hAnsiTheme="majorBidi" w:cstheme="majorBidi"/>
          <w:b/>
          <w:color w:val="000000" w:themeColor="text1"/>
          <w:lang w:eastAsia="en-US"/>
          <w14:textFill>
            <w14:solidFill>
              <w14:schemeClr w14:val="tx1"/>
            </w14:solidFill>
          </w14:textFill>
        </w:rPr>
      </w:pPr>
      <w:r>
        <w:rPr>
          <w:rFonts w:asciiTheme="majorBidi" w:hAnsiTheme="majorBidi" w:cstheme="majorBidi"/>
          <w:b/>
          <w:color w:val="000000" w:themeColor="text1"/>
          <w:lang w:eastAsia="en-US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193665" cy="5060950"/>
            <wp:effectExtent l="0" t="0" r="13335" b="190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3665" cy="506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1" w:after="160" w:afterAutospacing="0" w:line="260" w:lineRule="atLeast"/>
        <w:ind w:left="0" w:right="0"/>
        <w:jc w:val="both"/>
        <w:rPr>
          <w:sz w:val="20"/>
          <w:szCs w:val="20"/>
        </w:rPr>
      </w:pPr>
      <w:r>
        <w:rPr>
          <w:rFonts w:hint="default" w:ascii="Times New Roman" w:hAnsi="Times New Roman" w:eastAsia="宋体" w:cs="Times New Roman"/>
          <w:b/>
          <w:color w:val="000000"/>
          <w:kern w:val="0"/>
          <w:sz w:val="20"/>
          <w:szCs w:val="20"/>
          <w:lang w:val="en-US" w:eastAsia="zh-CN" w:bidi="ar"/>
        </w:rPr>
        <w:t xml:space="preserve">Supplementary Figure S3. Length distribution of insertion/deletions (InDels) within the coding regions. </w:t>
      </w: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 xml:space="preserve">Y11: wild African eggplant, </w:t>
      </w:r>
      <w:r>
        <w:rPr>
          <w:rFonts w:hint="default" w:ascii="Times New Roman" w:hAnsi="Times New Roman" w:eastAsia="宋体" w:cs="Times New Roman"/>
          <w:i/>
          <w:color w:val="000000"/>
          <w:kern w:val="2"/>
          <w:sz w:val="20"/>
          <w:szCs w:val="20"/>
          <w:lang w:val="en-US" w:eastAsia="zh-CN" w:bidi="ar"/>
        </w:rPr>
        <w:t>S. aethiopicum</w:t>
      </w: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 xml:space="preserve">; 177: cultivated Japanese eggplant, </w:t>
      </w:r>
      <w:r>
        <w:rPr>
          <w:rFonts w:hint="default" w:ascii="Times New Roman" w:hAnsi="Times New Roman" w:eastAsia="宋体" w:cs="Times New Roman"/>
          <w:i/>
          <w:color w:val="000000"/>
          <w:kern w:val="2"/>
          <w:sz w:val="20"/>
          <w:szCs w:val="20"/>
          <w:lang w:val="en-US" w:eastAsia="zh-CN" w:bidi="ar"/>
        </w:rPr>
        <w:t>S. melongena</w:t>
      </w: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>; 177×Y11: F1 heterozygous progeny of 177×Y11; Y11×177: F1 heterozygous progeny of Y11×177</w:t>
      </w:r>
      <w:r>
        <w:rPr>
          <w:rFonts w:hint="default" w:ascii="Times New Roman" w:hAnsi="Times New Roman" w:eastAsia="宋体" w:cs="Times New Roman"/>
          <w:i/>
          <w:color w:val="000000"/>
          <w:kern w:val="2"/>
          <w:sz w:val="20"/>
          <w:szCs w:val="20"/>
          <w:lang w:val="en-US" w:eastAsia="zh-CN" w:bidi="ar"/>
        </w:rPr>
        <w:t>.</w:t>
      </w:r>
    </w:p>
    <w:p>
      <w:pPr>
        <w:snapToGrid w:val="0"/>
        <w:jc w:val="left"/>
        <w:rPr>
          <w:rFonts w:asciiTheme="majorBidi" w:hAnsiTheme="majorBidi" w:cstheme="majorBidi"/>
          <w:b/>
          <w:color w:val="000000" w:themeColor="text1"/>
          <w:lang w:eastAsia="en-US"/>
          <w14:textFill>
            <w14:solidFill>
              <w14:schemeClr w14:val="tx1"/>
            </w14:solidFill>
          </w14:textFill>
        </w:rPr>
      </w:pPr>
    </w:p>
    <w:p>
      <w:pPr>
        <w:tabs>
          <w:tab w:val="left" w:pos="2160"/>
        </w:tabs>
        <w:autoSpaceDE w:val="0"/>
        <w:autoSpaceDN w:val="0"/>
        <w:snapToGrid w:val="0"/>
        <w:jc w:val="center"/>
        <w:rPr>
          <w:rFonts w:asciiTheme="majorBidi" w:hAnsiTheme="majorBidi" w:cstheme="majorBid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Theme="majorBidi" w:hAnsiTheme="majorBidi" w:cstheme="majorBidi"/>
          <w:color w:val="000000" w:themeColor="text1"/>
          <w:lang w:eastAsia="en-US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4432300" cy="4253230"/>
            <wp:effectExtent l="0" t="0" r="12700" b="139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425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1" w:after="160" w:afterAutospacing="0" w:line="260" w:lineRule="atLeast"/>
        <w:ind w:left="0" w:right="0"/>
        <w:jc w:val="both"/>
        <w:rPr>
          <w:sz w:val="20"/>
          <w:szCs w:val="20"/>
        </w:rPr>
      </w:pPr>
      <w:r>
        <w:rPr>
          <w:rFonts w:hint="default" w:ascii="Times New Roman" w:hAnsi="Times New Roman" w:eastAsia="宋体" w:cs="Times New Roman"/>
          <w:b/>
          <w:color w:val="000000"/>
          <w:kern w:val="0"/>
          <w:sz w:val="20"/>
          <w:szCs w:val="20"/>
          <w:lang w:val="en-US" w:eastAsia="zh-CN" w:bidi="ar"/>
        </w:rPr>
        <w:t xml:space="preserve">Supplementary Figure S4. Structural variation (SV) length distribution. </w:t>
      </w: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>Y11: wild African eggplant, S. aethiopicum; 177: cultivated Japanese eggplant, S. melongena; 177×Y11: F1 heterozygous progeny of 177×Y11; Y11×177: F1 heterozygous progeny of Y11×177.</w:t>
      </w:r>
    </w:p>
    <w:p>
      <w:pPr>
        <w:rPr>
          <w:rFonts w:asciiTheme="majorBidi" w:hAnsiTheme="majorBidi" w:cstheme="majorBidi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tabs>
          <w:tab w:val="left" w:pos="2160"/>
        </w:tabs>
        <w:autoSpaceDE w:val="0"/>
        <w:autoSpaceDN w:val="0"/>
        <w:snapToGrid w:val="0"/>
        <w:spacing w:before="156" w:beforeLines="50"/>
        <w:jc w:val="center"/>
        <w:rPr>
          <w:rFonts w:asciiTheme="majorBidi" w:hAnsiTheme="majorBidi" w:cstheme="majorBidi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6645910" cy="2635250"/>
            <wp:effectExtent l="0" t="0" r="889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3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1" w:after="160" w:afterAutospacing="0" w:line="260" w:lineRule="atLeast"/>
        <w:ind w:left="0" w:right="0"/>
        <w:jc w:val="both"/>
        <w:rPr>
          <w:sz w:val="20"/>
          <w:szCs w:val="20"/>
        </w:rPr>
      </w:pPr>
      <w:r>
        <w:rPr>
          <w:rFonts w:hint="default" w:ascii="Times New Roman" w:hAnsi="Times New Roman" w:eastAsia="宋体" w:cs="Times New Roman"/>
          <w:b/>
          <w:color w:val="000000"/>
          <w:kern w:val="0"/>
          <w:sz w:val="20"/>
          <w:szCs w:val="20"/>
          <w:lang w:val="en-US" w:eastAsia="zh-CN" w:bidi="ar"/>
        </w:rPr>
        <w:t>Supplementary Figure S5. Numbers of variant genes shared and differing between different types of variation in heterozygous progeny. (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A) F1 heterozygous progeny of 177×Y11; (B) F1 heterozygous progeny of Y11×177.</w:t>
      </w:r>
    </w:p>
    <w:p>
      <w:pPr>
        <w:tabs>
          <w:tab w:val="left" w:pos="2160"/>
        </w:tabs>
        <w:autoSpaceDE w:val="0"/>
        <w:autoSpaceDN w:val="0"/>
        <w:snapToGrid w:val="0"/>
        <w:jc w:val="left"/>
        <w:rPr>
          <w:rFonts w:asciiTheme="majorBidi" w:hAnsiTheme="majorBidi" w:cstheme="majorBidi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napToGrid w:val="0"/>
        <w:jc w:val="left"/>
        <w:rPr>
          <w:rFonts w:hint="eastAsia" w:asciiTheme="majorBidi" w:hAnsiTheme="majorBidi" w:cstheme="majorBidi"/>
          <w:i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Theme="majorBidi" w:hAnsiTheme="majorBidi" w:cstheme="majorBidi"/>
          <w:i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>
      <w:pPr>
        <w:spacing w:before="156" w:beforeLines="50"/>
        <w:rPr>
          <w:rFonts w:ascii="Times New Roman" w:hAnsi="Times New Roman" w:eastAsia="宋体" w:cs="Times New Roman"/>
          <w:color w:val="000000"/>
          <w:szCs w:val="21"/>
          <w:lang w:bidi="ar"/>
        </w:rPr>
      </w:pPr>
      <w:r>
        <w:rPr>
          <w:rFonts w:ascii="Times New Roman" w:hAnsi="Times New Roman" w:eastAsia="宋体" w:cs="Times New Roman"/>
          <w:color w:val="000000"/>
          <w:szCs w:val="21"/>
          <w:lang w:bidi="ar"/>
        </w:rPr>
        <w:drawing>
          <wp:inline distT="0" distB="0" distL="114300" distR="114300">
            <wp:extent cx="6637020" cy="3503295"/>
            <wp:effectExtent l="0" t="0" r="17780" b="1905"/>
            <wp:docPr id="2" name="图片 2" descr="Fig.S2 The number of variant genes shared and differing between sequencing samp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.S2 The number of variant genes shared and differing between sequencing sample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1" w:after="160" w:afterAutospacing="0" w:line="260" w:lineRule="atLeast"/>
        <w:ind w:left="0" w:right="0"/>
        <w:jc w:val="both"/>
        <w:rPr>
          <w:sz w:val="20"/>
          <w:szCs w:val="20"/>
        </w:rPr>
      </w:pPr>
      <w:bookmarkStart w:id="0" w:name="_GoBack"/>
      <w:r>
        <w:rPr>
          <w:rFonts w:hint="default" w:ascii="Times New Roman" w:hAnsi="Times New Roman" w:eastAsia="宋体" w:cs="Times New Roman"/>
          <w:b/>
          <w:color w:val="000000"/>
          <w:kern w:val="0"/>
          <w:sz w:val="20"/>
          <w:szCs w:val="20"/>
          <w:lang w:val="en-US" w:eastAsia="zh-CN" w:bidi="ar"/>
        </w:rPr>
        <w:t xml:space="preserve">Supplementary Figure S6. The number of variant genes shared and distinct between sequencing samples.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(A) and (B) Genes with non-synonymous SNPs; (C) and (D) Genes with Small InDels; (E) and (F) Genes with CNV; (G) and (H) Genes with SV.</w:t>
      </w:r>
      <w:bookmarkEnd w:id="0"/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alatino Linotype">
    <w:altName w:val="苹方-简"/>
    <w:panose1 w:val="02040502050505030304"/>
    <w:charset w:val="00"/>
    <w:family w:val="roman"/>
    <w:pitch w:val="default"/>
    <w:sig w:usb0="00000000" w:usb1="00000000" w:usb2="00000000" w:usb3="00000000" w:csb0="0000019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2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FBD076"/>
    <w:rsid w:val="67BEC167"/>
    <w:rsid w:val="7DFFF9F9"/>
    <w:rsid w:val="F3FBD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Office_3.7.0.5929_F1E327BC-269C-435d-A152-05C5408002CA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2022-07-15T12:31:00Z</dcterms:created>
  <dc:creator>yuning</dc:creator>
  <cp:lastModifiedBy>yuning</cp:lastModifiedBy>
  <dcterms:modified xsi:type="dcterms:W3CDTF">2022-07-24T00:13:43Z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2052-3.7.0.5929</vt:lpwstr>
  </property>
</Properties>
</file>