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pStyle w:val="9"/>
        <w:spacing w:line="276" w:lineRule="auto"/>
        <w:rPr>
          <w:rFonts w:ascii="Times New Roman" w:hAnsi="Times New Roman" w:eastAsia="Microsoft YaHei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OLE_LINK4"/>
      <w:r>
        <w:rPr>
          <w:rFonts w:ascii="Times New Roman" w:hAnsi="Times New Roman" w:eastAsia="Microsoft YaHe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Genetic changes in F1 hybrids of the genetically divergent </w:t>
      </w:r>
      <w:r>
        <w:rPr>
          <w:rFonts w:ascii="Times New Roman Bold Italic" w:hAnsi="Times New Roman Bold Italic" w:eastAsia="Microsoft YaHei" w:cs="Times New Roman Bold Italic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Solanum</w:t>
      </w:r>
      <w:r>
        <w:rPr>
          <w:rFonts w:ascii="Times New Roman" w:hAnsi="Times New Roman" w:eastAsia="Microsoft YaHe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L., </w:t>
      </w:r>
      <w:r>
        <w:rPr>
          <w:rFonts w:ascii="Times New Roman" w:hAnsi="Times New Roman" w:eastAsia="Microsoft YaHei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Microsoft YaHei"/>
          <w:b/>
          <w:bCs/>
          <w:i/>
          <w:i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ola</w:t>
      </w:r>
      <w:r>
        <w:rPr>
          <w:rFonts w:ascii="Times New Roman" w:hAnsi="Times New Roman" w:eastAsia="Microsoft YaHei"/>
          <w:b/>
          <w:bCs/>
          <w:i/>
          <w:i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num</w:t>
      </w:r>
      <w:r>
        <w:rPr>
          <w:rFonts w:ascii="Times New Roman" w:hAnsi="Times New Roman" w:eastAsia="Microsoft YaHei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melongena</w:t>
      </w:r>
      <w:r>
        <w:rPr>
          <w:rFonts w:ascii="Times New Roman" w:hAnsi="Times New Roman" w:eastAsia="Microsoft YaHe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L. and </w:t>
      </w:r>
      <w:r>
        <w:rPr>
          <w:rFonts w:ascii="Times New Roman" w:hAnsi="Times New Roman" w:eastAsia="Microsoft YaHei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Solanum aethiopicum</w:t>
      </w:r>
      <w:bookmarkEnd w:id="0"/>
      <w:r>
        <w:rPr>
          <w:rFonts w:ascii="Times New Roman" w:hAnsi="Times New Roman" w:eastAsia="Microsoft YaHei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 Bold" w:hAnsi="Times New Roman Bold" w:eastAsia="Microsoft YaHei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L.</w:t>
      </w:r>
    </w:p>
    <w:p>
      <w:pPr>
        <w:spacing w:line="276" w:lineRule="auto"/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Ning Yu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a,1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Guiyun Gan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a,1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Dandan Li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Weiliu Li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Yaqin Jiang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Qihong Yang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Peng Wang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Wenjia Li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, and Yikui Wang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a,*</w:t>
      </w:r>
    </w:p>
    <w:p>
      <w:pPr>
        <w:spacing w:line="276" w:lineRule="auto"/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0"/>
          <w:szCs w:val="20"/>
        </w:rPr>
        <w:t xml:space="preserve"> </w:t>
      </w:r>
      <w:bookmarkStart w:id="1" w:name="OLE_LINK6"/>
      <w:bookmarkEnd w:id="1"/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Guangxi Key Laboratory of Vegetable Breeding and New Technology Development, Vegetable Research Institute, Guangxi Academy of Agricultural Sciences, Nanning 530007, China </w:t>
      </w:r>
    </w:p>
    <w:p>
      <w:pPr>
        <w:spacing w:line="276" w:lineRule="auto"/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>Corresponding author: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276" w:lineRule="auto"/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>Yikui Wang</w:t>
      </w:r>
    </w:p>
    <w:p>
      <w:pPr>
        <w:spacing w:line="276" w:lineRule="auto"/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Guangxi Key Laboratory of Vegetable Breeding and New Technology Development, Vegetable Research Institute, Guangxi Academy of Agricultural Sciences, Nanning 530007, China </w:t>
      </w:r>
    </w:p>
    <w:p>
      <w:pPr>
        <w:spacing w:line="276" w:lineRule="auto"/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>Tel.: +86 0771 3186372</w:t>
      </w:r>
    </w:p>
    <w:p>
      <w:pPr>
        <w:spacing w:line="276" w:lineRule="auto"/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 xml:space="preserve">Email address: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"mailto:ykwang@gxaas.net" </w:instrText>
      </w:r>
      <w:r>
        <w:rPr>
          <w:sz w:val="20"/>
          <w:szCs w:val="20"/>
        </w:rPr>
        <w:fldChar w:fldCharType="separate"/>
      </w:r>
      <w:r>
        <w:rPr>
          <w:rStyle w:val="3"/>
          <w:rFonts w:ascii="Times New Roman" w:hAnsi="Times New Roman" w:eastAsia="Times New Roman"/>
          <w:sz w:val="20"/>
          <w:szCs w:val="20"/>
          <w:lang w:bidi="en-US"/>
        </w:rPr>
        <w:t>ykwang@gxaas.net</w:t>
      </w:r>
      <w:r>
        <w:rPr>
          <w:rStyle w:val="3"/>
          <w:rFonts w:ascii="Times New Roman" w:hAnsi="Times New Roman" w:eastAsia="Times New Roman"/>
          <w:sz w:val="20"/>
          <w:szCs w:val="20"/>
          <w:lang w:bidi="en-US"/>
        </w:rPr>
        <w:fldChar w:fldCharType="end"/>
      </w:r>
      <w:bookmarkStart w:id="2" w:name="_GoBack"/>
      <w:bookmarkEnd w:id="2"/>
    </w:p>
    <w:p>
      <w:pPr>
        <w:keepNext w:val="0"/>
        <w:keepLines w:val="0"/>
        <w:widowControl/>
        <w:suppressLineNumbers w:val="0"/>
        <w:spacing w:before="0" w:beforeAutospacing="1" w:after="160" w:afterAutospacing="0" w:line="260" w:lineRule="atLeast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Times New Roman"/>
          <w:color w:val="000000" w:themeColor="text1"/>
          <w:sz w:val="20"/>
          <w:szCs w:val="20"/>
          <w:lang w:bidi="en-US"/>
          <w14:textFill>
            <w14:solidFill>
              <w14:schemeClr w14:val="tx1"/>
            </w14:solidFill>
          </w14:textFill>
        </w:rPr>
        <w:t>These authors contributed equally to the work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table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S1. Morphological features of distant hybridization and its parents.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Y11: wild African eggplant, S. aethiopicum; 177: cultivated Japanese eggplant, S. melongena; 177×Y11: F1 heterozygous progeny of 177×Y11; Y11×177: F1 heterozygous progeny of Y11×177.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S2. Distribution of SNPs within genomic regions.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Upstream: 1 kb region upstream of a gene; Exonic: within an exon region; Stop gain: Variants that cause the gene to acquire a stop codon; Stop loss: Variants that render the gene to lose a stop codon; Intronic: within an intron region; Splicing: within 2 bp of an exon/intron boundary; Downstream: 1 kb region downstream of a gene; Upstream/Downstream: located within 1 kb upstream of one gene and also within 1 kb region downstream of another gene; Intergenic: located in the intergenic region; ts: Transitions; tv: Transversions; ts/tv: Ratio of transitions to transversions; Het rate: the proportion of heterozygosity in the whole genome, calculated as the number of heterozygous SNPs/genome size.Y11: wild African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aethiopicum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; 177: cultivated Japanese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melongena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; 177×Y11: F1 heterozygous progeny of 177×Y11; Y11×177: F1 heterozygous progeny of Y11×177.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S3. Genetic distribution of detected InDels.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Upstream: 1 kb region upstream of a gene; Exonic: within an exon region; Stop gain: Variants that cause the gene to acquire a stop codon; Stop loss: Variants that render the gene to lose a stop codon; Frameshift deletion/insertion: insertions or deletions result in protein-coding frame changes; Non-Frameshift deletion/insertion: insertion or deletion of bases with an integer multiple of 3 or 3 does not change the coding frame of the protein; Intronic: within an intron region; Splicing: within 2 bp of an exon/intron boundary; Downstream: 1 kb region downstream of a gene; Upstream/Downstream: located within 1 kb upstream of one gene and also within 1 kb region downstream of another gene; Intergenic: located in the intergenic region; Het rate: the proportion of heterozygosity in the whole genome, calculated as the number of heterozygous InDels/genome size. Y11: wild African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aethiopicum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; 177: cultivated Japanese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melongena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; 177×Y11: F1 heterozygous progeny of 177×Y11; Y11×177: F1 heterozygous progeny of Y11×177.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S4. SV statistical results in each individual genome.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Upstream: 1 kb region upstream of a gene; Exonic: within an exon region; Intronic: within an intron region; Downstream: 1 kb region downstream of a gene; Upstream/Downstream: located within 1 kb upstream of one gene and also within 1 kb region downstream of another gene; Intergenic: located in the intergenic region; Splicing: within 2 bp of an exon/intron boundary; INS: insertion; DEL: deletion; INV: inversion; ITX: intra-chromosomal translocation; CTX: inter-chromosomal translocation. Y11: wild African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aethiopicum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; 177: cultivated Japanese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melongena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; 177×Y11: F1 heterozygous progeny of 177×Y11; Y11×177: F1 heterozygous progeny of Y11×177.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S5. CNV statistical results in each individual genome.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Upstream: 1 kb region upstream of a gene; Exonic: within an exon region; Intronic: within an intron region; Downstream: 1 kb region downstream of a gene; Upstream/Downstream: located within 1 kb upstream of one gene and also within 1 kb region downstream of another gene; Intergenic: located in the intergenic region; Duplication number: the number of duplication; Deletion number: the number of deletion; Duplication length (bp): the length of duplication; Deletion length (bp): the length of deletion. Y11: wild African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aethiopicum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; 177: cultivated Japanese eggplant, </w:t>
      </w:r>
      <w:r>
        <w:rPr>
          <w:rFonts w:hint="default" w:ascii="Times New Roman" w:hAnsi="Times New Roman" w:eastAsia="宋体" w:cs="Times New Roman"/>
          <w:i/>
          <w:color w:val="000000"/>
          <w:kern w:val="0"/>
          <w:sz w:val="20"/>
          <w:szCs w:val="20"/>
          <w:lang w:val="en-US" w:eastAsia="zh-CN" w:bidi="ar"/>
        </w:rPr>
        <w:t>S. melongena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; 177×Y11: F1 heterozygous progeny of 177×Y11; Y11×177: F1 heterozygous progeny of Y11×177.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b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S6. A list of variant genes between different types of variation in F1 heterozygous progeny of 177×Y11. 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b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S7. A list of variant genes between different types of variation in F1 heterozygous progeny of Y11×177. 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73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S8. GO enrichment analysis of variant genes between different types of variation in F1 heterozygous progeny.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ID: Unique designation information in the gene ontology database; Term type: the category of GO; Description: description information of GO functions; GeneRatio: proportion of variant genes in GO terms; BgRatio: proportion of total genes of GO term; p-value: enrichment analysis of statistical significance level, the probability that the assumption is correct but rejected; p.adjust: p-value were corrected for multiple testing using the BH method; q-value: corrected p-value, the probability of being rejected but correct; geneID: the list of variant genes under this GO term; Count: total number of variant genes; 177×Y11: F1 heterozygous progeny of 177×Y11; Y11×177: F1 heterozygous progeny of Y11×177.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1" w:after="160" w:afterAutospacing="0" w:line="260" w:lineRule="atLeast"/>
        <w:ind w:left="0" w:right="0"/>
        <w:jc w:val="both"/>
        <w:rPr>
          <w:rFonts w:hint="default" w:ascii="Times New Roman" w:hAnsi="Times New Roman" w:eastAsia="宋体" w:cs="Times New Roman"/>
          <w:i/>
          <w:color w:val="000000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ar"/>
        </w:rPr>
        <w:t xml:space="preserve">Supplementary Table S9: KEGG enrichment analysis of variant genes between different types of variation in F1 heterozygous progeny.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ID: Unique designation information in the gene ontology database; Description: description information of KEGG term; GeneRatio: proportion of variant genes in KEGG terms; BgRatio: proportion of total genes of KEGG term; p-value: enrichment analysis of statistical significance level, the probability that the assumption is correct but rejected; p.adjust: p-value were corrected for multiple testing using the BH method; q-value: corrected p-value, the probability of being rejected but correct; geneID: the list of variant genes under this KEGG term; Count: total number of variant genes; 177×Y11: F1 heterozygous progeny of 177×Y11; Y11×177: F1 heterozygous progeny of Y11×177.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alatino Linotype">
    <w:altName w:val="苹方-简"/>
    <w:panose1 w:val="02040502050505030304"/>
    <w:charset w:val="00"/>
    <w:family w:val="auto"/>
    <w:pitch w:val="default"/>
    <w:sig w:usb0="00000000" w:usb1="00000000" w:usb2="00000000" w:usb3="00000000" w:csb0="2000019F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9" w:usb3="00000000" w:csb0="2000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SimHei">
    <w:altName w:val="汉仪中黑KW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DengXian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63AF6"/>
    <w:rsid w:val="039810EF"/>
    <w:rsid w:val="04EC5A7F"/>
    <w:rsid w:val="052C6E13"/>
    <w:rsid w:val="06286672"/>
    <w:rsid w:val="07A65B81"/>
    <w:rsid w:val="07B63AF6"/>
    <w:rsid w:val="10614994"/>
    <w:rsid w:val="128A1AB0"/>
    <w:rsid w:val="13FE5BE1"/>
    <w:rsid w:val="15DD4806"/>
    <w:rsid w:val="1E012B10"/>
    <w:rsid w:val="1F780E2A"/>
    <w:rsid w:val="20EC6C3A"/>
    <w:rsid w:val="26E246E5"/>
    <w:rsid w:val="272B4080"/>
    <w:rsid w:val="27694E22"/>
    <w:rsid w:val="2AAF5E15"/>
    <w:rsid w:val="2AD52020"/>
    <w:rsid w:val="2B1167C3"/>
    <w:rsid w:val="2EBDCB06"/>
    <w:rsid w:val="315815FC"/>
    <w:rsid w:val="355037D5"/>
    <w:rsid w:val="369B34FF"/>
    <w:rsid w:val="37D60FF6"/>
    <w:rsid w:val="3A241AE2"/>
    <w:rsid w:val="3BC503AC"/>
    <w:rsid w:val="3BD25B06"/>
    <w:rsid w:val="3C1601E9"/>
    <w:rsid w:val="3C2A640F"/>
    <w:rsid w:val="405E14D6"/>
    <w:rsid w:val="439518E6"/>
    <w:rsid w:val="48E90EAD"/>
    <w:rsid w:val="4FC04AE9"/>
    <w:rsid w:val="520C0AA5"/>
    <w:rsid w:val="53D07F43"/>
    <w:rsid w:val="54515DED"/>
    <w:rsid w:val="54E96BDE"/>
    <w:rsid w:val="59E25279"/>
    <w:rsid w:val="5E534CDF"/>
    <w:rsid w:val="5E983918"/>
    <w:rsid w:val="60476B92"/>
    <w:rsid w:val="6232594E"/>
    <w:rsid w:val="62680A9D"/>
    <w:rsid w:val="63A028FE"/>
    <w:rsid w:val="674D28D9"/>
    <w:rsid w:val="67696369"/>
    <w:rsid w:val="67843658"/>
    <w:rsid w:val="683D3C00"/>
    <w:rsid w:val="6AED46CB"/>
    <w:rsid w:val="6BEAA69B"/>
    <w:rsid w:val="70873299"/>
    <w:rsid w:val="73A46F7F"/>
    <w:rsid w:val="75996ABC"/>
    <w:rsid w:val="77462D9A"/>
    <w:rsid w:val="77D27B27"/>
    <w:rsid w:val="7B607B22"/>
    <w:rsid w:val="7CB27CBD"/>
    <w:rsid w:val="7CB51019"/>
    <w:rsid w:val="7D262493"/>
    <w:rsid w:val="7DE57909"/>
    <w:rsid w:val="7E854410"/>
    <w:rsid w:val="7F4F4287"/>
    <w:rsid w:val="EEBF3F93"/>
    <w:rsid w:val="FE5FB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paragraph" w:customStyle="1" w:styleId="5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6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 w:val="20"/>
      <w:szCs w:val="22"/>
      <w:lang w:val="en-US" w:eastAsia="de-DE" w:bidi="en-US"/>
    </w:rPr>
  </w:style>
  <w:style w:type="paragraph" w:customStyle="1" w:styleId="7">
    <w:name w:val="MDPI_1.6_affiliation"/>
    <w:qFormat/>
    <w:uiPriority w:val="0"/>
    <w:pPr>
      <w:adjustRightInd w:val="0"/>
      <w:snapToGrid w:val="0"/>
      <w:spacing w:after="0" w:line="200" w:lineRule="atLeast"/>
      <w:ind w:left="198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character" w:customStyle="1" w:styleId="8">
    <w:name w:val="15"/>
    <w:basedOn w:val="2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9">
    <w:name w:val="MDPI_1.7_abstract"/>
    <w:next w:val="1"/>
    <w:qFormat/>
    <w:uiPriority w:val="0"/>
    <w:pPr>
      <w:adjustRightInd w:val="0"/>
      <w:snapToGrid w:val="0"/>
      <w:spacing w:before="240" w:after="160" w:line="260" w:lineRule="atLeast"/>
      <w:jc w:val="both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2021-11-24T10:35:00Z</dcterms:created>
  <dc:creator>Yu Ning</dc:creator>
  <cp:lastModifiedBy>yuning</cp:lastModifiedBy>
  <dcterms:modified xsi:type="dcterms:W3CDTF">2022-07-24T00:12:53Z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  <property fmtid="{D5CDD505-2E9C-101B-9397-08002B2CF9AE}" pid="3" name="ICV">
    <vt:lpwstr>A362192904254D9A8BE8AB82293485DF</vt:lpwstr>
  </property>
</Properties>
</file>