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0A2A" w14:textId="11A24B20" w:rsidR="00702C4E" w:rsidRPr="0021344A" w:rsidRDefault="00702C4E" w:rsidP="00702C4E">
      <w:pPr>
        <w:spacing w:line="480" w:lineRule="auto"/>
        <w:jc w:val="left"/>
        <w:rPr>
          <w:rFonts w:ascii="Times New Roman" w:eastAsia="ＭＳ 明朝" w:hAnsi="Times New Roman"/>
          <w:b/>
          <w:color w:val="000000" w:themeColor="text1"/>
          <w:sz w:val="22"/>
          <w:szCs w:val="22"/>
        </w:rPr>
      </w:pPr>
      <w:r>
        <w:rPr>
          <w:rFonts w:ascii="Times New Roman" w:eastAsia="ＭＳ 明朝" w:hAnsi="Times New Roman" w:hint="eastAsia"/>
          <w:b/>
          <w:color w:val="000000" w:themeColor="text1"/>
          <w:sz w:val="22"/>
          <w:szCs w:val="22"/>
        </w:rPr>
        <w:t>Supple</w:t>
      </w:r>
      <w:r w:rsidR="001120F4">
        <w:rPr>
          <w:rFonts w:ascii="Times New Roman" w:eastAsia="ＭＳ 明朝" w:hAnsi="Times New Roman"/>
          <w:b/>
          <w:color w:val="000000" w:themeColor="text1"/>
          <w:sz w:val="22"/>
          <w:szCs w:val="22"/>
        </w:rPr>
        <w:t>men</w:t>
      </w:r>
      <w:r>
        <w:rPr>
          <w:rFonts w:ascii="Times New Roman" w:eastAsia="ＭＳ 明朝" w:hAnsi="Times New Roman" w:hint="eastAsia"/>
          <w:b/>
          <w:color w:val="000000" w:themeColor="text1"/>
          <w:sz w:val="22"/>
          <w:szCs w:val="22"/>
        </w:rPr>
        <w:t>tary information1</w:t>
      </w:r>
      <w:r>
        <w:rPr>
          <w:rFonts w:ascii="Times New Roman" w:eastAsia="ＭＳ 明朝" w:hAnsi="Times New Roman" w:hint="eastAsia"/>
          <w:b/>
          <w:color w:val="000000" w:themeColor="text1"/>
          <w:sz w:val="22"/>
          <w:szCs w:val="22"/>
        </w:rPr>
        <w:t>：</w:t>
      </w:r>
      <w:r w:rsidRPr="0021344A">
        <w:rPr>
          <w:rFonts w:ascii="Times New Roman" w:eastAsia="ＭＳ 明朝" w:hAnsi="Times New Roman"/>
          <w:b/>
          <w:color w:val="000000" w:themeColor="text1"/>
          <w:sz w:val="22"/>
          <w:szCs w:val="22"/>
        </w:rPr>
        <w:t>Clinical feature of three p.D207V homozygous patients (P1-3)</w:t>
      </w:r>
    </w:p>
    <w:p w14:paraId="73B9B376" w14:textId="1D24D44A" w:rsidR="00702C4E" w:rsidRPr="0021344A" w:rsidRDefault="00702C4E" w:rsidP="00702C4E">
      <w:pPr>
        <w:spacing w:line="480" w:lineRule="auto"/>
        <w:jc w:val="left"/>
        <w:rPr>
          <w:rFonts w:ascii="Times New Roman" w:eastAsia="ＭＳ 明朝" w:hAnsi="Times New Roman"/>
          <w:color w:val="000000" w:themeColor="text1"/>
          <w:sz w:val="22"/>
          <w:szCs w:val="22"/>
        </w:rPr>
      </w:pPr>
      <w:r w:rsidRPr="0021344A">
        <w:rPr>
          <w:rFonts w:ascii="Times New Roman" w:eastAsia="ＭＳ 明朝" w:hAnsi="Times New Roman"/>
          <w:color w:val="000000" w:themeColor="text1"/>
          <w:sz w:val="22"/>
          <w:szCs w:val="22"/>
        </w:rPr>
        <w:t xml:space="preserve">Patient1 (P1) is a Japanese male who noticed that he could not throw a ball far at the age of 37 years and lost ability to run 3 years later. At the age of 44 years, he visited a hospital with difficulty in climbing stairs. Serum creatine kinase (CK) level was 580 IU/l. Manual Muscle Testing (MMT) grades were 4-/3 for the </w:t>
      </w:r>
      <w:r w:rsidRPr="0021344A">
        <w:rPr>
          <w:rFonts w:ascii="Times New Roman" w:eastAsia="ＭＳ 明朝" w:hAnsi="Times New Roman"/>
          <w:i/>
          <w:color w:val="000000" w:themeColor="text1"/>
          <w:sz w:val="22"/>
          <w:szCs w:val="22"/>
        </w:rPr>
        <w:t>tibialis anterior</w:t>
      </w:r>
      <w:r w:rsidRPr="0021344A">
        <w:rPr>
          <w:rFonts w:ascii="Times New Roman" w:eastAsia="ＭＳ 明朝" w:hAnsi="Times New Roman"/>
          <w:color w:val="000000" w:themeColor="text1"/>
          <w:sz w:val="22"/>
          <w:szCs w:val="22"/>
        </w:rPr>
        <w:t xml:space="preserve">, 2-/2- for </w:t>
      </w:r>
      <w:r w:rsidRPr="0021344A">
        <w:rPr>
          <w:rFonts w:ascii="Times New Roman" w:eastAsia="ＭＳ 明朝" w:hAnsi="Times New Roman"/>
          <w:i/>
          <w:color w:val="000000" w:themeColor="text1"/>
          <w:sz w:val="22"/>
          <w:szCs w:val="22"/>
        </w:rPr>
        <w:t>iliopsoas</w:t>
      </w:r>
      <w:r w:rsidRPr="0021344A">
        <w:rPr>
          <w:rFonts w:ascii="Times New Roman" w:eastAsia="ＭＳ 明朝" w:hAnsi="Times New Roman"/>
          <w:color w:val="000000" w:themeColor="text1"/>
          <w:sz w:val="22"/>
          <w:szCs w:val="22"/>
        </w:rPr>
        <w:t xml:space="preserve">, and 5/5 for </w:t>
      </w:r>
      <w:r w:rsidRPr="0021344A">
        <w:rPr>
          <w:rFonts w:ascii="Times New Roman" w:eastAsia="ＭＳ 明朝" w:hAnsi="Times New Roman"/>
          <w:i/>
          <w:color w:val="000000" w:themeColor="text1"/>
          <w:sz w:val="22"/>
          <w:szCs w:val="22"/>
        </w:rPr>
        <w:t>quadriceps femoris</w:t>
      </w:r>
      <w:r w:rsidRPr="0021344A">
        <w:rPr>
          <w:rFonts w:ascii="Times New Roman" w:eastAsia="ＭＳ 明朝" w:hAnsi="Times New Roman"/>
          <w:color w:val="000000" w:themeColor="text1"/>
          <w:sz w:val="22"/>
          <w:szCs w:val="22"/>
        </w:rPr>
        <w:t xml:space="preserve"> muscles. Patient2 (P2), a Japanese male, recognized frequent stumbling and difficulty in carrying heavy boxes at the age of 34 years. Six years later, he admitted hospital with difficulty in walking. Serum CK level was 474 IU/l. MMT grades were 3-/1 for the </w:t>
      </w:r>
      <w:r w:rsidRPr="0021344A">
        <w:rPr>
          <w:rFonts w:ascii="Times New Roman" w:eastAsia="ＭＳ 明朝" w:hAnsi="Times New Roman"/>
          <w:i/>
          <w:color w:val="000000" w:themeColor="text1"/>
          <w:sz w:val="22"/>
          <w:szCs w:val="22"/>
        </w:rPr>
        <w:t>tibialis anterior</w:t>
      </w:r>
      <w:r w:rsidRPr="0021344A">
        <w:rPr>
          <w:rFonts w:ascii="Times New Roman" w:eastAsia="ＭＳ 明朝" w:hAnsi="Times New Roman"/>
          <w:color w:val="000000" w:themeColor="text1"/>
          <w:sz w:val="22"/>
          <w:szCs w:val="22"/>
        </w:rPr>
        <w:t xml:space="preserve">, 3+/3 for </w:t>
      </w:r>
      <w:bookmarkStart w:id="0" w:name="_Hlk65494604"/>
      <w:r w:rsidRPr="0021344A">
        <w:rPr>
          <w:rFonts w:ascii="Times New Roman" w:eastAsia="ＭＳ 明朝" w:hAnsi="Times New Roman"/>
          <w:i/>
          <w:color w:val="000000" w:themeColor="text1"/>
          <w:sz w:val="22"/>
          <w:szCs w:val="22"/>
        </w:rPr>
        <w:t>iliopsoas</w:t>
      </w:r>
      <w:bookmarkEnd w:id="0"/>
      <w:r w:rsidRPr="0021344A">
        <w:rPr>
          <w:rFonts w:ascii="Times New Roman" w:eastAsia="ＭＳ 明朝" w:hAnsi="Times New Roman"/>
          <w:color w:val="000000" w:themeColor="text1"/>
          <w:sz w:val="22"/>
          <w:szCs w:val="22"/>
        </w:rPr>
        <w:t xml:space="preserve">, and 4/3+ for </w:t>
      </w:r>
      <w:r w:rsidRPr="0021344A">
        <w:rPr>
          <w:rFonts w:ascii="Times New Roman" w:eastAsia="ＭＳ 明朝" w:hAnsi="Times New Roman"/>
          <w:i/>
          <w:color w:val="000000" w:themeColor="text1"/>
          <w:sz w:val="22"/>
          <w:szCs w:val="22"/>
        </w:rPr>
        <w:t>quadriceps femoris</w:t>
      </w:r>
      <w:r w:rsidRPr="0021344A">
        <w:rPr>
          <w:rFonts w:ascii="Times New Roman" w:eastAsia="ＭＳ 明朝" w:hAnsi="Times New Roman"/>
          <w:color w:val="000000" w:themeColor="text1"/>
          <w:sz w:val="22"/>
          <w:szCs w:val="22"/>
        </w:rPr>
        <w:t xml:space="preserve"> muscles. Patient3 (P3), a Japanese male, recognized frequent stumbling at the age of 60 years and visited hospital 5 years later. CK level was 401 IU/l. MMT grades were 3/3 for the </w:t>
      </w:r>
      <w:r w:rsidRPr="0021344A">
        <w:rPr>
          <w:rFonts w:ascii="Times New Roman" w:eastAsia="ＭＳ 明朝" w:hAnsi="Times New Roman"/>
          <w:i/>
          <w:color w:val="000000" w:themeColor="text1"/>
          <w:sz w:val="22"/>
          <w:szCs w:val="22"/>
        </w:rPr>
        <w:t>tibialis anterior</w:t>
      </w:r>
      <w:r w:rsidRPr="0021344A">
        <w:rPr>
          <w:rFonts w:ascii="Times New Roman" w:eastAsia="ＭＳ 明朝" w:hAnsi="Times New Roman"/>
          <w:color w:val="000000" w:themeColor="text1"/>
          <w:sz w:val="22"/>
          <w:szCs w:val="22"/>
        </w:rPr>
        <w:t xml:space="preserve">, 4/4 for </w:t>
      </w:r>
      <w:r w:rsidRPr="0021344A">
        <w:rPr>
          <w:rFonts w:ascii="Times New Roman" w:eastAsia="ＭＳ 明朝" w:hAnsi="Times New Roman"/>
          <w:i/>
          <w:color w:val="000000" w:themeColor="text1"/>
          <w:sz w:val="22"/>
          <w:szCs w:val="22"/>
        </w:rPr>
        <w:t>iliopsoas</w:t>
      </w:r>
      <w:r w:rsidRPr="0021344A">
        <w:rPr>
          <w:rFonts w:ascii="Times New Roman" w:eastAsia="ＭＳ 明朝" w:hAnsi="Times New Roman"/>
          <w:color w:val="000000" w:themeColor="text1"/>
          <w:sz w:val="22"/>
          <w:szCs w:val="22"/>
        </w:rPr>
        <w:t xml:space="preserve">, and 4/4 for </w:t>
      </w:r>
      <w:r w:rsidRPr="0021344A">
        <w:rPr>
          <w:rFonts w:ascii="Times New Roman" w:eastAsia="ＭＳ 明朝" w:hAnsi="Times New Roman"/>
          <w:i/>
          <w:color w:val="000000" w:themeColor="text1"/>
          <w:sz w:val="22"/>
          <w:szCs w:val="22"/>
        </w:rPr>
        <w:t>quadriceps femoris</w:t>
      </w:r>
      <w:r w:rsidRPr="0021344A">
        <w:rPr>
          <w:rFonts w:ascii="Times New Roman" w:eastAsia="ＭＳ 明朝" w:hAnsi="Times New Roman"/>
          <w:color w:val="000000" w:themeColor="text1"/>
          <w:sz w:val="22"/>
          <w:szCs w:val="22"/>
        </w:rPr>
        <w:t xml:space="preserve"> muscles. Muscle biopsy of all three patients showed variable fiber size and degenerated atrophic myofibers with rimmed vacuoles. Neither of the patients had family history of muscle weakness nor consanguineous marriage.</w:t>
      </w:r>
    </w:p>
    <w:p w14:paraId="75B59F85" w14:textId="77777777" w:rsidR="00382E13" w:rsidRPr="00702C4E" w:rsidRDefault="00382E13"/>
    <w:sectPr w:rsidR="00382E13" w:rsidRPr="00702C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25C5B" w14:textId="77777777" w:rsidR="00866E3B" w:rsidRDefault="00866E3B" w:rsidP="001120F4">
      <w:r>
        <w:separator/>
      </w:r>
    </w:p>
  </w:endnote>
  <w:endnote w:type="continuationSeparator" w:id="0">
    <w:p w14:paraId="59404EE6" w14:textId="77777777" w:rsidR="00866E3B" w:rsidRDefault="00866E3B" w:rsidP="0011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195DA" w14:textId="77777777" w:rsidR="00866E3B" w:rsidRDefault="00866E3B" w:rsidP="001120F4">
      <w:r>
        <w:separator/>
      </w:r>
    </w:p>
  </w:footnote>
  <w:footnote w:type="continuationSeparator" w:id="0">
    <w:p w14:paraId="0BC10E0B" w14:textId="77777777" w:rsidR="00866E3B" w:rsidRDefault="00866E3B" w:rsidP="00112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4E"/>
    <w:rsid w:val="000D1661"/>
    <w:rsid w:val="001120F4"/>
    <w:rsid w:val="00382E13"/>
    <w:rsid w:val="00702C4E"/>
    <w:rsid w:val="00866E3B"/>
    <w:rsid w:val="00E76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5184F"/>
  <w15:chartTrackingRefBased/>
  <w15:docId w15:val="{34FA9A0E-4D8F-4CBA-8682-33243739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C4E"/>
    <w:pPr>
      <w:widowControl w:val="0"/>
      <w:jc w:val="both"/>
    </w:pPr>
    <w:rPr>
      <w:rFonts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702C4E"/>
    <w:pPr>
      <w:jc w:val="left"/>
    </w:pPr>
  </w:style>
  <w:style w:type="character" w:customStyle="1" w:styleId="a4">
    <w:name w:val="コメント文字列 (文字)"/>
    <w:basedOn w:val="a0"/>
    <w:link w:val="a3"/>
    <w:uiPriority w:val="99"/>
    <w:rsid w:val="00702C4E"/>
    <w:rPr>
      <w:rFonts w:cs="Times New Roman"/>
      <w:szCs w:val="21"/>
    </w:rPr>
  </w:style>
  <w:style w:type="character" w:styleId="a5">
    <w:name w:val="annotation reference"/>
    <w:basedOn w:val="a0"/>
    <w:uiPriority w:val="99"/>
    <w:semiHidden/>
    <w:unhideWhenUsed/>
    <w:rsid w:val="00702C4E"/>
    <w:rPr>
      <w:rFonts w:cs="Times New Roman"/>
      <w:sz w:val="18"/>
    </w:rPr>
  </w:style>
  <w:style w:type="paragraph" w:styleId="a6">
    <w:name w:val="header"/>
    <w:basedOn w:val="a"/>
    <w:link w:val="a7"/>
    <w:uiPriority w:val="99"/>
    <w:unhideWhenUsed/>
    <w:rsid w:val="001120F4"/>
    <w:pPr>
      <w:tabs>
        <w:tab w:val="center" w:pos="4252"/>
        <w:tab w:val="right" w:pos="8504"/>
      </w:tabs>
      <w:snapToGrid w:val="0"/>
    </w:pPr>
  </w:style>
  <w:style w:type="character" w:customStyle="1" w:styleId="a7">
    <w:name w:val="ヘッダー (文字)"/>
    <w:basedOn w:val="a0"/>
    <w:link w:val="a6"/>
    <w:uiPriority w:val="99"/>
    <w:rsid w:val="001120F4"/>
    <w:rPr>
      <w:rFonts w:cs="Times New Roman"/>
      <w:szCs w:val="21"/>
    </w:rPr>
  </w:style>
  <w:style w:type="paragraph" w:styleId="a8">
    <w:name w:val="footer"/>
    <w:basedOn w:val="a"/>
    <w:link w:val="a9"/>
    <w:uiPriority w:val="99"/>
    <w:unhideWhenUsed/>
    <w:rsid w:val="001120F4"/>
    <w:pPr>
      <w:tabs>
        <w:tab w:val="center" w:pos="4252"/>
        <w:tab w:val="right" w:pos="8504"/>
      </w:tabs>
      <w:snapToGrid w:val="0"/>
    </w:pPr>
  </w:style>
  <w:style w:type="character" w:customStyle="1" w:styleId="a9">
    <w:name w:val="フッター (文字)"/>
    <w:basedOn w:val="a0"/>
    <w:link w:val="a8"/>
    <w:uiPriority w:val="99"/>
    <w:rsid w:val="001120F4"/>
    <w:rPr>
      <w:rFonts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Yoshioka Wakako</dc:creator>
  <cp:keywords/>
  <dc:description/>
  <cp:lastModifiedBy>yoshioka4family@outlook.jp</cp:lastModifiedBy>
  <cp:revision>3</cp:revision>
  <dcterms:created xsi:type="dcterms:W3CDTF">2022-02-03T03:14:00Z</dcterms:created>
  <dcterms:modified xsi:type="dcterms:W3CDTF">2022-07-25T02:29:00Z</dcterms:modified>
</cp:coreProperties>
</file>