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0869" w14:textId="30343713" w:rsidR="00B43D2C" w:rsidRPr="005C2C80" w:rsidRDefault="00B43D2C" w:rsidP="00B43D2C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  <w:r w:rsidRPr="005C2C80">
        <w:rPr>
          <w:rFonts w:asciiTheme="majorBidi" w:hAnsiTheme="majorBidi" w:cstheme="majorBidi"/>
          <w:b/>
          <w:bCs/>
          <w:color w:val="000000"/>
          <w:sz w:val="28"/>
          <w:szCs w:val="28"/>
        </w:rPr>
        <w:t>A fault-based probabilistic seismic hazard model for Lebanon, controlling parameters and hazard levels</w:t>
      </w:r>
    </w:p>
    <w:p w14:paraId="7FE5BD0A" w14:textId="77777777" w:rsidR="00B43D2C" w:rsidRPr="005C2C80" w:rsidRDefault="00B43D2C" w:rsidP="00B43D2C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</w:p>
    <w:p w14:paraId="6371895F" w14:textId="6354762C" w:rsidR="00B43D2C" w:rsidRPr="005C2C80" w:rsidRDefault="00B43D2C" w:rsidP="00B43D2C">
      <w:pPr>
        <w:pStyle w:val="NormalWeb"/>
        <w:spacing w:before="0" w:beforeAutospacing="0" w:after="0" w:afterAutospacing="0"/>
        <w:rPr>
          <w:rFonts w:asciiTheme="majorBidi" w:hAnsiTheme="majorBidi" w:cstheme="majorBidi"/>
          <w:lang w:val="en-GB"/>
        </w:rPr>
      </w:pPr>
      <w:r w:rsidRPr="005C2C80">
        <w:rPr>
          <w:rFonts w:asciiTheme="majorBidi" w:hAnsiTheme="majorBidi" w:cstheme="majorBidi"/>
          <w:color w:val="000000"/>
          <w:sz w:val="22"/>
          <w:szCs w:val="22"/>
          <w:lang w:val="en-GB"/>
        </w:rPr>
        <w:t xml:space="preserve">Bulletin of </w:t>
      </w:r>
      <w:r w:rsidR="0022467E" w:rsidRPr="005C2C80">
        <w:rPr>
          <w:rFonts w:asciiTheme="majorBidi" w:hAnsiTheme="majorBidi" w:cstheme="majorBidi"/>
          <w:color w:val="000000"/>
          <w:sz w:val="22"/>
          <w:szCs w:val="22"/>
          <w:lang w:val="en-GB"/>
        </w:rPr>
        <w:t>E</w:t>
      </w:r>
      <w:r w:rsidRPr="005C2C80">
        <w:rPr>
          <w:rFonts w:asciiTheme="majorBidi" w:hAnsiTheme="majorBidi" w:cstheme="majorBidi"/>
          <w:color w:val="000000"/>
          <w:sz w:val="22"/>
          <w:szCs w:val="22"/>
          <w:lang w:val="en-GB"/>
        </w:rPr>
        <w:t xml:space="preserve">arthquake </w:t>
      </w:r>
      <w:r w:rsidR="0022467E" w:rsidRPr="005C2C80">
        <w:rPr>
          <w:rFonts w:asciiTheme="majorBidi" w:hAnsiTheme="majorBidi" w:cstheme="majorBidi"/>
          <w:color w:val="000000"/>
          <w:sz w:val="22"/>
          <w:szCs w:val="22"/>
          <w:lang w:val="en-GB"/>
        </w:rPr>
        <w:t>E</w:t>
      </w:r>
      <w:r w:rsidRPr="005C2C80">
        <w:rPr>
          <w:rFonts w:asciiTheme="majorBidi" w:hAnsiTheme="majorBidi" w:cstheme="majorBidi"/>
          <w:color w:val="000000"/>
          <w:sz w:val="22"/>
          <w:szCs w:val="22"/>
          <w:lang w:val="en-GB"/>
        </w:rPr>
        <w:t>ngineering</w:t>
      </w:r>
    </w:p>
    <w:p w14:paraId="15AFEAA4" w14:textId="77777777" w:rsidR="00B43D2C" w:rsidRDefault="00B43D2C" w:rsidP="00B43D2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1C1185D3" w14:textId="77777777" w:rsidR="005C2C80" w:rsidRPr="007B52A0" w:rsidRDefault="005C2C80" w:rsidP="005C2C80">
      <w:pPr>
        <w:rPr>
          <w:rFonts w:asciiTheme="majorBidi" w:hAnsiTheme="majorBidi" w:cstheme="majorBidi"/>
          <w:vertAlign w:val="superscript"/>
          <w:lang w:val="en-US"/>
        </w:rPr>
      </w:pPr>
      <w:r w:rsidRPr="005C2C80">
        <w:rPr>
          <w:rFonts w:asciiTheme="majorBidi" w:hAnsiTheme="majorBidi" w:cstheme="majorBidi"/>
          <w:sz w:val="22"/>
          <w:szCs w:val="22"/>
        </w:rPr>
        <w:t xml:space="preserve">S. El </w:t>
      </w:r>
      <w:proofErr w:type="gramStart"/>
      <w:r w:rsidRPr="005C2C80">
        <w:rPr>
          <w:rFonts w:asciiTheme="majorBidi" w:hAnsiTheme="majorBidi" w:cstheme="majorBidi"/>
          <w:sz w:val="22"/>
          <w:szCs w:val="22"/>
        </w:rPr>
        <w:t>Kadri</w:t>
      </w:r>
      <w:r w:rsidRPr="005C2C80">
        <w:rPr>
          <w:rFonts w:asciiTheme="majorBidi" w:hAnsiTheme="majorBidi" w:cstheme="majorBidi"/>
          <w:sz w:val="22"/>
          <w:szCs w:val="22"/>
          <w:vertAlign w:val="superscript"/>
        </w:rPr>
        <w:t>(</w:t>
      </w:r>
      <w:proofErr w:type="gramEnd"/>
      <w:r w:rsidRPr="005C2C80">
        <w:rPr>
          <w:rFonts w:asciiTheme="majorBidi" w:hAnsiTheme="majorBidi" w:cstheme="majorBidi"/>
          <w:sz w:val="22"/>
          <w:szCs w:val="22"/>
          <w:vertAlign w:val="superscript"/>
        </w:rPr>
        <w:t>1,2)</w:t>
      </w:r>
      <w:r w:rsidRPr="005C2C80">
        <w:rPr>
          <w:rFonts w:asciiTheme="majorBidi" w:hAnsiTheme="majorBidi" w:cstheme="majorBidi"/>
          <w:sz w:val="22"/>
          <w:szCs w:val="22"/>
        </w:rPr>
        <w:t xml:space="preserve"> , C. Beauval</w:t>
      </w:r>
      <w:r w:rsidRPr="005C2C80">
        <w:rPr>
          <w:rFonts w:asciiTheme="majorBidi" w:hAnsiTheme="majorBidi" w:cstheme="majorBidi"/>
          <w:sz w:val="22"/>
          <w:szCs w:val="22"/>
          <w:vertAlign w:val="superscript"/>
        </w:rPr>
        <w:t>(1)</w:t>
      </w:r>
      <w:r w:rsidRPr="005C2C80">
        <w:rPr>
          <w:rFonts w:asciiTheme="majorBidi" w:hAnsiTheme="majorBidi" w:cstheme="majorBidi"/>
          <w:sz w:val="22"/>
          <w:szCs w:val="22"/>
        </w:rPr>
        <w:t xml:space="preserve">, M. </w:t>
      </w:r>
      <w:proofErr w:type="spellStart"/>
      <w:r w:rsidRPr="005C2C80">
        <w:rPr>
          <w:rFonts w:asciiTheme="majorBidi" w:hAnsiTheme="majorBidi" w:cstheme="majorBidi"/>
          <w:sz w:val="22"/>
          <w:szCs w:val="22"/>
        </w:rPr>
        <w:t>Brax</w:t>
      </w:r>
      <w:proofErr w:type="spellEnd"/>
      <w:r w:rsidRPr="005C2C80">
        <w:rPr>
          <w:rFonts w:asciiTheme="majorBidi" w:hAnsiTheme="majorBidi" w:cstheme="majorBidi"/>
          <w:sz w:val="22"/>
          <w:szCs w:val="22"/>
          <w:vertAlign w:val="superscript"/>
        </w:rPr>
        <w:t>(2)</w:t>
      </w:r>
      <w:r w:rsidRPr="005C2C80">
        <w:rPr>
          <w:rFonts w:asciiTheme="majorBidi" w:hAnsiTheme="majorBidi" w:cstheme="majorBidi"/>
          <w:sz w:val="22"/>
          <w:szCs w:val="22"/>
        </w:rPr>
        <w:t xml:space="preserve">, PY. </w:t>
      </w:r>
      <w:proofErr w:type="gramStart"/>
      <w:r w:rsidRPr="005C2C80">
        <w:rPr>
          <w:rFonts w:asciiTheme="majorBidi" w:hAnsiTheme="majorBidi" w:cstheme="majorBidi"/>
          <w:sz w:val="22"/>
          <w:szCs w:val="22"/>
          <w:lang w:val="en-US"/>
        </w:rPr>
        <w:t>Bard</w:t>
      </w:r>
      <w:r w:rsidRPr="005C2C80">
        <w:rPr>
          <w:rFonts w:asciiTheme="majorBidi" w:hAnsiTheme="majorBidi" w:cstheme="majorBidi"/>
          <w:sz w:val="22"/>
          <w:szCs w:val="22"/>
          <w:vertAlign w:val="superscript"/>
          <w:lang w:val="en-US"/>
        </w:rPr>
        <w:t>(</w:t>
      </w:r>
      <w:proofErr w:type="gramEnd"/>
      <w:r w:rsidRPr="005C2C80">
        <w:rPr>
          <w:rFonts w:asciiTheme="majorBidi" w:hAnsiTheme="majorBidi" w:cstheme="majorBidi"/>
          <w:sz w:val="22"/>
          <w:szCs w:val="22"/>
          <w:vertAlign w:val="superscript"/>
          <w:lang w:val="en-US"/>
        </w:rPr>
        <w:t>1)</w:t>
      </w:r>
      <w:r w:rsidRPr="005C2C80">
        <w:rPr>
          <w:rFonts w:asciiTheme="majorBidi" w:hAnsiTheme="majorBidi" w:cstheme="majorBidi"/>
          <w:sz w:val="22"/>
          <w:szCs w:val="22"/>
          <w:lang w:val="en-US"/>
        </w:rPr>
        <w:t xml:space="preserve">, M. </w:t>
      </w:r>
      <w:proofErr w:type="spellStart"/>
      <w:r w:rsidRPr="005C2C80">
        <w:rPr>
          <w:rFonts w:asciiTheme="majorBidi" w:hAnsiTheme="majorBidi" w:cstheme="majorBidi"/>
          <w:sz w:val="22"/>
          <w:szCs w:val="22"/>
          <w:lang w:val="en-US"/>
        </w:rPr>
        <w:t>Vergnolle</w:t>
      </w:r>
      <w:proofErr w:type="spellEnd"/>
      <w:r w:rsidRPr="005C2C80">
        <w:rPr>
          <w:rFonts w:asciiTheme="majorBidi" w:hAnsiTheme="majorBidi" w:cstheme="majorBidi"/>
          <w:sz w:val="22"/>
          <w:szCs w:val="22"/>
          <w:vertAlign w:val="superscript"/>
          <w:lang w:val="en-US"/>
        </w:rPr>
        <w:t>(3)</w:t>
      </w:r>
      <w:r w:rsidRPr="005C2C80">
        <w:rPr>
          <w:rFonts w:asciiTheme="majorBidi" w:hAnsiTheme="majorBidi" w:cstheme="majorBidi"/>
          <w:sz w:val="22"/>
          <w:szCs w:val="22"/>
          <w:lang w:val="en-US"/>
        </w:rPr>
        <w:t xml:space="preserve"> and Y. Klinger</w:t>
      </w:r>
      <w:r w:rsidRPr="005C2C80">
        <w:rPr>
          <w:rFonts w:asciiTheme="majorBidi" w:hAnsiTheme="majorBidi" w:cstheme="majorBidi"/>
          <w:sz w:val="22"/>
          <w:szCs w:val="22"/>
          <w:vertAlign w:val="superscript"/>
          <w:lang w:val="en-US"/>
        </w:rPr>
        <w:t>(4)</w:t>
      </w:r>
    </w:p>
    <w:p w14:paraId="36A6AE77" w14:textId="77777777" w:rsidR="005C2C80" w:rsidRDefault="005C2C80" w:rsidP="005C2C80">
      <w:pPr>
        <w:rPr>
          <w:rFonts w:asciiTheme="majorBidi" w:hAnsiTheme="majorBidi" w:cstheme="majorBidi"/>
          <w:sz w:val="36"/>
          <w:szCs w:val="36"/>
          <w:vertAlign w:val="superscript"/>
          <w:lang w:val="en-US"/>
        </w:rPr>
      </w:pPr>
    </w:p>
    <w:p w14:paraId="44272531" w14:textId="4A799DC7" w:rsidR="005C2C80" w:rsidRPr="005C2C80" w:rsidRDefault="005C2C80" w:rsidP="005C2C80">
      <w:pPr>
        <w:rPr>
          <w:rFonts w:asciiTheme="majorBidi" w:hAnsiTheme="majorBidi" w:cstheme="majorBidi"/>
          <w:sz w:val="36"/>
          <w:szCs w:val="36"/>
          <w:vertAlign w:val="superscript"/>
          <w:lang w:val="en-US"/>
        </w:rPr>
      </w:pPr>
      <w:r w:rsidRPr="007B52A0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(1)</w:t>
      </w:r>
      <w:r w:rsidRPr="007B52A0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proofErr w:type="spellStart"/>
      <w:r w:rsidRPr="007B52A0">
        <w:rPr>
          <w:rFonts w:asciiTheme="majorBidi" w:hAnsiTheme="majorBidi" w:cstheme="majorBidi"/>
          <w:sz w:val="18"/>
          <w:szCs w:val="18"/>
          <w:lang w:val="en-US"/>
        </w:rPr>
        <w:t>ISTerre</w:t>
      </w:r>
      <w:proofErr w:type="spellEnd"/>
      <w:r w:rsidRPr="007B52A0">
        <w:rPr>
          <w:rFonts w:asciiTheme="majorBidi" w:hAnsiTheme="majorBidi" w:cstheme="majorBidi"/>
          <w:sz w:val="18"/>
          <w:szCs w:val="18"/>
          <w:lang w:val="en-US"/>
        </w:rPr>
        <w:t xml:space="preserve">, University of Grenoble Alpes, IRD, Gustave Eiffel University, University of </w:t>
      </w:r>
      <w:proofErr w:type="spellStart"/>
      <w:r w:rsidRPr="007B52A0">
        <w:rPr>
          <w:rFonts w:asciiTheme="majorBidi" w:hAnsiTheme="majorBidi" w:cstheme="majorBidi"/>
          <w:sz w:val="18"/>
          <w:szCs w:val="18"/>
          <w:lang w:val="en-US"/>
        </w:rPr>
        <w:t>Savoie</w:t>
      </w:r>
      <w:proofErr w:type="spellEnd"/>
      <w:r w:rsidRPr="007B52A0">
        <w:rPr>
          <w:rFonts w:asciiTheme="majorBidi" w:hAnsiTheme="majorBidi" w:cstheme="majorBidi"/>
          <w:sz w:val="18"/>
          <w:szCs w:val="18"/>
          <w:lang w:val="en-US"/>
        </w:rPr>
        <w:t xml:space="preserve"> Mont Blanc, CNRS, Grenoble, France</w:t>
      </w:r>
    </w:p>
    <w:p w14:paraId="2CCAA8A3" w14:textId="77777777" w:rsidR="005C2C80" w:rsidRPr="007B52A0" w:rsidRDefault="005C2C80" w:rsidP="005C2C80">
      <w:pPr>
        <w:spacing w:before="240" w:after="240"/>
        <w:rPr>
          <w:rFonts w:asciiTheme="majorBidi" w:hAnsiTheme="majorBidi" w:cstheme="majorBidi"/>
          <w:sz w:val="18"/>
          <w:szCs w:val="18"/>
          <w:lang w:val="en-US"/>
        </w:rPr>
      </w:pPr>
      <w:r w:rsidRPr="007B52A0">
        <w:rPr>
          <w:rFonts w:asciiTheme="majorBidi" w:hAnsiTheme="majorBidi" w:cstheme="majorBidi"/>
          <w:sz w:val="18"/>
          <w:szCs w:val="18"/>
          <w:vertAlign w:val="superscript"/>
          <w:lang w:val="en-US"/>
        </w:rPr>
        <w:t>(2)</w:t>
      </w:r>
      <w:r w:rsidRPr="007B52A0">
        <w:rPr>
          <w:rFonts w:asciiTheme="majorBidi" w:hAnsiTheme="majorBidi" w:cstheme="majorBidi"/>
          <w:sz w:val="12"/>
          <w:szCs w:val="12"/>
          <w:lang w:val="en-US"/>
        </w:rPr>
        <w:t xml:space="preserve"> </w:t>
      </w:r>
      <w:r w:rsidRPr="007B52A0">
        <w:rPr>
          <w:rFonts w:asciiTheme="majorBidi" w:hAnsiTheme="majorBidi" w:cstheme="majorBidi"/>
          <w:sz w:val="18"/>
          <w:szCs w:val="18"/>
          <w:lang w:val="en-US"/>
        </w:rPr>
        <w:t xml:space="preserve">National Council for Scientific Research, CNRS-L P.O. Box 16-5432 </w:t>
      </w:r>
      <w:proofErr w:type="spellStart"/>
      <w:r w:rsidRPr="007B52A0">
        <w:rPr>
          <w:rFonts w:asciiTheme="majorBidi" w:hAnsiTheme="majorBidi" w:cstheme="majorBidi"/>
          <w:sz w:val="18"/>
          <w:szCs w:val="18"/>
          <w:lang w:val="en-US"/>
        </w:rPr>
        <w:t>Achrafyeh</w:t>
      </w:r>
      <w:proofErr w:type="spellEnd"/>
      <w:r w:rsidRPr="007B52A0">
        <w:rPr>
          <w:rFonts w:asciiTheme="majorBidi" w:hAnsiTheme="majorBidi" w:cstheme="majorBidi"/>
          <w:sz w:val="18"/>
          <w:szCs w:val="18"/>
          <w:lang w:val="en-US"/>
        </w:rPr>
        <w:t xml:space="preserve"> 1100-2040, Beirut, Lebanon,</w:t>
      </w:r>
    </w:p>
    <w:p w14:paraId="75B434E7" w14:textId="77777777" w:rsidR="005C2C80" w:rsidRPr="007B52A0" w:rsidRDefault="005C2C80" w:rsidP="005C2C80">
      <w:pPr>
        <w:spacing w:before="240" w:after="240"/>
        <w:rPr>
          <w:rFonts w:asciiTheme="majorBidi" w:hAnsiTheme="majorBidi" w:cstheme="majorBidi"/>
          <w:sz w:val="18"/>
          <w:szCs w:val="18"/>
        </w:rPr>
      </w:pPr>
      <w:r w:rsidRPr="00263ADE">
        <w:rPr>
          <w:rFonts w:asciiTheme="majorBidi" w:hAnsiTheme="majorBidi" w:cstheme="majorBidi"/>
          <w:sz w:val="18"/>
          <w:szCs w:val="18"/>
          <w:vertAlign w:val="superscript"/>
        </w:rPr>
        <w:t>(3)</w:t>
      </w:r>
      <w:r w:rsidRPr="007B52A0">
        <w:rPr>
          <w:rFonts w:asciiTheme="majorBidi" w:hAnsiTheme="majorBidi" w:cstheme="majorBidi"/>
          <w:sz w:val="18"/>
          <w:szCs w:val="18"/>
        </w:rPr>
        <w:t xml:space="preserve"> Université Côte d’Azur, IRD, CNRS, Observatoire de la Côte d’Azur, </w:t>
      </w:r>
      <w:proofErr w:type="spellStart"/>
      <w:r w:rsidRPr="007B52A0">
        <w:rPr>
          <w:rFonts w:asciiTheme="majorBidi" w:hAnsiTheme="majorBidi" w:cstheme="majorBidi"/>
          <w:sz w:val="18"/>
          <w:szCs w:val="18"/>
        </w:rPr>
        <w:t>Géoazur</w:t>
      </w:r>
      <w:proofErr w:type="spellEnd"/>
      <w:r w:rsidRPr="007B52A0">
        <w:rPr>
          <w:rFonts w:asciiTheme="majorBidi" w:hAnsiTheme="majorBidi" w:cstheme="majorBidi"/>
          <w:sz w:val="18"/>
          <w:szCs w:val="18"/>
        </w:rPr>
        <w:t>, Valbonne, France</w:t>
      </w:r>
    </w:p>
    <w:p w14:paraId="1D5E6AE5" w14:textId="77777777" w:rsidR="005C2C80" w:rsidRPr="007B52A0" w:rsidRDefault="005C2C80" w:rsidP="005C2C80">
      <w:pPr>
        <w:spacing w:before="240" w:after="240"/>
        <w:rPr>
          <w:rFonts w:asciiTheme="majorBidi" w:hAnsiTheme="majorBidi" w:cstheme="majorBidi"/>
          <w:sz w:val="18"/>
          <w:szCs w:val="18"/>
        </w:rPr>
      </w:pPr>
      <w:r w:rsidRPr="00DE2890">
        <w:rPr>
          <w:rFonts w:asciiTheme="majorBidi" w:hAnsiTheme="majorBidi" w:cstheme="majorBidi"/>
          <w:sz w:val="18"/>
          <w:szCs w:val="18"/>
          <w:vertAlign w:val="superscript"/>
        </w:rPr>
        <w:t xml:space="preserve">(4) </w:t>
      </w:r>
      <w:r w:rsidRPr="007B52A0">
        <w:rPr>
          <w:rFonts w:asciiTheme="majorBidi" w:hAnsiTheme="majorBidi" w:cstheme="majorBidi"/>
          <w:sz w:val="18"/>
          <w:szCs w:val="18"/>
        </w:rPr>
        <w:t>Université de Paris, Institut de physique du globe de Paris, CNRS, 1, rue Jussieu, Paris, France</w:t>
      </w:r>
    </w:p>
    <w:p w14:paraId="054115A0" w14:textId="68D8C996" w:rsidR="00886C91" w:rsidRDefault="005C2C80" w:rsidP="005C2C80">
      <w:pPr>
        <w:spacing w:before="240" w:after="240"/>
        <w:rPr>
          <w:rFonts w:asciiTheme="majorBidi" w:hAnsiTheme="majorBidi" w:cstheme="majorBidi"/>
          <w:sz w:val="18"/>
          <w:szCs w:val="18"/>
          <w:lang w:val="en-US"/>
        </w:rPr>
      </w:pPr>
      <w:r w:rsidRPr="007B52A0">
        <w:rPr>
          <w:rFonts w:asciiTheme="majorBidi" w:hAnsiTheme="majorBidi" w:cstheme="majorBidi"/>
          <w:sz w:val="18"/>
          <w:szCs w:val="18"/>
          <w:lang w:val="en-US"/>
        </w:rPr>
        <w:t xml:space="preserve">Corresponding author: </w:t>
      </w:r>
      <w:hyperlink r:id="rId8" w:history="1">
        <w:r w:rsidRPr="00B5654B">
          <w:rPr>
            <w:rStyle w:val="Hyperlink"/>
            <w:rFonts w:asciiTheme="majorBidi" w:hAnsiTheme="majorBidi" w:cstheme="majorBidi"/>
            <w:sz w:val="18"/>
            <w:szCs w:val="18"/>
            <w:lang w:val="en-US"/>
          </w:rPr>
          <w:t>sarah.el-kadri@univ-grenoble-alpes.fr</w:t>
        </w:r>
      </w:hyperlink>
    </w:p>
    <w:p w14:paraId="502B5901" w14:textId="77777777" w:rsidR="005C2C80" w:rsidRPr="005C2C80" w:rsidRDefault="005C2C80" w:rsidP="005C2C80">
      <w:pPr>
        <w:spacing w:before="240" w:after="240"/>
        <w:rPr>
          <w:rFonts w:asciiTheme="majorBidi" w:hAnsiTheme="majorBidi" w:cstheme="majorBidi"/>
          <w:sz w:val="18"/>
          <w:szCs w:val="18"/>
          <w:lang w:val="en-US"/>
        </w:rPr>
      </w:pPr>
    </w:p>
    <w:p w14:paraId="45F73019" w14:textId="77777777" w:rsidR="00284369" w:rsidRDefault="00284369" w:rsidP="00284369">
      <w:pPr>
        <w:keepNext/>
        <w:spacing w:line="480" w:lineRule="auto"/>
        <w:jc w:val="both"/>
      </w:pPr>
      <w:r>
        <w:rPr>
          <w:noProof/>
          <w:lang w:val="en-US"/>
        </w:rPr>
        <w:drawing>
          <wp:inline distT="0" distB="0" distL="0" distR="0" wp14:anchorId="74551CF7" wp14:editId="596F6210">
            <wp:extent cx="6619875" cy="20352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6" b="43085"/>
                    <a:stretch/>
                  </pic:blipFill>
                  <pic:spPr bwMode="auto">
                    <a:xfrm>
                      <a:off x="0" y="0"/>
                      <a:ext cx="6644443" cy="2042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89837" w14:textId="0441860B" w:rsidR="00AB2474" w:rsidRPr="002C6DB9" w:rsidRDefault="00284369" w:rsidP="00284369">
      <w:pPr>
        <w:pStyle w:val="Caption"/>
        <w:jc w:val="both"/>
        <w:rPr>
          <w:i w:val="0"/>
          <w:iCs w:val="0"/>
          <w:color w:val="000000" w:themeColor="text1"/>
          <w:lang w:val="en-US"/>
        </w:rPr>
      </w:pPr>
      <w:r w:rsidRPr="002C6DB9">
        <w:rPr>
          <w:b/>
          <w:bCs/>
          <w:i w:val="0"/>
          <w:iCs w:val="0"/>
          <w:color w:val="000000" w:themeColor="text1"/>
          <w:lang w:val="en-US"/>
        </w:rPr>
        <w:t>Fig</w:t>
      </w:r>
      <w:r w:rsidR="00AB2474" w:rsidRPr="002C6DB9">
        <w:rPr>
          <w:b/>
          <w:bCs/>
          <w:i w:val="0"/>
          <w:iCs w:val="0"/>
          <w:color w:val="000000" w:themeColor="text1"/>
          <w:lang w:val="en-US"/>
        </w:rPr>
        <w:t>.</w:t>
      </w:r>
      <w:r w:rsidRPr="002C6DB9">
        <w:rPr>
          <w:b/>
          <w:bCs/>
          <w:i w:val="0"/>
          <w:iCs w:val="0"/>
          <w:color w:val="000000" w:themeColor="text1"/>
          <w:lang w:val="en-US"/>
        </w:rPr>
        <w:t xml:space="preserve"> </w:t>
      </w:r>
      <w:r w:rsidR="00DF7088" w:rsidRPr="002C6DB9">
        <w:rPr>
          <w:b/>
          <w:bCs/>
          <w:i w:val="0"/>
          <w:iCs w:val="0"/>
          <w:color w:val="000000" w:themeColor="text1"/>
          <w:lang w:val="en-US"/>
        </w:rPr>
        <w:t>S</w:t>
      </w:r>
      <w:r w:rsidRPr="002C6DB9">
        <w:rPr>
          <w:b/>
          <w:bCs/>
          <w:i w:val="0"/>
          <w:iCs w:val="0"/>
          <w:color w:val="000000" w:themeColor="text1"/>
        </w:rPr>
        <w:fldChar w:fldCharType="begin"/>
      </w:r>
      <w:r w:rsidRPr="002C6DB9">
        <w:rPr>
          <w:b/>
          <w:bCs/>
          <w:i w:val="0"/>
          <w:iCs w:val="0"/>
          <w:color w:val="000000" w:themeColor="text1"/>
          <w:lang w:val="en-US"/>
        </w:rPr>
        <w:instrText xml:space="preserve"> SEQ Figure \* ARABIC </w:instrText>
      </w:r>
      <w:r w:rsidRPr="002C6DB9">
        <w:rPr>
          <w:b/>
          <w:bCs/>
          <w:i w:val="0"/>
          <w:iCs w:val="0"/>
          <w:color w:val="000000" w:themeColor="text1"/>
        </w:rPr>
        <w:fldChar w:fldCharType="separate"/>
      </w:r>
      <w:r w:rsidR="00922064">
        <w:rPr>
          <w:b/>
          <w:bCs/>
          <w:i w:val="0"/>
          <w:iCs w:val="0"/>
          <w:noProof/>
          <w:color w:val="000000" w:themeColor="text1"/>
          <w:lang w:val="en-US"/>
        </w:rPr>
        <w:t>1</w:t>
      </w:r>
      <w:r w:rsidRPr="002C6DB9">
        <w:rPr>
          <w:b/>
          <w:bCs/>
          <w:i w:val="0"/>
          <w:iCs w:val="0"/>
          <w:color w:val="000000" w:themeColor="text1"/>
        </w:rPr>
        <w:fldChar w:fldCharType="end"/>
      </w:r>
      <w:r w:rsidRPr="002C6DB9">
        <w:rPr>
          <w:i w:val="0"/>
          <w:iCs w:val="0"/>
          <w:color w:val="000000" w:themeColor="text1"/>
          <w:lang w:val="en-US"/>
        </w:rPr>
        <w:t xml:space="preserve"> Distribution of hazard levels in </w:t>
      </w:r>
      <w:r w:rsidR="00AB2474" w:rsidRPr="002C6DB9">
        <w:rPr>
          <w:i w:val="0"/>
          <w:iCs w:val="0"/>
          <w:color w:val="000000" w:themeColor="text1"/>
          <w:lang w:val="en-US"/>
        </w:rPr>
        <w:t>Beirut</w:t>
      </w:r>
      <w:r w:rsidRPr="002C6DB9">
        <w:rPr>
          <w:i w:val="0"/>
          <w:iCs w:val="0"/>
          <w:color w:val="000000" w:themeColor="text1"/>
          <w:lang w:val="en-US"/>
        </w:rPr>
        <w:t xml:space="preserve">, for a) PGA at 2475 years return period, b) spectral period </w:t>
      </w:r>
      <w:r w:rsidR="00AB2474" w:rsidRPr="002C6DB9">
        <w:rPr>
          <w:i w:val="0"/>
          <w:iCs w:val="0"/>
          <w:color w:val="000000" w:themeColor="text1"/>
          <w:lang w:val="en-US"/>
        </w:rPr>
        <w:t>0.</w:t>
      </w:r>
      <w:r w:rsidRPr="002C6DB9">
        <w:rPr>
          <w:i w:val="0"/>
          <w:iCs w:val="0"/>
          <w:color w:val="000000" w:themeColor="text1"/>
          <w:lang w:val="en-US"/>
        </w:rPr>
        <w:t xml:space="preserve">2s at 475 years, c) spectral period </w:t>
      </w:r>
      <w:r w:rsidR="00AB2474" w:rsidRPr="002C6DB9">
        <w:rPr>
          <w:i w:val="0"/>
          <w:iCs w:val="0"/>
          <w:color w:val="000000" w:themeColor="text1"/>
          <w:lang w:val="en-US"/>
        </w:rPr>
        <w:t>0.</w:t>
      </w:r>
      <w:r w:rsidRPr="002C6DB9">
        <w:rPr>
          <w:i w:val="0"/>
          <w:iCs w:val="0"/>
          <w:color w:val="000000" w:themeColor="text1"/>
          <w:lang w:val="en-US"/>
        </w:rPr>
        <w:t>2 at 2475 years return period. See legend of Fig</w:t>
      </w:r>
      <w:r w:rsidR="00AB2474" w:rsidRPr="002C6DB9">
        <w:rPr>
          <w:i w:val="0"/>
          <w:iCs w:val="0"/>
          <w:color w:val="000000" w:themeColor="text1"/>
          <w:lang w:val="en-US"/>
        </w:rPr>
        <w:t>.</w:t>
      </w:r>
      <w:r w:rsidRPr="002C6DB9">
        <w:rPr>
          <w:i w:val="0"/>
          <w:iCs w:val="0"/>
          <w:color w:val="000000" w:themeColor="text1"/>
          <w:lang w:val="en-US"/>
        </w:rPr>
        <w:t xml:space="preserve"> 7</w:t>
      </w:r>
    </w:p>
    <w:p w14:paraId="5DB433D6" w14:textId="77777777" w:rsidR="00AB2474" w:rsidRDefault="00284369" w:rsidP="002C6DB9">
      <w:pPr>
        <w:pStyle w:val="Caption"/>
        <w:keepNext/>
      </w:pPr>
      <w:r>
        <w:rPr>
          <w:noProof/>
          <w:lang w:val="en-US"/>
        </w:rPr>
        <w:drawing>
          <wp:inline distT="0" distB="0" distL="0" distR="0" wp14:anchorId="3F5D2727" wp14:editId="0726C6D2">
            <wp:extent cx="6328864" cy="2003323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6" t="13604" r="8561" b="49192"/>
                    <a:stretch/>
                  </pic:blipFill>
                  <pic:spPr bwMode="auto">
                    <a:xfrm>
                      <a:off x="0" y="0"/>
                      <a:ext cx="6414592" cy="2030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90FE7" w14:textId="6A13D592" w:rsidR="00284369" w:rsidRPr="002C6DB9" w:rsidRDefault="00AB2474" w:rsidP="00AB2474">
      <w:pPr>
        <w:pStyle w:val="Caption"/>
        <w:jc w:val="both"/>
        <w:rPr>
          <w:i w:val="0"/>
          <w:iCs w:val="0"/>
          <w:color w:val="000000" w:themeColor="text1"/>
          <w:lang w:val="en-US"/>
        </w:rPr>
      </w:pPr>
      <w:r w:rsidRPr="002C6DB9">
        <w:rPr>
          <w:b/>
          <w:bCs/>
          <w:i w:val="0"/>
          <w:iCs w:val="0"/>
          <w:color w:val="000000" w:themeColor="text1"/>
          <w:lang w:val="en-US"/>
        </w:rPr>
        <w:t xml:space="preserve">Fig. </w:t>
      </w:r>
      <w:r w:rsidR="00DF7088" w:rsidRPr="002C6DB9">
        <w:rPr>
          <w:b/>
          <w:bCs/>
          <w:i w:val="0"/>
          <w:iCs w:val="0"/>
          <w:color w:val="000000" w:themeColor="text1"/>
          <w:lang w:val="en-US"/>
        </w:rPr>
        <w:t>S</w:t>
      </w:r>
      <w:r w:rsidRPr="002C6DB9">
        <w:rPr>
          <w:b/>
          <w:bCs/>
          <w:i w:val="0"/>
          <w:iCs w:val="0"/>
          <w:color w:val="000000" w:themeColor="text1"/>
          <w:lang w:val="en-US"/>
        </w:rPr>
        <w:fldChar w:fldCharType="begin"/>
      </w:r>
      <w:r w:rsidRPr="002C6DB9">
        <w:rPr>
          <w:b/>
          <w:bCs/>
          <w:i w:val="0"/>
          <w:iCs w:val="0"/>
          <w:color w:val="000000" w:themeColor="text1"/>
          <w:lang w:val="en-US"/>
        </w:rPr>
        <w:instrText xml:space="preserve"> SEQ Figure \* ARABIC </w:instrText>
      </w:r>
      <w:r w:rsidRPr="002C6DB9">
        <w:rPr>
          <w:b/>
          <w:bCs/>
          <w:i w:val="0"/>
          <w:iCs w:val="0"/>
          <w:color w:val="000000" w:themeColor="text1"/>
          <w:lang w:val="en-US"/>
        </w:rPr>
        <w:fldChar w:fldCharType="separate"/>
      </w:r>
      <w:r w:rsidR="00922064">
        <w:rPr>
          <w:b/>
          <w:bCs/>
          <w:i w:val="0"/>
          <w:iCs w:val="0"/>
          <w:noProof/>
          <w:color w:val="000000" w:themeColor="text1"/>
          <w:lang w:val="en-US"/>
        </w:rPr>
        <w:t>2</w:t>
      </w:r>
      <w:r w:rsidRPr="002C6DB9">
        <w:rPr>
          <w:b/>
          <w:bCs/>
          <w:i w:val="0"/>
          <w:iCs w:val="0"/>
          <w:color w:val="000000" w:themeColor="text1"/>
          <w:lang w:val="en-US"/>
        </w:rPr>
        <w:fldChar w:fldCharType="end"/>
      </w:r>
      <w:r w:rsidRPr="002C6DB9">
        <w:rPr>
          <w:color w:val="000000" w:themeColor="text1"/>
          <w:sz w:val="22"/>
          <w:szCs w:val="22"/>
          <w:lang w:val="en-GB"/>
        </w:rPr>
        <w:t xml:space="preserve"> </w:t>
      </w:r>
      <w:r w:rsidRPr="002C6DB9">
        <w:rPr>
          <w:i w:val="0"/>
          <w:iCs w:val="0"/>
          <w:color w:val="000000" w:themeColor="text1"/>
          <w:lang w:val="en-US"/>
        </w:rPr>
        <w:t>Distribution of hazard levels in Zahle, for a) PGA at 4975 years return period, b) spectral period 1 at 475 years, c) spectral period 1 at 2475 years return period. See legend of Fig. 7</w:t>
      </w:r>
    </w:p>
    <w:p w14:paraId="5457F06E" w14:textId="77777777" w:rsidR="002C6DB9" w:rsidRDefault="000C2169" w:rsidP="002C6DB9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34238976" wp14:editId="54E5B7FC">
            <wp:extent cx="5731510" cy="45739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7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CB6D6" w14:textId="2AF7BC7E" w:rsidR="000C2169" w:rsidRDefault="002C6DB9" w:rsidP="002C6DB9">
      <w:pPr>
        <w:pStyle w:val="Caption"/>
        <w:jc w:val="both"/>
        <w:rPr>
          <w:i w:val="0"/>
          <w:iCs w:val="0"/>
          <w:color w:val="000000" w:themeColor="text1"/>
          <w:lang w:val="en-US"/>
        </w:rPr>
      </w:pPr>
      <w:r w:rsidRPr="002C6DB9">
        <w:rPr>
          <w:b/>
          <w:bCs/>
          <w:i w:val="0"/>
          <w:iCs w:val="0"/>
          <w:color w:val="000000" w:themeColor="text1"/>
          <w:lang w:val="en-US"/>
        </w:rPr>
        <w:t>Fig. S</w:t>
      </w:r>
      <w:r w:rsidRPr="002C6DB9">
        <w:rPr>
          <w:b/>
          <w:bCs/>
          <w:i w:val="0"/>
          <w:iCs w:val="0"/>
          <w:color w:val="000000" w:themeColor="text1"/>
          <w:lang w:val="en-US"/>
        </w:rPr>
        <w:fldChar w:fldCharType="begin"/>
      </w:r>
      <w:r w:rsidRPr="002C6DB9">
        <w:rPr>
          <w:b/>
          <w:bCs/>
          <w:i w:val="0"/>
          <w:iCs w:val="0"/>
          <w:color w:val="000000" w:themeColor="text1"/>
          <w:lang w:val="en-US"/>
        </w:rPr>
        <w:instrText xml:space="preserve"> SEQ Figure \* ARABIC </w:instrText>
      </w:r>
      <w:r w:rsidRPr="002C6DB9">
        <w:rPr>
          <w:b/>
          <w:bCs/>
          <w:i w:val="0"/>
          <w:iCs w:val="0"/>
          <w:color w:val="000000" w:themeColor="text1"/>
          <w:lang w:val="en-US"/>
        </w:rPr>
        <w:fldChar w:fldCharType="separate"/>
      </w:r>
      <w:r w:rsidR="00922064">
        <w:rPr>
          <w:b/>
          <w:bCs/>
          <w:i w:val="0"/>
          <w:iCs w:val="0"/>
          <w:noProof/>
          <w:color w:val="000000" w:themeColor="text1"/>
          <w:lang w:val="en-US"/>
        </w:rPr>
        <w:t>3</w:t>
      </w:r>
      <w:r w:rsidRPr="002C6DB9">
        <w:rPr>
          <w:b/>
          <w:bCs/>
          <w:i w:val="0"/>
          <w:iCs w:val="0"/>
          <w:color w:val="000000" w:themeColor="text1"/>
          <w:lang w:val="en-US"/>
        </w:rPr>
        <w:fldChar w:fldCharType="end"/>
      </w:r>
      <w:r w:rsidRPr="002C6DB9">
        <w:rPr>
          <w:i w:val="0"/>
          <w:iCs w:val="0"/>
          <w:color w:val="000000" w:themeColor="text1"/>
          <w:lang w:val="en-US"/>
        </w:rPr>
        <w:t xml:space="preserve"> Uniform hazard spectra at 4 cities in Lebanon, mean (solid line) and percentiles 16</w:t>
      </w:r>
      <w:r w:rsidRPr="00BA5297">
        <w:rPr>
          <w:i w:val="0"/>
          <w:iCs w:val="0"/>
          <w:color w:val="000000" w:themeColor="text1"/>
          <w:vertAlign w:val="superscript"/>
          <w:lang w:val="en-US"/>
        </w:rPr>
        <w:t xml:space="preserve">th </w:t>
      </w:r>
      <w:r w:rsidRPr="002C6DB9">
        <w:rPr>
          <w:i w:val="0"/>
          <w:iCs w:val="0"/>
          <w:color w:val="000000" w:themeColor="text1"/>
          <w:lang w:val="en-US"/>
        </w:rPr>
        <w:t>and 84</w:t>
      </w:r>
      <w:r w:rsidRPr="00BA5297">
        <w:rPr>
          <w:i w:val="0"/>
          <w:iCs w:val="0"/>
          <w:color w:val="000000" w:themeColor="text1"/>
          <w:vertAlign w:val="superscript"/>
          <w:lang w:val="en-US"/>
        </w:rPr>
        <w:t xml:space="preserve">th </w:t>
      </w:r>
      <w:r w:rsidRPr="002C6DB9">
        <w:rPr>
          <w:i w:val="0"/>
          <w:iCs w:val="0"/>
          <w:color w:val="000000" w:themeColor="text1"/>
          <w:lang w:val="en-US"/>
        </w:rPr>
        <w:t>(dashed lines). Black: 475 years return period, Grey: 2475 years return period. The full source model and ground-motion model logic trees are explored, with equal weight on branches, as in Fig. 13</w:t>
      </w:r>
    </w:p>
    <w:p w14:paraId="4B093973" w14:textId="77777777" w:rsidR="0002537B" w:rsidRDefault="0002537B" w:rsidP="0002537B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73E7ED6C" wp14:editId="3ECE6ECF">
            <wp:extent cx="4543425" cy="2943225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3" t="14111" r="12586" b="13217"/>
                    <a:stretch/>
                  </pic:blipFill>
                  <pic:spPr bwMode="auto">
                    <a:xfrm>
                      <a:off x="0" y="0"/>
                      <a:ext cx="454342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5345B" w14:textId="3A39194D" w:rsidR="00EF4450" w:rsidRPr="0002537B" w:rsidRDefault="0002537B" w:rsidP="0002537B">
      <w:pPr>
        <w:pStyle w:val="Caption"/>
        <w:jc w:val="both"/>
        <w:rPr>
          <w:i w:val="0"/>
          <w:iCs w:val="0"/>
          <w:color w:val="000000" w:themeColor="text1"/>
          <w:lang w:val="en-US"/>
        </w:rPr>
      </w:pPr>
      <w:r w:rsidRPr="0002537B">
        <w:rPr>
          <w:b/>
          <w:bCs/>
          <w:i w:val="0"/>
          <w:iCs w:val="0"/>
          <w:color w:val="000000" w:themeColor="text1"/>
          <w:lang w:val="en-US"/>
        </w:rPr>
        <w:t>Fig. S</w:t>
      </w:r>
      <w:r w:rsidRPr="0002537B">
        <w:rPr>
          <w:b/>
          <w:bCs/>
          <w:i w:val="0"/>
          <w:iCs w:val="0"/>
          <w:color w:val="000000" w:themeColor="text1"/>
          <w:lang w:val="en-US"/>
        </w:rPr>
        <w:fldChar w:fldCharType="begin"/>
      </w:r>
      <w:r w:rsidRPr="0002537B">
        <w:rPr>
          <w:b/>
          <w:bCs/>
          <w:i w:val="0"/>
          <w:iCs w:val="0"/>
          <w:color w:val="000000" w:themeColor="text1"/>
          <w:lang w:val="en-US"/>
        </w:rPr>
        <w:instrText xml:space="preserve"> SEQ Figure \* ARABIC </w:instrText>
      </w:r>
      <w:r w:rsidRPr="0002537B">
        <w:rPr>
          <w:b/>
          <w:bCs/>
          <w:i w:val="0"/>
          <w:iCs w:val="0"/>
          <w:color w:val="000000" w:themeColor="text1"/>
          <w:lang w:val="en-US"/>
        </w:rPr>
        <w:fldChar w:fldCharType="separate"/>
      </w:r>
      <w:r w:rsidR="00922064">
        <w:rPr>
          <w:b/>
          <w:bCs/>
          <w:i w:val="0"/>
          <w:iCs w:val="0"/>
          <w:noProof/>
          <w:color w:val="000000" w:themeColor="text1"/>
          <w:lang w:val="en-US"/>
        </w:rPr>
        <w:t>4</w:t>
      </w:r>
      <w:r w:rsidRPr="0002537B">
        <w:rPr>
          <w:b/>
          <w:bCs/>
          <w:i w:val="0"/>
          <w:iCs w:val="0"/>
          <w:color w:val="000000" w:themeColor="text1"/>
          <w:lang w:val="en-US"/>
        </w:rPr>
        <w:fldChar w:fldCharType="end"/>
      </w:r>
      <w:r>
        <w:rPr>
          <w:i w:val="0"/>
          <w:iCs w:val="0"/>
          <w:color w:val="000000" w:themeColor="text1"/>
          <w:lang w:val="en-US"/>
        </w:rPr>
        <w:t xml:space="preserve"> </w:t>
      </w:r>
      <w:r w:rsidRPr="0002537B">
        <w:rPr>
          <w:i w:val="0"/>
          <w:iCs w:val="0"/>
          <w:color w:val="000000" w:themeColor="text1"/>
          <w:lang w:val="en-US"/>
        </w:rPr>
        <w:t xml:space="preserve">Mean seismic hazard maps at 475 years, generic </w:t>
      </w:r>
      <w:r w:rsidR="00BA5297">
        <w:rPr>
          <w:i w:val="0"/>
          <w:iCs w:val="0"/>
          <w:color w:val="000000" w:themeColor="text1"/>
          <w:lang w:val="en-US"/>
        </w:rPr>
        <w:t xml:space="preserve">rock </w:t>
      </w:r>
      <w:r w:rsidRPr="0002537B">
        <w:rPr>
          <w:i w:val="0"/>
          <w:iCs w:val="0"/>
          <w:color w:val="000000" w:themeColor="text1"/>
          <w:lang w:val="en-US"/>
        </w:rPr>
        <w:t>site</w:t>
      </w:r>
      <w:r w:rsidR="00BA5297">
        <w:rPr>
          <w:i w:val="0"/>
          <w:iCs w:val="0"/>
          <w:color w:val="000000" w:themeColor="text1"/>
          <w:lang w:val="en-US"/>
        </w:rPr>
        <w:t xml:space="preserve"> condition</w:t>
      </w:r>
      <w:r w:rsidRPr="0002537B">
        <w:rPr>
          <w:i w:val="0"/>
          <w:iCs w:val="0"/>
          <w:color w:val="000000" w:themeColor="text1"/>
          <w:lang w:val="en-US"/>
        </w:rPr>
        <w:t xml:space="preserve"> with V</w:t>
      </w:r>
      <w:r w:rsidRPr="00922064">
        <w:rPr>
          <w:i w:val="0"/>
          <w:iCs w:val="0"/>
          <w:color w:val="000000" w:themeColor="text1"/>
          <w:vertAlign w:val="subscript"/>
          <w:lang w:val="en-US"/>
        </w:rPr>
        <w:t xml:space="preserve">S30 </w:t>
      </w:r>
      <w:r w:rsidRPr="0002537B">
        <w:rPr>
          <w:i w:val="0"/>
          <w:iCs w:val="0"/>
          <w:color w:val="000000" w:themeColor="text1"/>
          <w:lang w:val="en-US"/>
        </w:rPr>
        <w:t>760 m/s, considering equal weights on the branches of the source model logic tree combined with the three selected ground-motion models for a spectral acceleration of a) 0.2s; b) 1s</w:t>
      </w:r>
    </w:p>
    <w:p w14:paraId="465A12B1" w14:textId="58147C93" w:rsidR="0002537B" w:rsidRDefault="0002537B" w:rsidP="0002537B">
      <w:pPr>
        <w:jc w:val="center"/>
        <w:rPr>
          <w:lang w:val="en-GB"/>
        </w:rPr>
      </w:pPr>
    </w:p>
    <w:p w14:paraId="24FC07D8" w14:textId="73C5A748" w:rsidR="00922064" w:rsidRDefault="00922064" w:rsidP="0002537B">
      <w:pPr>
        <w:jc w:val="center"/>
        <w:rPr>
          <w:lang w:val="en-GB"/>
        </w:rPr>
      </w:pPr>
    </w:p>
    <w:p w14:paraId="356FE63E" w14:textId="77777777" w:rsidR="00922064" w:rsidRDefault="00922064" w:rsidP="00922064">
      <w:pPr>
        <w:keepNext/>
        <w:jc w:val="center"/>
      </w:pPr>
      <w:r>
        <w:rPr>
          <w:noProof/>
          <w:lang w:val="en-GB"/>
        </w:rPr>
        <w:lastRenderedPageBreak/>
        <w:drawing>
          <wp:inline distT="0" distB="0" distL="0" distR="0" wp14:anchorId="00C2F2A8" wp14:editId="630748B1">
            <wp:extent cx="4514850" cy="29337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9" t="14347" r="12919" b="13217"/>
                    <a:stretch/>
                  </pic:blipFill>
                  <pic:spPr bwMode="auto">
                    <a:xfrm>
                      <a:off x="0" y="0"/>
                      <a:ext cx="451485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F6FBE" w14:textId="58799AEA" w:rsidR="00922064" w:rsidRPr="00922064" w:rsidRDefault="00922064" w:rsidP="00922064">
      <w:pPr>
        <w:pStyle w:val="Caption"/>
        <w:jc w:val="both"/>
        <w:rPr>
          <w:i w:val="0"/>
          <w:iCs w:val="0"/>
          <w:color w:val="000000" w:themeColor="text1"/>
          <w:lang w:val="en-US"/>
        </w:rPr>
      </w:pPr>
      <w:r w:rsidRPr="00922064">
        <w:rPr>
          <w:b/>
          <w:bCs/>
          <w:i w:val="0"/>
          <w:iCs w:val="0"/>
          <w:color w:val="000000" w:themeColor="text1"/>
          <w:lang w:val="en-US"/>
        </w:rPr>
        <w:t xml:space="preserve">Fig. </w:t>
      </w:r>
      <w:r w:rsidRPr="00922064">
        <w:rPr>
          <w:b/>
          <w:bCs/>
          <w:i w:val="0"/>
          <w:iCs w:val="0"/>
          <w:color w:val="000000" w:themeColor="text1"/>
          <w:lang w:val="en-US"/>
        </w:rPr>
        <w:fldChar w:fldCharType="begin"/>
      </w:r>
      <w:r w:rsidRPr="00922064">
        <w:rPr>
          <w:b/>
          <w:bCs/>
          <w:i w:val="0"/>
          <w:iCs w:val="0"/>
          <w:color w:val="000000" w:themeColor="text1"/>
          <w:lang w:val="en-US"/>
        </w:rPr>
        <w:instrText xml:space="preserve"> SEQ Figure \* ARABIC </w:instrText>
      </w:r>
      <w:r w:rsidRPr="00922064">
        <w:rPr>
          <w:b/>
          <w:bCs/>
          <w:i w:val="0"/>
          <w:iCs w:val="0"/>
          <w:color w:val="000000" w:themeColor="text1"/>
          <w:lang w:val="en-US"/>
        </w:rPr>
        <w:fldChar w:fldCharType="separate"/>
      </w:r>
      <w:r w:rsidRPr="00922064">
        <w:rPr>
          <w:b/>
          <w:bCs/>
          <w:i w:val="0"/>
          <w:iCs w:val="0"/>
          <w:color w:val="000000" w:themeColor="text1"/>
          <w:lang w:val="en-US"/>
        </w:rPr>
        <w:t>5</w:t>
      </w:r>
      <w:r w:rsidRPr="00922064">
        <w:rPr>
          <w:b/>
          <w:bCs/>
          <w:i w:val="0"/>
          <w:iCs w:val="0"/>
          <w:color w:val="000000" w:themeColor="text1"/>
          <w:lang w:val="en-US"/>
        </w:rPr>
        <w:fldChar w:fldCharType="end"/>
      </w:r>
      <w:r w:rsidRPr="00922064">
        <w:rPr>
          <w:i w:val="0"/>
          <w:iCs w:val="0"/>
          <w:color w:val="000000" w:themeColor="text1"/>
          <w:lang w:val="en-US"/>
        </w:rPr>
        <w:t xml:space="preserve"> Mean seismic hazard maps at 2475 years, generic </w:t>
      </w:r>
      <w:r w:rsidR="00BA5297">
        <w:rPr>
          <w:i w:val="0"/>
          <w:iCs w:val="0"/>
          <w:color w:val="000000" w:themeColor="text1"/>
          <w:lang w:val="en-US"/>
        </w:rPr>
        <w:t xml:space="preserve">rock </w:t>
      </w:r>
      <w:r w:rsidRPr="00922064">
        <w:rPr>
          <w:i w:val="0"/>
          <w:iCs w:val="0"/>
          <w:color w:val="000000" w:themeColor="text1"/>
          <w:lang w:val="en-US"/>
        </w:rPr>
        <w:t>site</w:t>
      </w:r>
      <w:r w:rsidR="00BA5297">
        <w:rPr>
          <w:i w:val="0"/>
          <w:iCs w:val="0"/>
          <w:color w:val="000000" w:themeColor="text1"/>
          <w:lang w:val="en-US"/>
        </w:rPr>
        <w:t xml:space="preserve"> condition</w:t>
      </w:r>
      <w:r w:rsidRPr="00922064">
        <w:rPr>
          <w:i w:val="0"/>
          <w:iCs w:val="0"/>
          <w:color w:val="000000" w:themeColor="text1"/>
          <w:lang w:val="en-US"/>
        </w:rPr>
        <w:t xml:space="preserve"> with V</w:t>
      </w:r>
      <w:r w:rsidRPr="00922064">
        <w:rPr>
          <w:i w:val="0"/>
          <w:iCs w:val="0"/>
          <w:color w:val="000000" w:themeColor="text1"/>
          <w:vertAlign w:val="subscript"/>
          <w:lang w:val="en-US"/>
        </w:rPr>
        <w:t xml:space="preserve">S30 </w:t>
      </w:r>
      <w:r w:rsidRPr="00922064">
        <w:rPr>
          <w:i w:val="0"/>
          <w:iCs w:val="0"/>
          <w:color w:val="000000" w:themeColor="text1"/>
          <w:lang w:val="en-US"/>
        </w:rPr>
        <w:t>760 m/s, considering equal weights on the branches of the source model logic tree combined with the three selected ground-motion models for a) the PGA; b) SA 1s</w:t>
      </w:r>
    </w:p>
    <w:sectPr w:rsidR="00922064" w:rsidRPr="00922064">
      <w:footerReference w:type="even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189D" w14:textId="77777777" w:rsidR="000F143D" w:rsidRDefault="000F143D" w:rsidP="00C3083D">
      <w:r>
        <w:separator/>
      </w:r>
    </w:p>
  </w:endnote>
  <w:endnote w:type="continuationSeparator" w:id="0">
    <w:p w14:paraId="3C82E21A" w14:textId="77777777" w:rsidR="000F143D" w:rsidRDefault="000F143D" w:rsidP="00C3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08098742"/>
      <w:docPartObj>
        <w:docPartGallery w:val="Page Numbers (Bottom of Page)"/>
        <w:docPartUnique/>
      </w:docPartObj>
    </w:sdtPr>
    <w:sdtContent>
      <w:p w14:paraId="67CFAC5C" w14:textId="14896AC4" w:rsidR="00C3083D" w:rsidRDefault="00C3083D" w:rsidP="00F2307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21192D" w14:textId="77777777" w:rsidR="00C3083D" w:rsidRDefault="00C3083D" w:rsidP="00C308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3013307"/>
      <w:docPartObj>
        <w:docPartGallery w:val="Page Numbers (Bottom of Page)"/>
        <w:docPartUnique/>
      </w:docPartObj>
    </w:sdtPr>
    <w:sdtContent>
      <w:p w14:paraId="02BEC431" w14:textId="30D9F129" w:rsidR="00C3083D" w:rsidRDefault="00C3083D" w:rsidP="00F2307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DDB03B" w14:textId="77777777" w:rsidR="00C3083D" w:rsidRDefault="00C3083D" w:rsidP="00C308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DFF8" w14:textId="77777777" w:rsidR="000F143D" w:rsidRDefault="000F143D" w:rsidP="00C3083D">
      <w:r>
        <w:separator/>
      </w:r>
    </w:p>
  </w:footnote>
  <w:footnote w:type="continuationSeparator" w:id="0">
    <w:p w14:paraId="0E4EE208" w14:textId="77777777" w:rsidR="000F143D" w:rsidRDefault="000F143D" w:rsidP="00C30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26BE4"/>
    <w:multiLevelType w:val="hybridMultilevel"/>
    <w:tmpl w:val="E2DEE1C4"/>
    <w:lvl w:ilvl="0" w:tplc="79E26DE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6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FE"/>
    <w:rsid w:val="0002537B"/>
    <w:rsid w:val="000A103C"/>
    <w:rsid w:val="000C2169"/>
    <w:rsid w:val="000D50C6"/>
    <w:rsid w:val="000F143D"/>
    <w:rsid w:val="000F5B45"/>
    <w:rsid w:val="00141E44"/>
    <w:rsid w:val="00196518"/>
    <w:rsid w:val="001D20C4"/>
    <w:rsid w:val="00200C1A"/>
    <w:rsid w:val="0022467E"/>
    <w:rsid w:val="00261CD6"/>
    <w:rsid w:val="00284369"/>
    <w:rsid w:val="00292454"/>
    <w:rsid w:val="002B1D56"/>
    <w:rsid w:val="002C6DB9"/>
    <w:rsid w:val="00316449"/>
    <w:rsid w:val="00357707"/>
    <w:rsid w:val="003B0FEB"/>
    <w:rsid w:val="004A53E8"/>
    <w:rsid w:val="004B0053"/>
    <w:rsid w:val="004B568D"/>
    <w:rsid w:val="004E1142"/>
    <w:rsid w:val="0052351B"/>
    <w:rsid w:val="0053557F"/>
    <w:rsid w:val="00541450"/>
    <w:rsid w:val="005555B1"/>
    <w:rsid w:val="005C2C80"/>
    <w:rsid w:val="00615D66"/>
    <w:rsid w:val="00622CD0"/>
    <w:rsid w:val="006238FE"/>
    <w:rsid w:val="00661DC5"/>
    <w:rsid w:val="00675980"/>
    <w:rsid w:val="006C7242"/>
    <w:rsid w:val="006F3D1C"/>
    <w:rsid w:val="007334BC"/>
    <w:rsid w:val="00746A4C"/>
    <w:rsid w:val="00753864"/>
    <w:rsid w:val="007777E0"/>
    <w:rsid w:val="00781148"/>
    <w:rsid w:val="007B082D"/>
    <w:rsid w:val="00834FCF"/>
    <w:rsid w:val="008519F8"/>
    <w:rsid w:val="00856616"/>
    <w:rsid w:val="00866A15"/>
    <w:rsid w:val="00886C91"/>
    <w:rsid w:val="00895A58"/>
    <w:rsid w:val="008B3CE6"/>
    <w:rsid w:val="008C1204"/>
    <w:rsid w:val="008E0047"/>
    <w:rsid w:val="00917CDB"/>
    <w:rsid w:val="00922064"/>
    <w:rsid w:val="00925403"/>
    <w:rsid w:val="009321F0"/>
    <w:rsid w:val="009717CF"/>
    <w:rsid w:val="009869EC"/>
    <w:rsid w:val="009919FC"/>
    <w:rsid w:val="009E0CD7"/>
    <w:rsid w:val="00A46012"/>
    <w:rsid w:val="00A474BB"/>
    <w:rsid w:val="00A712A6"/>
    <w:rsid w:val="00A75C74"/>
    <w:rsid w:val="00AB2474"/>
    <w:rsid w:val="00AC2F18"/>
    <w:rsid w:val="00AD739C"/>
    <w:rsid w:val="00B27237"/>
    <w:rsid w:val="00B43D2C"/>
    <w:rsid w:val="00B94FCE"/>
    <w:rsid w:val="00B976B3"/>
    <w:rsid w:val="00BA5297"/>
    <w:rsid w:val="00BC013C"/>
    <w:rsid w:val="00BC57D3"/>
    <w:rsid w:val="00BE0FDE"/>
    <w:rsid w:val="00C0543D"/>
    <w:rsid w:val="00C3083D"/>
    <w:rsid w:val="00C9132D"/>
    <w:rsid w:val="00CA0F91"/>
    <w:rsid w:val="00CE7C3F"/>
    <w:rsid w:val="00D04FE9"/>
    <w:rsid w:val="00DB6432"/>
    <w:rsid w:val="00DC69E0"/>
    <w:rsid w:val="00DF7088"/>
    <w:rsid w:val="00E85A9F"/>
    <w:rsid w:val="00EF4450"/>
    <w:rsid w:val="00F27BFF"/>
    <w:rsid w:val="00F654B6"/>
    <w:rsid w:val="00F83A95"/>
    <w:rsid w:val="00FA1D0E"/>
    <w:rsid w:val="00FF0067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D67C83"/>
  <w15:chartTrackingRefBased/>
  <w15:docId w15:val="{0B9F2028-0FD7-A14A-BBD2-2027FE14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8FE"/>
    <w:rPr>
      <w:rFonts w:ascii="Times New Roman" w:hAnsi="Times New Roman" w:cs="Times New Roman"/>
      <w:sz w:val="20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739C"/>
    <w:rPr>
      <w:color w:val="808080"/>
    </w:rPr>
  </w:style>
  <w:style w:type="paragraph" w:styleId="ListParagraph">
    <w:name w:val="List Paragraph"/>
    <w:basedOn w:val="Normal"/>
    <w:uiPriority w:val="34"/>
    <w:qFormat/>
    <w:rsid w:val="00BC01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43D2C"/>
    <w:pPr>
      <w:spacing w:before="100" w:beforeAutospacing="1" w:after="100" w:afterAutospacing="1"/>
    </w:pPr>
    <w:rPr>
      <w:rFonts w:eastAsia="Times New Roman"/>
      <w:sz w:val="24"/>
      <w:szCs w:val="24"/>
      <w:lang w:val="en-FR" w:eastAsia="en-GB"/>
    </w:rPr>
  </w:style>
  <w:style w:type="paragraph" w:styleId="Footer">
    <w:name w:val="footer"/>
    <w:basedOn w:val="Normal"/>
    <w:link w:val="FooterChar"/>
    <w:uiPriority w:val="99"/>
    <w:unhideWhenUsed/>
    <w:rsid w:val="00C308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83D"/>
    <w:rPr>
      <w:rFonts w:ascii="Times New Roman" w:hAnsi="Times New Roman" w:cs="Times New Roman"/>
      <w:sz w:val="20"/>
      <w:szCs w:val="20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C3083D"/>
  </w:style>
  <w:style w:type="paragraph" w:styleId="Caption">
    <w:name w:val="caption"/>
    <w:basedOn w:val="Normal"/>
    <w:next w:val="Normal"/>
    <w:uiPriority w:val="35"/>
    <w:unhideWhenUsed/>
    <w:qFormat/>
    <w:rsid w:val="00284369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2C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el-kadri@univ-grenoble-alpes.fr" TargetMode="Externa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5E8E0F-FBF2-C741-AE53-402C249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El Kadry</dc:creator>
  <cp:keywords/>
  <dc:description/>
  <cp:lastModifiedBy>Sarah El Kadry</cp:lastModifiedBy>
  <cp:revision>4</cp:revision>
  <dcterms:created xsi:type="dcterms:W3CDTF">2022-07-23T08:11:00Z</dcterms:created>
  <dcterms:modified xsi:type="dcterms:W3CDTF">2022-07-23T08:14:00Z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