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D81A79" w14:textId="6DE241F7" w:rsidR="00FE176D" w:rsidRPr="00CE587A" w:rsidRDefault="002E372C" w:rsidP="00FE176D">
      <w:pPr>
        <w:pStyle w:val="Heading2"/>
        <w:rPr>
          <w:rFonts w:cs="Times New Roman"/>
        </w:rPr>
      </w:pPr>
      <w:r>
        <w:rPr>
          <w:rFonts w:cs="Times New Roman"/>
        </w:rPr>
        <w:t xml:space="preserve">Supplementary </w:t>
      </w:r>
      <w:r w:rsidR="00FE176D" w:rsidRPr="00CE587A">
        <w:rPr>
          <w:rFonts w:cs="Times New Roman"/>
        </w:rPr>
        <w:t>Materials and Methods</w:t>
      </w:r>
    </w:p>
    <w:p w14:paraId="2E05DE21" w14:textId="0927AA54" w:rsidR="00FE176D" w:rsidRPr="008160DD" w:rsidRDefault="00FE176D" w:rsidP="00FE176D">
      <w:pPr>
        <w:pStyle w:val="Heading3"/>
        <w:rPr>
          <w:b/>
          <w:bCs/>
          <w:i w:val="0"/>
          <w:iCs w:val="0"/>
        </w:rPr>
      </w:pPr>
      <w:r w:rsidRPr="008160DD">
        <w:rPr>
          <w:b/>
          <w:bCs/>
          <w:i w:val="0"/>
          <w:iCs w:val="0"/>
        </w:rPr>
        <w:t>Nucleic acid extractions</w:t>
      </w:r>
    </w:p>
    <w:p w14:paraId="32275DAC" w14:textId="45E517B8" w:rsidR="00FE176D" w:rsidRPr="00CE587A" w:rsidRDefault="00FE176D" w:rsidP="00FE176D">
      <w:r w:rsidRPr="00CE587A">
        <w:t xml:space="preserve">DNA extractions for all plant tissues described below followed a CTAB procedure </w:t>
      </w:r>
      <w:r w:rsidRPr="00CE587A">
        <w:fldChar w:fldCharType="begin"/>
      </w:r>
      <w:r w:rsidR="005E207B">
        <w:instrText xml:space="preserve"> ADDIN ZOTERO_ITEM CSL_CITATION {"citationID":"Q2C8Y6CD","properties":{"formattedCitation":"(Doyle and Doyle 1990)","plainCitation":"(Doyle and Doyle 1990)","noteIndex":0},"citationItems":[{"id":345,"uris":["http://zotero.org/users/3317696/items/ZEBTQSXD"],"itemData":{"id":345,"type":"article-journal","container-title":"Focus","page":"13-15","source":"CiNii","title":"Isolation of plant DNA from fresh tissue","volume":"12","author":[{"family":"Doyle","given":"J.J."},{"family":"Doyle","given":"J.L."}],"issued":{"date-parts":[["1990"]]}}}],"schema":"https://github.com/citation-style-language/schema/raw/master/csl-citation.json"} </w:instrText>
      </w:r>
      <w:r w:rsidRPr="00CE587A">
        <w:fldChar w:fldCharType="separate"/>
      </w:r>
      <w:r w:rsidR="005E207B">
        <w:rPr>
          <w:noProof/>
        </w:rPr>
        <w:t>(Doyle and Doyle 1990)</w:t>
      </w:r>
      <w:r w:rsidRPr="00CE587A">
        <w:fldChar w:fldCharType="end"/>
      </w:r>
      <w:r w:rsidRPr="00CE587A">
        <w:t xml:space="preserve"> with modifications. Freeze dried or frozen fresh tissue was ground to a fine powder and extracted in 2% (</w:t>
      </w:r>
      <w:r w:rsidRPr="00CE587A">
        <w:rPr>
          <w:i/>
          <w:iCs/>
        </w:rPr>
        <w:t>m/v</w:t>
      </w:r>
      <w:r w:rsidRPr="00CE587A">
        <w:t>) CTAB buffer containing 100 mM Tris (pH 7.5), 1.4 M NaCl, 20 mM EDTA, 1% (</w:t>
      </w:r>
      <w:r w:rsidRPr="00CE587A">
        <w:rPr>
          <w:i/>
          <w:iCs/>
        </w:rPr>
        <w:t>m/v</w:t>
      </w:r>
      <w:r w:rsidRPr="00CE587A">
        <w:t>) PVP-40, and 0.2% (</w:t>
      </w:r>
      <w:r w:rsidRPr="00CE587A">
        <w:rPr>
          <w:i/>
          <w:iCs/>
        </w:rPr>
        <w:t>v/v</w:t>
      </w:r>
      <w:r w:rsidRPr="00CE587A">
        <w:t>) β-mercaptoethanol. The extract was purified with an equal volume of 24 to 1 (</w:t>
      </w:r>
      <w:r w:rsidRPr="00CE587A">
        <w:rPr>
          <w:i/>
          <w:iCs/>
        </w:rPr>
        <w:t>v/v</w:t>
      </w:r>
      <w:r w:rsidRPr="00CE587A">
        <w:t xml:space="preserve">) chloroform to isoamyl alcohol and centrifuged. The top fraction was collected and precipitated with 1 volume of ice-cold isopropyl alcohol and precipitated overnight. The resulting pellet was centrifuged and washed with consecutive washes of cold 70% ethanol and 95% ethanol before being resuspended and diluted in 10 mM Tris (pH 8.0). Quality and quantity of DNA was assessed for PCR suitability using a NanoDrop 2000 (Thermo Fisher Scientific, LLC). Tissue for RNA extraction was flash-frozen in liquid nitrogen during collection, freeze dried, ground into a fine powder, and stored at -20 ˚C before extraction. RNA extraction was performed using the RNeasy Plant Mini Kit (QIAGEN) with manufacturer’s instructions. DNA was depleted during RNA extraction on the column using DNase (QIAGEN). RNA quality was assessed using a NanoDrop 2000 (Thermo Fisher Scientific, LLC) and a bleach gel </w:t>
      </w:r>
      <w:r w:rsidRPr="00CE587A">
        <w:fldChar w:fldCharType="begin"/>
      </w:r>
      <w:r w:rsidR="005E207B">
        <w:instrText xml:space="preserve"> ADDIN ZOTERO_ITEM CSL_CITATION {"citationID":"npsGlL0v","properties":{"formattedCitation":"(Aranda et al. 2012)","plainCitation":"(Aranda et al. 2012)","noteIndex":0},"citationItems":[{"id":3167,"uris":["http://zotero.org/users/3317696/items/KNB2WIHE"],"itemData":{"id":3167,"type":"article-journal","abstract":"RNA-based applications requiring high quality, non-degraded RNA are a foundational element of many research studies. As such, it is paramount that the integrity of experimental RNA is validated prior to cDNA synthesis or other downstream applications. In the absence of expensive equipment such as microfluidic electrophoretic devices, and as an alternative to the costly and time-consuming standard formaldehyde gel, RNA quality can be quickly analyzed by adding small amounts of commercial bleach to TAE buffer-based agarose gels prior to electrophoresis. In the presence of low concentrations of bleach, the secondary structure of RNA is denatured and potential contaminating RNases are destroyed. Because of this, the ‘bleach gel’ is a functional approach that addresses the need for an inexpensive and safe way to evaluate RNA integrity and will improve the ability of researchers to rapidly analyze RNA quality.","container-title":"Electrophoresis","DOI":"10.1002/elps.201100335","ISSN":"0173-0835","issue":"2","journalAbbreviation":"Electrophoresis","note":"PMID: 22222980\nPMCID: PMC3699176","page":"366-369","source":"PubMed Central","title":"Bleach Gel: A Simple Agarose Gel for Analyzing RNA Quality","title-short":"Bleach Gel","volume":"33","author":[{"family":"Aranda","given":"Patrick S."},{"family":"LaJoie","given":"Dollie M."},{"family":"Jorcyk","given":"Cheryl L."}],"issued":{"date-parts":[["2012",1]]}}}],"schema":"https://github.com/citation-style-language/schema/raw/master/csl-citation.json"} </w:instrText>
      </w:r>
      <w:r w:rsidRPr="00CE587A">
        <w:fldChar w:fldCharType="separate"/>
      </w:r>
      <w:r w:rsidR="005E207B">
        <w:t>(Aranda et al. 2012)</w:t>
      </w:r>
      <w:r w:rsidRPr="00CE587A">
        <w:fldChar w:fldCharType="end"/>
      </w:r>
      <w:r w:rsidRPr="00CE587A">
        <w:t>.</w:t>
      </w:r>
    </w:p>
    <w:p w14:paraId="2B41667A" w14:textId="51BE1D86" w:rsidR="00FE176D" w:rsidRPr="008160DD" w:rsidRDefault="00FE176D" w:rsidP="00FE176D">
      <w:pPr>
        <w:pStyle w:val="Heading3"/>
        <w:rPr>
          <w:b/>
          <w:bCs/>
          <w:i w:val="0"/>
          <w:iCs w:val="0"/>
        </w:rPr>
      </w:pPr>
      <w:r w:rsidRPr="008160DD">
        <w:rPr>
          <w:b/>
          <w:bCs/>
          <w:i w:val="0"/>
          <w:iCs w:val="0"/>
        </w:rPr>
        <w:t>Inverse PCR of transposon-flanking sites</w:t>
      </w:r>
    </w:p>
    <w:p w14:paraId="07052BBE" w14:textId="7075141E" w:rsidR="00FE176D" w:rsidRPr="00CE587A" w:rsidRDefault="00FE176D" w:rsidP="00FE176D">
      <w:r w:rsidRPr="00CE587A">
        <w:t xml:space="preserve">The general protocol for inverse PCR of </w:t>
      </w:r>
      <w:r w:rsidRPr="00CE587A">
        <w:rPr>
          <w:i/>
          <w:iCs/>
        </w:rPr>
        <w:t>de novo</w:t>
      </w:r>
      <w:r w:rsidRPr="00CE587A">
        <w:t xml:space="preserve"> </w:t>
      </w:r>
      <w:r w:rsidRPr="00CE587A">
        <w:rPr>
          <w:i/>
          <w:iCs/>
        </w:rPr>
        <w:t>Ds</w:t>
      </w:r>
      <w:r w:rsidRPr="00CE587A">
        <w:t xml:space="preserve"> transposon insertion events was previously described </w:t>
      </w:r>
      <w:r w:rsidRPr="00CE587A">
        <w:fldChar w:fldCharType="begin"/>
      </w:r>
      <w:r w:rsidR="005E207B">
        <w:instrText xml:space="preserve"> ADDIN ZOTERO_ITEM CSL_CITATION {"citationID":"iAFCIZ4q","properties":{"formattedCitation":"(Ahern et al. 2009)","plainCitation":"(Ahern et al. 2009)","noteIndex":0},"citationItems":[{"id":1015,"uris":["http://zotero.org/users/3317696/items/258GTPAN"],"itemData":{"id":1015,"type":"article-journal","abstract":"We describe genetic screens, molecular methods and web resources newly available to utilize Dissociation (Ds) as an insertional mutagen in maize. Over 1700 Ds elements have been distributed throughout the maize genome to serve as donor elements for local or regional mutagenesis. Two genetic screens are described to identify Ds insertions in genes-of-interest (goi). In scheme I, Ds is used to generate insertion alleles when a recessive reference allele is available. A Ds insertion will enable the cloning of the target gene and can be used to create an allelic series. In scheme II, Ds insertions in a goi are identified using a PCR-based screen to identify the rare insertion alleles among a population of testcross progeny. We detail an inverse PCR protocol to rapidly amplify sequences flanking Ds insertion alleles and describe a high-throughput 96-well plate-based DNA extraction method for the recovery of high-quality genomic DNA from seedling tissues. We also describe several web-based tools for browsing, searching and accessing the genetic materials described. The development of these Ds insertion lines promises to greatly accelerate functional genomics studies in maize.","collection-title":"Transposon Technology","container-title":"Methods","DOI":"10.1016/j.ymeth.2009.04.009","ISSN":"1046-2023","issue":"3","journalAbbreviation":"Methods","page":"248-254","source":"ScienceDirect","title":"Regional mutagenesis using Dissociation in maize","volume":"49","author":[{"family":"Ahern","given":"Kevin R."},{"family":"Deewatthanawong","given":"Prasit"},{"family":"Schares","given":"Justin"},{"family":"Muszynski","given":"Michael"},{"family":"Weeks","given":"Rebecca"},{"family":"Vollbrecht","given":"Erik"},{"family":"Duvick","given":"Jon"},{"family":"Brendel","given":"Volker P."},{"family":"Brutnell","given":"Thomas P."}],"issued":{"date-parts":[["2009",11,1]]}}}],"schema":"https://github.com/citation-style-language/schema/raw/master/csl-citation.json"} </w:instrText>
      </w:r>
      <w:r w:rsidRPr="00CE587A">
        <w:fldChar w:fldCharType="separate"/>
      </w:r>
      <w:r w:rsidR="005E207B">
        <w:t>(Ahern et al. 2009)</w:t>
      </w:r>
      <w:r w:rsidRPr="00CE587A">
        <w:fldChar w:fldCharType="end"/>
      </w:r>
      <w:r w:rsidRPr="00CE587A">
        <w:t xml:space="preserve">. Here, three µg DNA from three separate leaf tissues was digested with </w:t>
      </w:r>
      <w:r w:rsidRPr="00CE587A">
        <w:rPr>
          <w:i/>
          <w:iCs/>
        </w:rPr>
        <w:t>Pst</w:t>
      </w:r>
      <w:r w:rsidRPr="00CE587A">
        <w:t>I-Hi-Fi (New England Biolabs) using the manufacturer’s instructions, purified using the E.Z.N.A. DNA purification kit (Omega Bio-tek), and eluted in 50 µL 10 mM Tris (pH 8.0). Pure digested DNA was circularized with 1 U µL</w:t>
      </w:r>
      <w:r w:rsidRPr="00CE587A">
        <w:rPr>
          <w:vertAlign w:val="superscript"/>
        </w:rPr>
        <w:t>-1</w:t>
      </w:r>
      <w:r w:rsidRPr="00CE587A">
        <w:t xml:space="preserve"> T4 DNA Ligase (New England Biolabs, Ipswich, MA, USA) in a reaction volume of 100 µL for 16 hours at 16 ˚C and purified as described above. </w:t>
      </w:r>
      <w:r>
        <w:t>C</w:t>
      </w:r>
      <w:r w:rsidRPr="00CE587A">
        <w:t>ircularized DNA</w:t>
      </w:r>
      <w:r>
        <w:t xml:space="preserve"> (1 µL)</w:t>
      </w:r>
      <w:r w:rsidRPr="00CE587A">
        <w:t xml:space="preserve"> and primers LC18 and LC24 (</w:t>
      </w:r>
      <w:r w:rsidR="008160DD">
        <w:t>Table S</w:t>
      </w:r>
      <w:r w:rsidR="00286840">
        <w:t>1</w:t>
      </w:r>
      <w:r w:rsidRPr="00CE587A">
        <w:t xml:space="preserve">) were used in the first round of PCR using the Platinum SuperFi DNA Polymerase (Invitrogen) kit. The thermocycler conditions were as follows: denature at 98 °C for 1 min followed by 35 cycles of 98 °C for 10 s, 62 °C for 15 s, and 72 °C for 1 min 30 s. The reaction ended with a 5 min extension at 72 °C. The second round of nested PCR (for stringent </w:t>
      </w:r>
      <w:r w:rsidRPr="00CE587A">
        <w:rPr>
          <w:i/>
          <w:iCs/>
        </w:rPr>
        <w:t xml:space="preserve">Ds </w:t>
      </w:r>
      <w:r w:rsidRPr="00CE587A">
        <w:t>selectivity) used 1 µL of the previous reaction diluted 1:500 in water and primers LC45 and JGp2 (</w:t>
      </w:r>
      <w:r w:rsidR="008160DD">
        <w:t>Table S</w:t>
      </w:r>
      <w:r w:rsidR="00286840">
        <w:t>1</w:t>
      </w:r>
      <w:r w:rsidRPr="00CE587A">
        <w:t xml:space="preserve">). The thermocycler conditions of the second round were similar except the annealing temperature was </w:t>
      </w:r>
      <w:r w:rsidRPr="00CE587A">
        <w:lastRenderedPageBreak/>
        <w:t>66 ˚C and cycle extension lasted 1 min 15 s. The final reaction was purified using the GeneJET PCR Purification Kit (Thermo Fisher Scientific, LLC). The resulting transposon-flanking sites were cloned into DH5-</w:t>
      </w:r>
      <w:r w:rsidRPr="00CE587A">
        <w:rPr>
          <w:lang w:val="el-GR"/>
        </w:rPr>
        <w:t>α</w:t>
      </w:r>
      <w:r w:rsidRPr="00CE587A">
        <w:t xml:space="preserve"> competent cells using the PCR Cloning Kit (New England Biolabs) according to the manufacturer’s instructions. Resulting colonies were cultivated in 5 mL LB with ampicillin (100 µg/ml final concentration), pelleted, and extracted using the GeneJET Plasmid Miniprep kit (Thermo Fisher Scientific, LLC) using manufacturer’s instructions. The resulting plasmids were sequenced at the DNA Services laboratory of the Roy J. Carver Biotechnology Center at the University of Illinois at Urbana-Champaign using the LC45 primer (</w:t>
      </w:r>
      <w:r w:rsidR="008160DD">
        <w:t>Table S</w:t>
      </w:r>
      <w:r w:rsidR="00286840">
        <w:t>1</w:t>
      </w:r>
      <w:r w:rsidRPr="00CE587A">
        <w:t>).</w:t>
      </w:r>
    </w:p>
    <w:p w14:paraId="621BB896" w14:textId="5209BB66" w:rsidR="00FE176D" w:rsidRPr="008160DD" w:rsidRDefault="00FE176D" w:rsidP="00FE176D">
      <w:pPr>
        <w:pStyle w:val="Heading3"/>
        <w:rPr>
          <w:b/>
          <w:bCs/>
          <w:i w:val="0"/>
          <w:iCs w:val="0"/>
        </w:rPr>
      </w:pPr>
      <w:r w:rsidRPr="008160DD">
        <w:rPr>
          <w:b/>
          <w:bCs/>
          <w:i w:val="0"/>
          <w:iCs w:val="0"/>
        </w:rPr>
        <w:t>RNA-seq library preparation</w:t>
      </w:r>
    </w:p>
    <w:p w14:paraId="5C853C37" w14:textId="51480E5F" w:rsidR="00FE176D" w:rsidRPr="00CE587A" w:rsidRDefault="002E372C" w:rsidP="00FE176D">
      <w:pPr>
        <w:widowControl w:val="0"/>
        <w:autoSpaceDE w:val="0"/>
        <w:autoSpaceDN w:val="0"/>
        <w:adjustRightInd w:val="0"/>
      </w:pPr>
      <w:r w:rsidRPr="00CE587A">
        <w:t xml:space="preserve">Sampling for bulk segregant RNA-seq analysis followed a similar procedure as previously described </w:t>
      </w:r>
      <w:r w:rsidRPr="00CE587A">
        <w:fldChar w:fldCharType="begin"/>
      </w:r>
      <w:r w:rsidR="005E207B">
        <w:instrText xml:space="preserve"> ADDIN ZOTERO_ITEM CSL_CITATION {"citationID":"AJMt45hQ","properties":{"formattedCitation":"(Chayut et al. 2015)","plainCitation":"(Chayut et al. 2015)","noteIndex":0},"citationItems":[{"id":1799,"uris":["http://zotero.org/users/3317696/items/CU8D3DG6"],"itemData":{"id":1799,"type":"article-journal","abstract":"Melon fruit flesh color is primarily controlled by the “golden” single nucleotide polymorhism of the “Orange” gene, CmOr, which dominantly triggers the accumulation of the pro-vitamin A molecule, β-carotene, in the fruit mesocarp. The mechanism by which CmOr operates is not fully understood. To identify cellular and metabolic processes associated with CmOr allelic variation, we compared the transcriptome of bulks of developing fruit of homozygous orange and green fruited F3 families derived from a cross between orange and green fruited parental lines.","container-title":"BMC Plant Biology","DOI":"10.1186/s12870-015-0661-8","ISSN":"1471-2229","issue":"1","journalAbbreviation":"BMC Plant Biol","page":"274","source":"BioMed Central","title":"A bulk segregant transcriptome analysis reveals metabolic and cellular processes associated with Orange allelic variation and fruit β-carotene accumulation in melon fruit","volume":"15","author":[{"family":"Chayut","given":"Noam"},{"family":"Yuan","given":"Hui"},{"family":"Ohali","given":"Shachar"},{"family":"Meir","given":"Ayala"},{"family":"Yeselson","given":"Yelena"},{"family":"Portnoy","given":"Vitaly"},{"family":"Zheng","given":"Yi"},{"family":"Fei","given":"Zhangjun"},{"family":"Lewinsohn","given":"Efraim"},{"family":"Katzir","given":"Nurit"},{"family":"Schaffer","given":"Arthur A."},{"family":"Gepstein","given":"Shimon"},{"family":"Burger","given":"Joseph"},{"family":"Li","given":"Li"},{"family":"Tadmor","given":"Yaakov"}],"issued":{"date-parts":[["2015",11,9]]}}}],"schema":"https://github.com/citation-style-language/schema/raw/master/csl-citation.json"} </w:instrText>
      </w:r>
      <w:r w:rsidRPr="00CE587A">
        <w:fldChar w:fldCharType="separate"/>
      </w:r>
      <w:r w:rsidR="005E207B">
        <w:t>(Chayut et al. 2015)</w:t>
      </w:r>
      <w:r w:rsidRPr="00CE587A">
        <w:fldChar w:fldCharType="end"/>
      </w:r>
      <w:r w:rsidRPr="00CE587A">
        <w:t>. In each F</w:t>
      </w:r>
      <w:r w:rsidRPr="00CE587A">
        <w:rPr>
          <w:vertAlign w:val="subscript"/>
        </w:rPr>
        <w:t>2:3</w:t>
      </w:r>
      <w:r w:rsidRPr="00CE587A">
        <w:t xml:space="preserve"> family chosen from the B73 × 320N population, three individual plants were designated as biological replicates in either </w:t>
      </w:r>
      <w:r>
        <w:t>recessive</w:t>
      </w:r>
      <w:r w:rsidRPr="00CE587A">
        <w:t xml:space="preserve"> (purple)</w:t>
      </w:r>
      <w:r>
        <w:t xml:space="preserve"> and dominant</w:t>
      </w:r>
      <w:r w:rsidRPr="00CE587A">
        <w:t xml:space="preserve"> (green) </w:t>
      </w:r>
      <w:r w:rsidRPr="00D36A15">
        <w:rPr>
          <w:i/>
          <w:iCs/>
        </w:rPr>
        <w:t>A3</w:t>
      </w:r>
      <w:r>
        <w:t xml:space="preserve"> </w:t>
      </w:r>
      <w:r w:rsidRPr="00CE587A">
        <w:t>pools</w:t>
      </w:r>
      <w:r>
        <w:t xml:space="preserve"> </w:t>
      </w:r>
      <w:r w:rsidRPr="00CE587A">
        <w:t xml:space="preserve">and genotyped with </w:t>
      </w:r>
      <w:r w:rsidRPr="00CE587A">
        <w:rPr>
          <w:i/>
          <w:iCs/>
        </w:rPr>
        <w:t>umc2008</w:t>
      </w:r>
      <w:r w:rsidRPr="00CE587A">
        <w:t xml:space="preserve"> to validate the phenotypes observed</w:t>
      </w:r>
      <w:r>
        <w:t xml:space="preserve">. Some families were segregating for the </w:t>
      </w:r>
      <w:r w:rsidRPr="000953BD">
        <w:rPr>
          <w:i/>
          <w:iCs/>
        </w:rPr>
        <w:t>a3</w:t>
      </w:r>
      <w:r>
        <w:t xml:space="preserve"> phenotype and had representation from both </w:t>
      </w:r>
      <w:r w:rsidR="00286840">
        <w:t>recessive</w:t>
      </w:r>
      <w:r>
        <w:t xml:space="preserve"> and </w:t>
      </w:r>
      <w:r w:rsidR="00286840">
        <w:t xml:space="preserve">dominant </w:t>
      </w:r>
      <w:r w:rsidR="00286840" w:rsidRPr="00286840">
        <w:rPr>
          <w:i/>
          <w:iCs/>
        </w:rPr>
        <w:t>A3</w:t>
      </w:r>
      <w:r>
        <w:t xml:space="preserve"> pools. Plants with the pale purple </w:t>
      </w:r>
      <w:r w:rsidRPr="0092759F">
        <w:rPr>
          <w:i/>
          <w:iCs/>
        </w:rPr>
        <w:t>B1-b</w:t>
      </w:r>
      <w:r>
        <w:t xml:space="preserve"> phenotype were chosen for sampling because the lack of dominant </w:t>
      </w:r>
      <w:r w:rsidRPr="00FC333F">
        <w:rPr>
          <w:i/>
          <w:iCs/>
        </w:rPr>
        <w:t>B1</w:t>
      </w:r>
      <w:r>
        <w:t xml:space="preserve"> or </w:t>
      </w:r>
      <w:r w:rsidRPr="00FC333F">
        <w:rPr>
          <w:i/>
          <w:iCs/>
        </w:rPr>
        <w:t>Pl1</w:t>
      </w:r>
      <w:r>
        <w:t xml:space="preserve"> alleles would result in a normal green plant regardless of the </w:t>
      </w:r>
      <w:r w:rsidRPr="00FC333F">
        <w:rPr>
          <w:i/>
          <w:iCs/>
        </w:rPr>
        <w:t>A3</w:t>
      </w:r>
      <w:r>
        <w:t xml:space="preserve"> allele present.</w:t>
      </w:r>
      <w:r w:rsidRPr="00CE587A">
        <w:t xml:space="preserve"> </w:t>
      </w:r>
      <w:r>
        <w:t>M</w:t>
      </w:r>
      <w:r w:rsidRPr="00CE587A">
        <w:t xml:space="preserve">ature husk tissue (greater than 20 </w:t>
      </w:r>
      <w:r>
        <w:t>DAP</w:t>
      </w:r>
      <w:r w:rsidRPr="00CE587A">
        <w:t>)</w:t>
      </w:r>
      <w:r>
        <w:t xml:space="preserve"> was flash frozen and pooled with their respective b</w:t>
      </w:r>
      <w:r w:rsidRPr="00CE587A">
        <w:t>iological replicate</w:t>
      </w:r>
      <w:r>
        <w:t xml:space="preserve">s. </w:t>
      </w:r>
      <w:r w:rsidRPr="00CE587A">
        <w:t xml:space="preserve">In total there were 6 samples: 3 biological replicates of 31 </w:t>
      </w:r>
      <w:r w:rsidR="00286840">
        <w:t xml:space="preserve">dominant </w:t>
      </w:r>
      <w:r w:rsidR="00286840" w:rsidRPr="00286840">
        <w:rPr>
          <w:i/>
          <w:iCs/>
        </w:rPr>
        <w:t>A3</w:t>
      </w:r>
      <w:r w:rsidRPr="00CE587A">
        <w:t xml:space="preserve"> families and 3 biological replicates of 31 </w:t>
      </w:r>
      <w:r w:rsidR="00286840">
        <w:t xml:space="preserve">recessive </w:t>
      </w:r>
      <w:r w:rsidR="00286840" w:rsidRPr="00286840">
        <w:rPr>
          <w:i/>
          <w:iCs/>
        </w:rPr>
        <w:t>A3</w:t>
      </w:r>
      <w:r w:rsidRPr="00CE587A">
        <w:t xml:space="preserve"> families. </w:t>
      </w:r>
      <w:r w:rsidR="00FE176D" w:rsidRPr="00CE587A">
        <w:t xml:space="preserve">RNA was extracted </w:t>
      </w:r>
      <w:r w:rsidRPr="00CE587A">
        <w:t xml:space="preserve">using the RNA extraction protocol above </w:t>
      </w:r>
      <w:r w:rsidR="00FE176D" w:rsidRPr="00CE587A">
        <w:t>from three technical replicates of each biological replicate to alleviate tissue heterogeneity. Pure RNA was pooled in equal proportions according to Nanodrop 2000 concentrations. High-quality RNA from each biological replicate was submitted to the DNA Services laboratory of the Roy J. Carver Biotechnology Center at the University of Illinois at Urbana-Champaign and quantified by Qubit (Life Technologies).</w:t>
      </w:r>
      <w:r w:rsidR="00FE176D" w:rsidRPr="00CE587A">
        <w:rPr>
          <w:rFonts w:eastAsia="Times New Roman"/>
        </w:rPr>
        <w:t xml:space="preserve"> Using the TruSeq Stranded RNA Sample Preparation Kit (Illumina San Diego, CA)</w:t>
      </w:r>
      <w:r w:rsidR="00FE176D" w:rsidRPr="00CE587A">
        <w:t xml:space="preserve">, </w:t>
      </w:r>
      <w:r w:rsidR="00FE176D" w:rsidRPr="00CE587A">
        <w:rPr>
          <w:color w:val="000000"/>
        </w:rPr>
        <w:t>PolyA+ RNA was selected from 1 µg of total RNA per sample. PolyA+ RNA was fragmented for 4 min at 94˚ C, then</w:t>
      </w:r>
      <w:r w:rsidR="00FE176D" w:rsidRPr="00CE587A">
        <w:rPr>
          <w:rFonts w:eastAsia="Times New Roman"/>
        </w:rPr>
        <w:t xml:space="preserve"> </w:t>
      </w:r>
      <w:r w:rsidR="00FE176D" w:rsidRPr="00CE587A">
        <w:rPr>
          <w:color w:val="000000"/>
        </w:rPr>
        <w:t>first-strand cDNA was synthesized with a random hexamer and SuperScript II (Life Technologies). Double-stranded DNA was b</w:t>
      </w:r>
      <w:r w:rsidR="00FE176D" w:rsidRPr="00CE587A">
        <w:t xml:space="preserve">lunt-ended, 3'-end A-tailed and ligated to unique dual-indexed adaptors. The adaptor-ligated double-stranded cDNA was amplified by PCR for 10 cycles with the Kapa HiFi polymerase (Kapa Biosystems). The final libraries were quantified on Qubit and the average size determined on the AATI Fragment Analyzer (Advanced Analytics) and diluted to 5 nM final concentration. The 5 nM dilution was further quantitated by qPCR on a BioRad CFX Connect Real-Time System (Bio-Rad Laboratories, Inc.). </w:t>
      </w:r>
      <w:r w:rsidR="00FE176D" w:rsidRPr="00CE587A">
        <w:rPr>
          <w:rFonts w:eastAsia="Times New Roman"/>
          <w:color w:val="000000"/>
          <w:shd w:val="clear" w:color="auto" w:fill="FFFFFF"/>
        </w:rPr>
        <w:t>The final stranded RNA</w:t>
      </w:r>
      <w:r w:rsidR="00FE176D">
        <w:rPr>
          <w:rFonts w:eastAsia="Times New Roman"/>
          <w:color w:val="000000"/>
          <w:shd w:val="clear" w:color="auto" w:fill="FFFFFF"/>
        </w:rPr>
        <w:t>-</w:t>
      </w:r>
      <w:r w:rsidR="00FE176D" w:rsidRPr="00CE587A">
        <w:rPr>
          <w:rFonts w:eastAsia="Times New Roman"/>
          <w:color w:val="000000"/>
          <w:shd w:val="clear" w:color="auto" w:fill="FFFFFF"/>
        </w:rPr>
        <w:t xml:space="preserve">Seq library pool consisting of 6 libraries was sequenced on one lane of an Illumina NovaSeq 6000 SP flowcell as paired-reads with 150 nt length. </w:t>
      </w:r>
      <w:r w:rsidR="00FE176D" w:rsidRPr="00CE587A">
        <w:t xml:space="preserve">Raw data was adaptor-trimmed and demultiplexed using bcl2fastq v2.20 Conversion Software (Illumina). Raw data has been deposited into the Short Read Archive (SRA) database under the project identity PRJNA764765. </w:t>
      </w:r>
    </w:p>
    <w:p w14:paraId="00A71699" w14:textId="7C5B0385" w:rsidR="00FE176D" w:rsidRPr="008160DD" w:rsidRDefault="00FE176D" w:rsidP="00FE176D">
      <w:pPr>
        <w:pStyle w:val="Heading3"/>
        <w:rPr>
          <w:b/>
          <w:bCs/>
          <w:i w:val="0"/>
          <w:iCs w:val="0"/>
        </w:rPr>
      </w:pPr>
      <w:r w:rsidRPr="008160DD">
        <w:rPr>
          <w:b/>
          <w:bCs/>
          <w:i w:val="0"/>
          <w:iCs w:val="0"/>
        </w:rPr>
        <w:t>GST-Pulldown assay</w:t>
      </w:r>
    </w:p>
    <w:p w14:paraId="251AADAC" w14:textId="7FCFA909" w:rsidR="00FE176D" w:rsidRPr="00CE587A" w:rsidRDefault="00FE176D" w:rsidP="00FE176D">
      <w:r w:rsidRPr="00CE587A">
        <w:t>Cultures inoculated from glycerol stocks were cultivated overnight in LB media supplemented with 1 mM MgSO</w:t>
      </w:r>
      <w:r w:rsidRPr="00CE587A">
        <w:rPr>
          <w:vertAlign w:val="subscript"/>
        </w:rPr>
        <w:t>4</w:t>
      </w:r>
      <w:r w:rsidRPr="00CE587A">
        <w:t xml:space="preserve"> </w:t>
      </w:r>
      <w:r w:rsidRPr="00CE587A">
        <w:fldChar w:fldCharType="begin"/>
      </w:r>
      <w:r w:rsidR="005E207B">
        <w:instrText xml:space="preserve"> ADDIN ZOTERO_ITEM CSL_CITATION {"citationID":"9Q7J5sZU","properties":{"formattedCitation":"(Christensen et al. 2017)","plainCitation":"(Christensen et al. 2017)","noteIndex":0},"citationItems":[{"id":2352,"uris":["http://zotero.org/users/3317696/items/FK8AFYUC"],"itemData":{"id":2352,"type":"article-journal","abstract":"Complex media are routinely used to cultivate diverse bacteria. However, this complexity can obscure the factors that govern cell growth. While studying protein acetylation in buffered tryptone broth supplemented with glucose (TB7-glucose), we observed that Escherichia coli did not fully consume glucose prior to stationary phase. However, when we supplemented this medium with magnesium, the glucose was completely consumed during exponential growth, with concomitant increases in cell number and biomass but reduced cell size. Similar results were observed with other sugars and other peptide-based media, including lysogeny broth. Magnesium also limited cell growth for Vibrio fischeri and Bacillus subtilis in TB7-glucose. Finally, magnesium supplementation reduced protein acetylation. Based on these results, we conclude that growth in peptide-based media is magnesium limited. We further conclude that magnesium supplementation can be used to tune protein acetylation without genetic manipulation. These results have the potential to reduce potentially deleterious acetylated isoforms of recombinant proteins without negatively affecting cell growth.\nIMPORTANCE Bacteria are often grown in complex media. These media are thought to provide the nutrients necessary to grow bacteria to high cell densities. In this work, we found that peptide-based media containing a sugar are magnesium limited for bacterial growth. In particular, magnesium supplementation is necessary for the bacteria to use the sugar for cell growth. Interestingly, in the absence of magnesium supplementation, the bacteria still consume the sugar. However, rather than use it for cell growth, the bacteria instead use the sugar to acetylate lysines on proteins. As lysine acetylation may alter the activity of proteins, this work demonstrates how lysine acetylation can be tuned through magnesium supplementation. These findings may be useful for recombinant protein production, when acetylated isoforms are to be avoided. They also demonstrate how to increase bacterial growth in complex media.","container-title":"Applied and Environmental Microbiology","DOI":"10.1128/AEM.03034-16","ISSN":"0099-2240, 1098-5336","issue":"6","journalAbbreviation":"Appl. Environ. Microbiol.","language":"en","note":"publisher: American Society for Microbiology\nsection: Physiology\nPMID: 28062462","source":"aem.asm.org","title":"Increasing Growth Yield and Decreasing Acetylation in Escherichia coli by Optimizing the Carbon-to-Magnesium Ratio in Peptide-Based Media","URL":"https://aem.asm.org/content/83/6/e03034-16","volume":"83","author":[{"family":"Christensen","given":"David G."},{"family":"Orr","given":"James S."},{"family":"Rao","given":"Christopher V."},{"family":"Wolfe","given":"Alan J."}],"accessed":{"date-parts":[["2020",6,1]]},"issued":{"date-parts":[["2017",3,15]]}}}],"schema":"https://github.com/citation-style-language/schema/raw/master/csl-citation.json"} </w:instrText>
      </w:r>
      <w:r w:rsidRPr="00CE587A">
        <w:fldChar w:fldCharType="separate"/>
      </w:r>
      <w:r w:rsidR="005E207B">
        <w:t>(Christensen et al. 2017)</w:t>
      </w:r>
      <w:r w:rsidRPr="00CE587A">
        <w:fldChar w:fldCharType="end"/>
      </w:r>
      <w:r w:rsidRPr="00CE587A">
        <w:t xml:space="preserve"> and the appropriate antibiotic. The next day, one mL from GST-tagged strains was used to inoculate 50 mL of fresh media. For </w:t>
      </w:r>
      <w:r w:rsidR="002E372C">
        <w:rPr>
          <w:i/>
          <w:iCs/>
        </w:rPr>
        <w:t>Mybr97</w:t>
      </w:r>
      <w:r w:rsidRPr="00CE587A">
        <w:t xml:space="preserve">, two mL of culture was used to inoculate 100 mL fresh media. Cultures were grown to an OD600 of 0.6 to 0.8 before induction. Cultures containing </w:t>
      </w:r>
      <w:r w:rsidR="002E372C">
        <w:rPr>
          <w:i/>
          <w:iCs/>
        </w:rPr>
        <w:t>Mybr97</w:t>
      </w:r>
      <w:r w:rsidR="002E372C" w:rsidRPr="00CE587A">
        <w:t xml:space="preserve"> </w:t>
      </w:r>
      <w:r w:rsidRPr="00CE587A">
        <w:t xml:space="preserve">and GST alone were induced with 0.5 mM IPTG for 3 hours at 37 ˚C. Cultures containing </w:t>
      </w:r>
      <w:r w:rsidRPr="00CE587A">
        <w:rPr>
          <w:i/>
          <w:iCs/>
        </w:rPr>
        <w:t>B1</w:t>
      </w:r>
      <w:r w:rsidRPr="00CE587A">
        <w:t xml:space="preserve"> and </w:t>
      </w:r>
      <w:r w:rsidRPr="00CE587A">
        <w:rPr>
          <w:i/>
          <w:iCs/>
        </w:rPr>
        <w:t>B1-MIR</w:t>
      </w:r>
      <w:r w:rsidRPr="00CE587A">
        <w:t xml:space="preserve"> were put on ice for 5 min before being induced with 0.1 mM IPTG overnight at 18 ˚C. Bacteria were pelleted by centrifugation and the media was decanted. Pellets were resuspended with 50 mM Tris (pH 8) + 150 mM NaCl + 1 mM EDTA + 0.1% (</w:t>
      </w:r>
      <w:r w:rsidRPr="00CE587A">
        <w:rPr>
          <w:i/>
          <w:iCs/>
        </w:rPr>
        <w:t>v/v</w:t>
      </w:r>
      <w:r w:rsidRPr="00CE587A">
        <w:t xml:space="preserve">) Triton-X100 + 10% glycerol (Buffer A) in one-tenth the volume of the original media. Whole cell cultures were sonicated with a Virtis Virsonic 475 20 kHz Sonicator probe (SP Industries) set to 50% power with five 10 s bursts with 20 s rest in between. For 6x-His tag purification, one mL of His-Pur Ni-NTA resin (ThermoFisher Scientific, LLC) was equilibrated with 10 resin-bed volumes (RV) of water and 20 RV Buffer A + 10 mM imidazole (Buffer B). Clarified </w:t>
      </w:r>
      <w:r w:rsidR="002E372C" w:rsidRPr="002E372C">
        <w:t>Mybr97</w:t>
      </w:r>
      <w:r w:rsidR="002E372C" w:rsidRPr="00CE587A">
        <w:t xml:space="preserve"> </w:t>
      </w:r>
      <w:r w:rsidRPr="00CE587A">
        <w:t xml:space="preserve">lysate was filtered through a 0.45 µm PES syringe filter (MilliporeSigma) and loaded onto the </w:t>
      </w:r>
      <w:r w:rsidR="00BC0867" w:rsidRPr="00CE587A">
        <w:t>Ni-NTA resin</w:t>
      </w:r>
      <w:r w:rsidRPr="00CE587A">
        <w:t>. Extract was incubated for 1 hr at 4</w:t>
      </w:r>
      <w:r>
        <w:t xml:space="preserve"> </w:t>
      </w:r>
      <w:r w:rsidRPr="00CE587A">
        <w:t xml:space="preserve">˚C with constant mixing. Captured protein was washed with 30 RV of Buffer B before being eluted with Buffer A + 500 mM imidazole. Pure protein was desalted using a PD G-25 MidiTrap desalting column (Cytiva) according to manufacturer’s instruction with 50 mM Tris (pH 8.0) + 150 mM NaCl + 10% glycerol as the equilibration buffer. GST was purified using 50 µL resin (GenScript). Resin was equilibrated using three 1 mL washes of Buffer A with centrifugation at 5000 </w:t>
      </w:r>
      <w:r w:rsidRPr="00CE587A">
        <w:rPr>
          <w:i/>
          <w:iCs/>
        </w:rPr>
        <w:t>x g</w:t>
      </w:r>
      <w:r w:rsidRPr="00CE587A">
        <w:t xml:space="preserve"> between washes. Clarified lysate (500 µL) was equilibrated with the resin with constant mixing for 1 hour at 4 ˚C. Resin was washed three more times with Buffer A before being incubated with 100 µL </w:t>
      </w:r>
      <w:r w:rsidR="002E372C" w:rsidRPr="002E372C">
        <w:t>Mybr97</w:t>
      </w:r>
      <w:r w:rsidR="002E372C" w:rsidRPr="00CE587A">
        <w:t xml:space="preserve"> </w:t>
      </w:r>
      <w:r w:rsidRPr="00CE587A">
        <w:t xml:space="preserve">(approximately 200 µg) + 400 µL Buffer A for 1 hr at 4 ˚C with constant mixing. The resin was washed three more times with Buffer A and mixed with 100 µL 2X SDS-PAGE Loading Buffer (Bio-Rad Laboratories). Samples were boiled for 10 min before being loaded on a 12% Mini-Protean TGX (Bio-Rad Laboratories) gel with 50 µL wells. About 5 µL </w:t>
      </w:r>
      <w:r w:rsidR="00346E98">
        <w:t xml:space="preserve">pure </w:t>
      </w:r>
      <w:r w:rsidR="002E372C" w:rsidRPr="002E372C">
        <w:t>Mybr97</w:t>
      </w:r>
      <w:r w:rsidRPr="00CE587A">
        <w:t xml:space="preserve">, 20 µL GST controls, and 45 µL GST-tagged transcription factors were added to the gel. </w:t>
      </w:r>
      <w:r w:rsidR="008C3AA8">
        <w:t xml:space="preserve">The gel was then stained with </w:t>
      </w:r>
      <w:r w:rsidR="008C3AA8" w:rsidRPr="008C3AA8">
        <w:t>Coomassie Brilliant Blue staining solution</w:t>
      </w:r>
      <w:r w:rsidR="008C3AA8">
        <w:t xml:space="preserve"> (0.1% </w:t>
      </w:r>
      <w:r w:rsidR="008C3AA8" w:rsidRPr="008C3AA8">
        <w:t xml:space="preserve">Coomassie </w:t>
      </w:r>
      <w:r w:rsidR="008C3AA8">
        <w:t xml:space="preserve">Brilliant Blue R-250, 50% methanol, 10% glacial acetic acid, 40% water) for 20 min and then destained overnight in </w:t>
      </w:r>
      <w:r w:rsidR="008C3AA8" w:rsidRPr="008C3AA8">
        <w:t>Coomassie destaining solution</w:t>
      </w:r>
      <w:r w:rsidR="008C3AA8">
        <w:t xml:space="preserve"> (20% methanol, 7% glacial acetic acid, 83% water) with laboratory wipes </w:t>
      </w:r>
      <w:r w:rsidR="008C3AA8">
        <w:rPr>
          <w:szCs w:val="24"/>
        </w:rPr>
        <w:fldChar w:fldCharType="begin"/>
      </w:r>
      <w:r w:rsidR="005E207B">
        <w:rPr>
          <w:szCs w:val="24"/>
        </w:rPr>
        <w:instrText xml:space="preserve"> ADDIN ZOTERO_ITEM CSL_CITATION {"citationID":"6smjBtBc","properties":{"formattedCitation":"(Simpson 2007)","plainCitation":"(Simpson 2007)","noteIndex":0},"citationItems":[{"id":3620,"uris":["http://zotero.org/users/3317696/items/BWPWCN6K"],"itemData":{"id":3620,"type":"article-journal","abstract":"INTRODUCTION\nThe most commonly used dye for visualizing proteins in SDS-PAGE gels is Coomassie Brilliant Blue R250 (CBR-250) because of its relatively high sensitivity. This protocol describes the standard CBR-250 staining method, along with a simple method for preparing stained gels for long-term storage.","container-title":"Cold Spring Harbor Protocols","DOI":"10.1101/pdb.prot4719","ISSN":"1940-3402, 1559-6095","issue":"4","journalAbbreviation":"Cold Spring Harb Protoc","language":"en","note":"publisher: Cold Spring Harbor Laboratory Press\nPMID: 21357065","page":"pdb.prot4719","source":"cshprotocols.cshlp.org.proxy2.library.illinois.edu","title":"Staining Proteins in Gels with Coomassie Blue","volume":"2007","author":[{"family":"Simpson","given":"Richard J."}],"issued":{"date-parts":[["2007",4,1]]}}}],"schema":"https://github.com/citation-style-language/schema/raw/master/csl-citation.json"} </w:instrText>
      </w:r>
      <w:r w:rsidR="008C3AA8">
        <w:rPr>
          <w:szCs w:val="24"/>
        </w:rPr>
        <w:fldChar w:fldCharType="separate"/>
      </w:r>
      <w:r w:rsidR="005E207B">
        <w:rPr>
          <w:noProof/>
          <w:szCs w:val="24"/>
        </w:rPr>
        <w:t>(Simpson 2007)</w:t>
      </w:r>
      <w:r w:rsidR="008C3AA8">
        <w:rPr>
          <w:szCs w:val="24"/>
        </w:rPr>
        <w:fldChar w:fldCharType="end"/>
      </w:r>
      <w:r w:rsidR="008C3AA8">
        <w:rPr>
          <w:szCs w:val="24"/>
        </w:rPr>
        <w:t>.</w:t>
      </w:r>
    </w:p>
    <w:p w14:paraId="417D31CE" w14:textId="48EB8194" w:rsidR="00151DAA" w:rsidRPr="00296DFB" w:rsidRDefault="00296DFB" w:rsidP="00296DFB">
      <w:pPr>
        <w:ind w:left="720" w:hanging="720"/>
        <w:rPr>
          <w:b/>
          <w:bCs/>
        </w:rPr>
      </w:pPr>
      <w:r w:rsidRPr="00296DFB">
        <w:rPr>
          <w:b/>
          <w:bCs/>
        </w:rPr>
        <w:t>References</w:t>
      </w:r>
    </w:p>
    <w:p w14:paraId="6C5DC995" w14:textId="77777777" w:rsidR="005E207B" w:rsidRPr="005E207B" w:rsidRDefault="00296DFB" w:rsidP="005E207B">
      <w:pPr>
        <w:pStyle w:val="Bibliography"/>
        <w:spacing w:line="360" w:lineRule="auto"/>
      </w:pPr>
      <w:r>
        <w:fldChar w:fldCharType="begin"/>
      </w:r>
      <w:r w:rsidR="005E207B">
        <w:instrText xml:space="preserve"> ADDIN ZOTERO_BIBL {"uncited":[],"omitted":[],"custom":[]} CSL_BIBLIOGRAPHY </w:instrText>
      </w:r>
      <w:r>
        <w:fldChar w:fldCharType="separate"/>
      </w:r>
      <w:r w:rsidR="005E207B" w:rsidRPr="005E207B">
        <w:t>Ahern KR, Deewatthanawong P, Schares J, et al (2009) Regional mutagenesis using Dissociation in maize. Methods 49:248–254. https://doi.org/10.1016/j.ymeth.2009.04.009</w:t>
      </w:r>
    </w:p>
    <w:p w14:paraId="650B4E8A" w14:textId="77777777" w:rsidR="005E207B" w:rsidRPr="005E207B" w:rsidRDefault="005E207B" w:rsidP="005E207B">
      <w:pPr>
        <w:pStyle w:val="Bibliography"/>
        <w:spacing w:line="360" w:lineRule="auto"/>
      </w:pPr>
      <w:r w:rsidRPr="005E207B">
        <w:t>Aranda PS, LaJoie DM, Jorcyk CL (2012) Bleach Gel: A Simple Agarose Gel for Analyzing RNA Quality. Electrophoresis 33:366–369. https://doi.org/10.1002/elps.201100335</w:t>
      </w:r>
    </w:p>
    <w:p w14:paraId="7DD0F63F" w14:textId="77777777" w:rsidR="005E207B" w:rsidRPr="005E207B" w:rsidRDefault="005E207B" w:rsidP="005E207B">
      <w:pPr>
        <w:pStyle w:val="Bibliography"/>
        <w:spacing w:line="360" w:lineRule="auto"/>
      </w:pPr>
      <w:r w:rsidRPr="005E207B">
        <w:t>Chayut N, Yuan H, Ohali S, et al (2015) A bulk segregant transcriptome analysis reveals metabolic and cellular processes associated with Orange allelic variation and fruit β-carotene accumulation in melon fruit. BMC Plant Biol 15:274. https://doi.org/10.1186/s12870-015-0661-8</w:t>
      </w:r>
    </w:p>
    <w:p w14:paraId="5483C13A" w14:textId="77777777" w:rsidR="005E207B" w:rsidRPr="005E207B" w:rsidRDefault="005E207B" w:rsidP="005E207B">
      <w:pPr>
        <w:pStyle w:val="Bibliography"/>
        <w:spacing w:line="360" w:lineRule="auto"/>
      </w:pPr>
      <w:r w:rsidRPr="005E207B">
        <w:t xml:space="preserve">Christensen DG, Orr JS, Rao CV, Wolfe AJ (2017) Increasing Growth Yield and Decreasing Acetylation in Escherichia coli by Optimizing the Carbon-to-Magnesium Ratio in Peptide-Based Media. Appl Environ Microbiol </w:t>
      </w:r>
      <w:proofErr w:type="gramStart"/>
      <w:r w:rsidRPr="005E207B">
        <w:t>83:.</w:t>
      </w:r>
      <w:proofErr w:type="gramEnd"/>
      <w:r w:rsidRPr="005E207B">
        <w:t xml:space="preserve"> https://doi.org/10.1128/AEM.03034-16</w:t>
      </w:r>
    </w:p>
    <w:p w14:paraId="5D98AF1A" w14:textId="77777777" w:rsidR="005E207B" w:rsidRPr="005E207B" w:rsidRDefault="005E207B" w:rsidP="005E207B">
      <w:pPr>
        <w:pStyle w:val="Bibliography"/>
        <w:spacing w:line="360" w:lineRule="auto"/>
      </w:pPr>
      <w:r w:rsidRPr="005E207B">
        <w:t>Doyle JJ, Doyle JL (1990) Isolation of plant DNA from fresh tissue. Focus 12:13–15</w:t>
      </w:r>
    </w:p>
    <w:p w14:paraId="45825AE7" w14:textId="77777777" w:rsidR="005E207B" w:rsidRPr="005E207B" w:rsidRDefault="005E207B" w:rsidP="005E207B">
      <w:pPr>
        <w:pStyle w:val="Bibliography"/>
        <w:spacing w:line="360" w:lineRule="auto"/>
      </w:pPr>
      <w:r w:rsidRPr="005E207B">
        <w:t>Simpson RJ (2007) Staining Proteins in Gels with Coomassie Blue. Cold Spring Harb Protoc 2007:</w:t>
      </w:r>
      <w:proofErr w:type="gramStart"/>
      <w:r w:rsidRPr="005E207B">
        <w:t>pdb.prot</w:t>
      </w:r>
      <w:proofErr w:type="gramEnd"/>
      <w:r w:rsidRPr="005E207B">
        <w:t>4719. https://doi.org/10.1101/pdb.prot4719</w:t>
      </w:r>
    </w:p>
    <w:p w14:paraId="7C41FC52" w14:textId="7CEE1D06" w:rsidR="00296DFB" w:rsidRPr="00463D25" w:rsidRDefault="00296DFB" w:rsidP="005E207B">
      <w:pPr>
        <w:ind w:left="720" w:hanging="720"/>
      </w:pPr>
      <w:r>
        <w:fldChar w:fldCharType="end"/>
      </w:r>
    </w:p>
    <w:sectPr w:rsidR="00296DFB" w:rsidRPr="00463D25" w:rsidSect="007D5B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7A87"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7"/>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135"/>
    <w:rsid w:val="0004341D"/>
    <w:rsid w:val="000D70F0"/>
    <w:rsid w:val="001112BD"/>
    <w:rsid w:val="00114771"/>
    <w:rsid w:val="00151DAA"/>
    <w:rsid w:val="00153CAA"/>
    <w:rsid w:val="001963E0"/>
    <w:rsid w:val="00252060"/>
    <w:rsid w:val="00286840"/>
    <w:rsid w:val="00293DB2"/>
    <w:rsid w:val="00296DFB"/>
    <w:rsid w:val="002C7ED2"/>
    <w:rsid w:val="002E372C"/>
    <w:rsid w:val="00346E98"/>
    <w:rsid w:val="003F35FD"/>
    <w:rsid w:val="00463D25"/>
    <w:rsid w:val="00534CE2"/>
    <w:rsid w:val="00534E33"/>
    <w:rsid w:val="00564E00"/>
    <w:rsid w:val="00575F17"/>
    <w:rsid w:val="005D0074"/>
    <w:rsid w:val="005E207B"/>
    <w:rsid w:val="00672135"/>
    <w:rsid w:val="006D4C1F"/>
    <w:rsid w:val="007D5B3B"/>
    <w:rsid w:val="008160DD"/>
    <w:rsid w:val="008359B2"/>
    <w:rsid w:val="008A7E82"/>
    <w:rsid w:val="008B3255"/>
    <w:rsid w:val="008C3AA8"/>
    <w:rsid w:val="009A3949"/>
    <w:rsid w:val="009C08D7"/>
    <w:rsid w:val="00AC2ECC"/>
    <w:rsid w:val="00BC0867"/>
    <w:rsid w:val="00C81B34"/>
    <w:rsid w:val="00C94CD8"/>
    <w:rsid w:val="00D00F4B"/>
    <w:rsid w:val="00D5043E"/>
    <w:rsid w:val="00E31852"/>
    <w:rsid w:val="00F64359"/>
    <w:rsid w:val="00FE176D"/>
    <w:rsid w:val="00FE58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0CE43B"/>
  <w15:chartTrackingRefBased/>
  <w15:docId w15:val="{961F350F-AECB-7C41-8120-5BA45A9A5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E176D"/>
    <w:pPr>
      <w:spacing w:line="360" w:lineRule="auto"/>
      <w:ind w:firstLine="720"/>
      <w:contextualSpacing/>
    </w:pPr>
    <w:rPr>
      <w:rFonts w:ascii="Times New Roman" w:eastAsia="Calibri" w:hAnsi="Times New Roman" w:cs="Times New Roman"/>
      <w:szCs w:val="22"/>
    </w:rPr>
  </w:style>
  <w:style w:type="paragraph" w:styleId="Heading2">
    <w:name w:val="heading 2"/>
    <w:basedOn w:val="Normal"/>
    <w:next w:val="Normal"/>
    <w:link w:val="Heading2Char"/>
    <w:uiPriority w:val="9"/>
    <w:unhideWhenUsed/>
    <w:qFormat/>
    <w:rsid w:val="00FE176D"/>
    <w:pPr>
      <w:keepNext/>
      <w:keepLines/>
      <w:spacing w:before="40"/>
      <w:ind w:firstLine="0"/>
      <w:contextualSpacing w:val="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FE176D"/>
    <w:pPr>
      <w:ind w:firstLine="0"/>
      <w:outlineLvl w:val="2"/>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2135"/>
    <w:rPr>
      <w:sz w:val="18"/>
      <w:szCs w:val="18"/>
    </w:rPr>
  </w:style>
  <w:style w:type="character" w:customStyle="1" w:styleId="BalloonTextChar">
    <w:name w:val="Balloon Text Char"/>
    <w:basedOn w:val="DefaultParagraphFont"/>
    <w:link w:val="BalloonText"/>
    <w:uiPriority w:val="99"/>
    <w:semiHidden/>
    <w:rsid w:val="00672135"/>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D5043E"/>
    <w:rPr>
      <w:sz w:val="16"/>
      <w:szCs w:val="16"/>
    </w:rPr>
  </w:style>
  <w:style w:type="paragraph" w:styleId="CommentText">
    <w:name w:val="annotation text"/>
    <w:basedOn w:val="Normal"/>
    <w:link w:val="CommentTextChar"/>
    <w:uiPriority w:val="99"/>
    <w:semiHidden/>
    <w:unhideWhenUsed/>
    <w:rsid w:val="00D5043E"/>
    <w:pPr>
      <w:spacing w:line="240" w:lineRule="auto"/>
      <w:ind w:firstLine="0"/>
      <w:contextualSpacing w:val="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D5043E"/>
    <w:rPr>
      <w:sz w:val="20"/>
      <w:szCs w:val="20"/>
    </w:rPr>
  </w:style>
  <w:style w:type="character" w:customStyle="1" w:styleId="Heading2Char">
    <w:name w:val="Heading 2 Char"/>
    <w:basedOn w:val="DefaultParagraphFont"/>
    <w:link w:val="Heading2"/>
    <w:uiPriority w:val="9"/>
    <w:rsid w:val="00FE176D"/>
    <w:rPr>
      <w:rFonts w:ascii="Times New Roman" w:eastAsiaTheme="majorEastAsia" w:hAnsi="Times New Roman" w:cstheme="majorBidi"/>
      <w:b/>
      <w:szCs w:val="26"/>
    </w:rPr>
  </w:style>
  <w:style w:type="character" w:customStyle="1" w:styleId="Heading3Char">
    <w:name w:val="Heading 3 Char"/>
    <w:basedOn w:val="DefaultParagraphFont"/>
    <w:link w:val="Heading3"/>
    <w:uiPriority w:val="9"/>
    <w:rsid w:val="00FE176D"/>
    <w:rPr>
      <w:rFonts w:ascii="Times New Roman" w:eastAsia="Calibri" w:hAnsi="Times New Roman" w:cs="Times New Roman"/>
      <w:i/>
      <w:iCs/>
      <w:szCs w:val="22"/>
    </w:rPr>
  </w:style>
  <w:style w:type="paragraph" w:styleId="Bibliography">
    <w:name w:val="Bibliography"/>
    <w:basedOn w:val="Normal"/>
    <w:next w:val="Normal"/>
    <w:uiPriority w:val="37"/>
    <w:unhideWhenUsed/>
    <w:rsid w:val="00296DFB"/>
    <w:pPr>
      <w:spacing w:after="24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5135474">
      <w:bodyDiv w:val="1"/>
      <w:marLeft w:val="0"/>
      <w:marRight w:val="0"/>
      <w:marTop w:val="0"/>
      <w:marBottom w:val="0"/>
      <w:divBdr>
        <w:top w:val="none" w:sz="0" w:space="0" w:color="auto"/>
        <w:left w:val="none" w:sz="0" w:space="0" w:color="auto"/>
        <w:bottom w:val="none" w:sz="0" w:space="0" w:color="auto"/>
        <w:right w:val="none" w:sz="0" w:space="0" w:color="auto"/>
      </w:divBdr>
    </w:div>
    <w:div w:id="2087921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4</Pages>
  <Words>3152</Words>
  <Characters>17967</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Paulsmeyer, Michael</dc:creator>
  <cp:keywords/>
  <dc:description/>
  <cp:lastModifiedBy>Paulsmeyer, Michael</cp:lastModifiedBy>
  <cp:revision>28</cp:revision>
  <dcterms:created xsi:type="dcterms:W3CDTF">2021-06-23T04:20:00Z</dcterms:created>
  <dcterms:modified xsi:type="dcterms:W3CDTF">2022-06-29T01:03:00Z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zotero-version="6.0.2"&gt;&lt;session id="BhBSfWTp"/&gt;&lt;style id="http://www.zotero.org/styles/theoretical-and-applied-genetics" hasBibliography="1" bibliographyStyleHasBeenSet="1"/&gt;&lt;prefs&gt;&lt;pref name="fieldType" value="Field"/&gt;&lt;/prefs&gt;&lt;/dat</vt:lpwstr>
  </property>
  <property fmtid="{D5CDD505-2E9C-101B-9397-08002B2CF9AE}" pid="3" name="ZOTERO_PREF_2">
    <vt:lpwstr>a&gt;</vt:lpwstr>
  </property>
</Properties>
</file>