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55DFC" w:rsidRDefault="00880DF2">
      <w:pPr>
        <w:pBdr>
          <w:top w:val="nil"/>
          <w:left w:val="nil"/>
          <w:bottom w:val="nil"/>
          <w:right w:val="nil"/>
          <w:between w:val="nil"/>
        </w:pBdr>
        <w:spacing w:before="16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The Origins and Distribution of Hellenistic and Late Republican Transport Amphorae in the Dalmatian Region and its Implications for Adriatic Trade and Economy</w:t>
      </w:r>
    </w:p>
    <w:p w14:paraId="00000002" w14:textId="77777777" w:rsidR="00F55DFC" w:rsidRDefault="00F55DFC">
      <w:pPr>
        <w:pBdr>
          <w:top w:val="nil"/>
          <w:left w:val="nil"/>
          <w:bottom w:val="nil"/>
          <w:right w:val="nil"/>
          <w:between w:val="nil"/>
        </w:pBdr>
        <w:spacing w:before="160"/>
        <w:jc w:val="center"/>
        <w:rPr>
          <w:rFonts w:ascii="Times New Roman" w:eastAsia="Times New Roman" w:hAnsi="Times New Roman" w:cs="Times New Roman"/>
          <w:b/>
        </w:rPr>
      </w:pPr>
    </w:p>
    <w:p w14:paraId="00000003" w14:textId="77777777" w:rsidR="00F55DFC" w:rsidRDefault="00880DF2">
      <w:pPr>
        <w:widowControl w:val="0"/>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Maja Miše </w:t>
      </w:r>
      <w:r>
        <w:rPr>
          <w:rFonts w:ascii="Times New Roman" w:eastAsia="Times New Roman" w:hAnsi="Times New Roman" w:cs="Times New Roman"/>
          <w:color w:val="000000"/>
          <w:vertAlign w:val="superscript"/>
        </w:rPr>
        <w:t>1</w:t>
      </w:r>
    </w:p>
    <w:p w14:paraId="00000004" w14:textId="77777777" w:rsidR="00F55DFC" w:rsidRDefault="00880DF2">
      <w:pPr>
        <w:widowControl w:val="0"/>
        <w:pBdr>
          <w:top w:val="nil"/>
          <w:left w:val="nil"/>
          <w:bottom w:val="nil"/>
          <w:right w:val="nil"/>
          <w:between w:val="nil"/>
        </w:pBdr>
        <w:jc w:val="center"/>
        <w:rPr>
          <w:rFonts w:ascii="Times New Roman" w:eastAsia="Times New Roman" w:hAnsi="Times New Roman" w:cs="Times New Roman"/>
          <w:vertAlign w:val="superscript"/>
        </w:rPr>
      </w:pPr>
      <w:r>
        <w:rPr>
          <w:rFonts w:ascii="Times New Roman" w:eastAsia="Times New Roman" w:hAnsi="Times New Roman" w:cs="Times New Roman"/>
          <w:color w:val="000000"/>
        </w:rPr>
        <w:t xml:space="preserve">Patrick Sean Quinn </w:t>
      </w:r>
      <w:r>
        <w:rPr>
          <w:rFonts w:ascii="Times New Roman" w:eastAsia="Times New Roman" w:hAnsi="Times New Roman" w:cs="Times New Roman"/>
          <w:color w:val="000000"/>
          <w:vertAlign w:val="superscript"/>
        </w:rPr>
        <w:t>2</w:t>
      </w:r>
    </w:p>
    <w:p w14:paraId="00000005" w14:textId="77777777" w:rsidR="00F55DFC" w:rsidRDefault="00880DF2">
      <w:pPr>
        <w:widowControl w:val="0"/>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vertAlign w:val="superscript"/>
        </w:rPr>
        <w:t xml:space="preserve">1 </w:t>
      </w:r>
      <w:r>
        <w:rPr>
          <w:rFonts w:ascii="Times New Roman" w:eastAsia="Times New Roman" w:hAnsi="Times New Roman" w:cs="Times New Roman"/>
          <w:color w:val="000000"/>
          <w:sz w:val="22"/>
          <w:szCs w:val="22"/>
        </w:rPr>
        <w:t xml:space="preserve">Institute of Archaeology, University College London, UK, </w:t>
      </w:r>
      <w:hyperlink r:id="rId7">
        <w:r>
          <w:rPr>
            <w:rFonts w:ascii="Times New Roman" w:eastAsia="Times New Roman" w:hAnsi="Times New Roman" w:cs="Times New Roman"/>
            <w:color w:val="000000"/>
            <w:sz w:val="22"/>
            <w:szCs w:val="22"/>
            <w:u w:val="single"/>
          </w:rPr>
          <w:t>mm2591@cam.ac.uk</w:t>
        </w:r>
      </w:hyperlink>
      <w:r>
        <w:rPr>
          <w:rFonts w:ascii="Times New Roman" w:eastAsia="Times New Roman" w:hAnsi="Times New Roman" w:cs="Times New Roman"/>
          <w:color w:val="000000"/>
          <w:sz w:val="22"/>
          <w:szCs w:val="22"/>
        </w:rPr>
        <w:t xml:space="preserve"> </w:t>
      </w:r>
      <w:hyperlink r:id="rId8">
        <w:r>
          <w:rPr>
            <w:rFonts w:ascii="Times New Roman" w:eastAsia="Times New Roman" w:hAnsi="Times New Roman" w:cs="Times New Roman"/>
            <w:color w:val="000000"/>
            <w:sz w:val="22"/>
            <w:szCs w:val="22"/>
            <w:u w:val="single"/>
          </w:rPr>
          <w:t>ORCID</w:t>
        </w:r>
      </w:hyperlink>
    </w:p>
    <w:p w14:paraId="00000006" w14:textId="77777777" w:rsidR="00F55DFC" w:rsidRDefault="00880DF2">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 xml:space="preserve">2 </w:t>
      </w:r>
      <w:r>
        <w:rPr>
          <w:rFonts w:ascii="Times New Roman" w:eastAsia="Times New Roman" w:hAnsi="Times New Roman" w:cs="Times New Roman"/>
          <w:color w:val="000000"/>
        </w:rPr>
        <w:t>Institute of Archaeology, University College London, UK</w:t>
      </w:r>
    </w:p>
    <w:p w14:paraId="00000007" w14:textId="77777777" w:rsidR="00F55DFC" w:rsidRDefault="00F55DFC">
      <w:pPr>
        <w:pBdr>
          <w:top w:val="nil"/>
          <w:left w:val="nil"/>
          <w:bottom w:val="nil"/>
          <w:right w:val="nil"/>
          <w:between w:val="nil"/>
        </w:pBdr>
        <w:jc w:val="both"/>
        <w:rPr>
          <w:rFonts w:ascii="Times New Roman" w:eastAsia="Times New Roman" w:hAnsi="Times New Roman" w:cs="Times New Roman"/>
          <w:b/>
          <w:color w:val="000000"/>
        </w:rPr>
      </w:pPr>
    </w:p>
    <w:p w14:paraId="00000008" w14:textId="7CE0BCAC" w:rsidR="00F55DFC" w:rsidRDefault="00880DF2">
      <w:pPr>
        <w:pBdr>
          <w:top w:val="nil"/>
          <w:left w:val="nil"/>
          <w:bottom w:val="nil"/>
          <w:right w:val="nil"/>
          <w:between w:val="nil"/>
        </w:pBdr>
        <w:contextualSpacing/>
        <w:jc w:val="both"/>
        <w:rPr>
          <w:rFonts w:ascii="Times New Roman" w:eastAsia="Times New Roman" w:hAnsi="Times New Roman" w:cs="Times New Roman"/>
          <w:b/>
          <w:color w:val="000000"/>
        </w:rPr>
      </w:pPr>
      <w:r>
        <w:rPr>
          <w:rFonts w:ascii="Times New Roman" w:eastAsia="Times New Roman" w:hAnsi="Times New Roman" w:cs="Times New Roman"/>
          <w:b/>
          <w:color w:val="000000"/>
        </w:rPr>
        <w:t>Supplement 1</w:t>
      </w:r>
    </w:p>
    <w:p w14:paraId="54B31EE6" w14:textId="77777777" w:rsidR="003B7417" w:rsidRDefault="003B7417">
      <w:pPr>
        <w:pBdr>
          <w:top w:val="nil"/>
          <w:left w:val="nil"/>
          <w:bottom w:val="nil"/>
          <w:right w:val="nil"/>
          <w:between w:val="nil"/>
        </w:pBdr>
        <w:contextualSpacing/>
        <w:jc w:val="both"/>
        <w:rPr>
          <w:rFonts w:ascii="Times New Roman" w:eastAsia="Times New Roman" w:hAnsi="Times New Roman" w:cs="Times New Roman"/>
          <w:b/>
          <w:color w:val="000000"/>
        </w:rPr>
      </w:pPr>
    </w:p>
    <w:p w14:paraId="00000009" w14:textId="76B546AD" w:rsidR="00F55DFC" w:rsidRDefault="00880DF2">
      <w:pPr>
        <w:spacing w:before="120"/>
        <w:contextualSpacing/>
        <w:jc w:val="both"/>
        <w:rPr>
          <w:rFonts w:ascii="Times New Roman" w:eastAsia="Times New Roman" w:hAnsi="Times New Roman" w:cs="Times New Roman"/>
          <w:b/>
        </w:rPr>
      </w:pPr>
      <w:r>
        <w:rPr>
          <w:rFonts w:ascii="Times New Roman" w:eastAsia="Times New Roman" w:hAnsi="Times New Roman" w:cs="Times New Roman"/>
          <w:b/>
        </w:rPr>
        <w:t xml:space="preserve">Petrographic classification  </w:t>
      </w:r>
    </w:p>
    <w:p w14:paraId="236554FC" w14:textId="77777777" w:rsidR="003B7417" w:rsidRDefault="003B7417">
      <w:pPr>
        <w:spacing w:before="120"/>
        <w:contextualSpacing/>
        <w:jc w:val="both"/>
        <w:rPr>
          <w:rFonts w:ascii="Times New Roman" w:eastAsia="Times New Roman" w:hAnsi="Times New Roman" w:cs="Times New Roman"/>
          <w:b/>
        </w:rPr>
      </w:pPr>
    </w:p>
    <w:p w14:paraId="0000000A" w14:textId="0179FE06" w:rsidR="00F55DFC" w:rsidRDefault="00880DF2">
      <w:pPr>
        <w:spacing w:before="120"/>
        <w:contextualSpacing/>
        <w:jc w:val="both"/>
        <w:rPr>
          <w:rFonts w:ascii="Times New Roman" w:eastAsia="Times New Roman" w:hAnsi="Times New Roman" w:cs="Times New Roman"/>
        </w:rPr>
      </w:pPr>
      <w:r>
        <w:rPr>
          <w:rFonts w:ascii="Times New Roman" w:eastAsia="Times New Roman" w:hAnsi="Times New Roman" w:cs="Times New Roman"/>
        </w:rPr>
        <w:t xml:space="preserve">With detailed petrographic analysis of 248 samples, 202 amphorae from Dalmatia can be divided into seven major fabric groups. The remaining 46 were heavily altered, which hindered their classification, and hence were classified as unsigned (Appendix 2). </w:t>
      </w:r>
    </w:p>
    <w:p w14:paraId="4012E1AE" w14:textId="77777777" w:rsidR="003B7417" w:rsidRDefault="003B7417">
      <w:pPr>
        <w:spacing w:before="120"/>
        <w:contextualSpacing/>
        <w:jc w:val="both"/>
        <w:rPr>
          <w:rFonts w:ascii="Times New Roman" w:eastAsia="Times New Roman" w:hAnsi="Times New Roman" w:cs="Times New Roman"/>
        </w:rPr>
      </w:pPr>
    </w:p>
    <w:p w14:paraId="0000000B" w14:textId="275FA6F0" w:rsidR="00F55DFC" w:rsidRDefault="00880DF2" w:rsidP="003B7417">
      <w:pPr>
        <w:spacing w:before="120"/>
        <w:contextualSpacing/>
        <w:jc w:val="both"/>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rPr>
        <w:t>Fabric 1</w:t>
      </w:r>
      <w:r>
        <w:rPr>
          <w:rFonts w:ascii="Times New Roman" w:eastAsia="Times New Roman" w:hAnsi="Times New Roman" w:cs="Times New Roman"/>
        </w:rPr>
        <w:t xml:space="preserve"> is the largest fabric group with 92 samples of amphorae, 42 from terrestrial and 50 from marine sites. Their fabric is characterised by dark brown, brown to yellowish brown homogenous matrix, and unimodal inclusion of medium and coarse slit (0.016- 0.062 mm). Dominant inclusions are quartz monocrystalline and, in some samples, closer to both surfaces, secondary calcite. Common inclusions are</w:t>
      </w:r>
      <w:r>
        <w:t xml:space="preserve"> </w:t>
      </w:r>
      <w:r>
        <w:rPr>
          <w:rFonts w:ascii="Times New Roman" w:eastAsia="Times New Roman" w:hAnsi="Times New Roman" w:cs="Times New Roman"/>
        </w:rPr>
        <w:t>argillaceous pallets with sharp boundaries and neutral optical density and smaller pallets with merging boundaries and low optical density. Also common are mica (biotite) and chert, while plagioclase and muscovite are rare. Secondary calcite, as a product of post-depositional alteration, is present in amphorae from both environments, marine and terrestrial (Fig. 4A). Among this group there are 25 samples with foraminifera (Fig. 4B) and a sample from the Polačišće shipwreck (POL22) with gastropod microfossils. All samples from this group belong to the Lamboglia 2 amphorae. They were found in the shipwrecks at the Vela Svitnja near Issa, Polačišće, Supetar near Cavtat, sanctuary at the Nakovana Cave and harbour land facilities in Resnik (Fig. 5).</w:t>
      </w:r>
    </w:p>
    <w:p w14:paraId="5B8A664A" w14:textId="77777777" w:rsidR="003B7417" w:rsidRDefault="003B7417" w:rsidP="003B7417">
      <w:pPr>
        <w:spacing w:before="120"/>
        <w:contextualSpacing/>
        <w:jc w:val="both"/>
        <w:rPr>
          <w:rFonts w:ascii="Times New Roman" w:eastAsia="Times New Roman" w:hAnsi="Times New Roman" w:cs="Times New Roman"/>
        </w:rPr>
      </w:pPr>
    </w:p>
    <w:p w14:paraId="0000000C" w14:textId="3C7B2BF6" w:rsidR="00F55DFC" w:rsidRDefault="00880DF2" w:rsidP="003B7417">
      <w:pPr>
        <w:spacing w:before="120"/>
        <w:contextualSpacing/>
        <w:jc w:val="both"/>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rPr>
        <w:t>Fabric 2</w:t>
      </w:r>
      <w:r>
        <w:rPr>
          <w:rFonts w:ascii="Times New Roman" w:eastAsia="Times New Roman" w:hAnsi="Times New Roman" w:cs="Times New Roman"/>
        </w:rPr>
        <w:t xml:space="preserve"> consists of 67 amphorae. The group is characterised by brown to yellowish brown homogenous matrix, and unimodal well sorted inclusions of coarse slit to very fine sand (0.032-0.062 mm). The inclusions consist of quartz monocrystalline, as dominant and with frequent clay pallets, mica (muscovite and biotite) and chert. Samples from shipwrecks have secondary calcite in voids and dissolved calcite near the surface (Fig. 4C). Most amphorae in this group, 59 samples, belong to the Corinthian type B amphorae, five samples are typologically classified as Greco-Italic and three can be attributed to the </w:t>
      </w:r>
      <w:r w:rsidR="003B7417">
        <w:rPr>
          <w:rFonts w:ascii="Times New Roman" w:eastAsia="Times New Roman" w:hAnsi="Times New Roman" w:cs="Times New Roman"/>
        </w:rPr>
        <w:t>“</w:t>
      </w:r>
      <w:r>
        <w:rPr>
          <w:rFonts w:ascii="Times New Roman" w:eastAsia="Times New Roman" w:hAnsi="Times New Roman" w:cs="Times New Roman"/>
        </w:rPr>
        <w:t>Hellenistic type</w:t>
      </w:r>
      <w:r w:rsidR="003B7417">
        <w:rPr>
          <w:rFonts w:ascii="Times New Roman" w:eastAsia="Times New Roman" w:hAnsi="Times New Roman" w:cs="Times New Roman"/>
        </w:rPr>
        <w:t>”</w:t>
      </w:r>
      <w:r>
        <w:rPr>
          <w:rFonts w:ascii="Times New Roman" w:eastAsia="Times New Roman" w:hAnsi="Times New Roman" w:cs="Times New Roman"/>
        </w:rPr>
        <w:t>. They all have the same fabric as the Whitbread’s Corinthian type B Fabric Class 2 (Whitbread 1995: 276-277). They were found in Pharos, in the Vilina Cave sanctuary, on the indigenous settlements Sokol, Rat Vičja luka and Zemunik, and on shipwrecks Gnjilna near the island of Vis and Žirje (Fig. 5).</w:t>
      </w:r>
    </w:p>
    <w:p w14:paraId="2BC57F17" w14:textId="77777777" w:rsidR="003B7417" w:rsidRDefault="003B7417" w:rsidP="003B7417">
      <w:pPr>
        <w:spacing w:before="120"/>
        <w:contextualSpacing/>
        <w:jc w:val="both"/>
        <w:rPr>
          <w:rFonts w:ascii="Times New Roman" w:eastAsia="Times New Roman" w:hAnsi="Times New Roman" w:cs="Times New Roman"/>
        </w:rPr>
      </w:pPr>
    </w:p>
    <w:p w14:paraId="0000000D" w14:textId="1DCC4A8E" w:rsidR="00F55DFC" w:rsidRDefault="00880DF2" w:rsidP="003B7417">
      <w:pPr>
        <w:spacing w:before="120"/>
        <w:contextualSpacing/>
        <w:jc w:val="both"/>
        <w:rPr>
          <w:rFonts w:ascii="Times New Roman" w:eastAsia="Times New Roman" w:hAnsi="Times New Roman" w:cs="Times New Roman"/>
        </w:rPr>
      </w:pPr>
      <w:r>
        <w:rPr>
          <w:rFonts w:ascii="Times New Roman" w:eastAsia="Times New Roman" w:hAnsi="Times New Roman" w:cs="Times New Roman"/>
        </w:rPr>
        <w:t xml:space="preserve">The nine amphorae from terrestrial sites Pharos, Rat near Vičja luka, Crveni Grm and Stine and 13 samples from the Žirje shipwreck form the </w:t>
      </w:r>
      <w:r>
        <w:rPr>
          <w:rFonts w:ascii="Times New Roman" w:eastAsia="Times New Roman" w:hAnsi="Times New Roman" w:cs="Times New Roman"/>
          <w:b/>
        </w:rPr>
        <w:t xml:space="preserve">Fabric 3 </w:t>
      </w:r>
      <w:r>
        <w:rPr>
          <w:rFonts w:ascii="Times New Roman" w:eastAsia="Times New Roman" w:hAnsi="Times New Roman" w:cs="Times New Roman"/>
        </w:rPr>
        <w:t xml:space="preserve">(Fig. 5). They are characterised by dark red homogenous matrix, but with poorly sorted and very angular and subangular inclusions of quartz monocrystalline, as dominant, and quartz polycrystalline and biotite, as frequent inclusions. Other common inclusions are plagioclase, amphibole (hornblende) and clay pallets and granite rocks. The size of inclusions is bimodal, medium slit (0.025-0.05 mm) and coarse sand (0.4-0.6 mm). The absence of the medium size inclusions could indicate tempering by potters (Fig. 4D) The samples from shipwrecks in this group also show secondary </w:t>
      </w:r>
      <w:r>
        <w:rPr>
          <w:rFonts w:ascii="Times New Roman" w:eastAsia="Times New Roman" w:hAnsi="Times New Roman" w:cs="Times New Roman"/>
        </w:rPr>
        <w:lastRenderedPageBreak/>
        <w:t xml:space="preserve">calcite in the voids and dissolved calcite closer to the surface. The samples in this group belong also to the </w:t>
      </w:r>
      <w:r w:rsidR="003B7417">
        <w:rPr>
          <w:rFonts w:ascii="Times New Roman" w:eastAsia="Times New Roman" w:hAnsi="Times New Roman" w:cs="Times New Roman"/>
        </w:rPr>
        <w:t>Corinthian t</w:t>
      </w:r>
      <w:r>
        <w:rPr>
          <w:rFonts w:ascii="Times New Roman" w:eastAsia="Times New Roman" w:hAnsi="Times New Roman" w:cs="Times New Roman"/>
        </w:rPr>
        <w:t xml:space="preserve">ype B amphorae and correspond with Whitbread’s Corinthian </w:t>
      </w:r>
      <w:r w:rsidR="003B7417">
        <w:rPr>
          <w:rFonts w:ascii="Times New Roman" w:eastAsia="Times New Roman" w:hAnsi="Times New Roman" w:cs="Times New Roman"/>
        </w:rPr>
        <w:t>type B Fabric</w:t>
      </w:r>
      <w:r>
        <w:rPr>
          <w:rFonts w:ascii="Times New Roman" w:eastAsia="Times New Roman" w:hAnsi="Times New Roman" w:cs="Times New Roman"/>
        </w:rPr>
        <w:t xml:space="preserve"> Class 3 (Whitbread 1995: 277-278).</w:t>
      </w:r>
    </w:p>
    <w:p w14:paraId="46FC5B47" w14:textId="77777777" w:rsidR="003B7417" w:rsidRDefault="003B7417" w:rsidP="003B7417">
      <w:pPr>
        <w:spacing w:before="120"/>
        <w:contextualSpacing/>
        <w:jc w:val="both"/>
        <w:rPr>
          <w:rFonts w:ascii="Times New Roman" w:eastAsia="Times New Roman" w:hAnsi="Times New Roman" w:cs="Times New Roman"/>
        </w:rPr>
      </w:pPr>
    </w:p>
    <w:p w14:paraId="0000000E" w14:textId="6B75A62E" w:rsidR="00F55DFC" w:rsidRDefault="00880DF2" w:rsidP="003B7417">
      <w:pPr>
        <w:spacing w:before="120"/>
        <w:contextualSpacing/>
        <w:jc w:val="both"/>
        <w:rPr>
          <w:rFonts w:ascii="Times New Roman" w:eastAsia="Times New Roman" w:hAnsi="Times New Roman" w:cs="Times New Roman"/>
        </w:rPr>
      </w:pPr>
      <w:r>
        <w:rPr>
          <w:rFonts w:ascii="Times New Roman" w:eastAsia="Times New Roman" w:hAnsi="Times New Roman" w:cs="Times New Roman"/>
          <w:b/>
        </w:rPr>
        <w:t>Fabric 4</w:t>
      </w:r>
      <w:r>
        <w:rPr>
          <w:rFonts w:ascii="Times New Roman" w:eastAsia="Times New Roman" w:hAnsi="Times New Roman" w:cs="Times New Roman"/>
        </w:rPr>
        <w:t xml:space="preserve"> consists of 10 samples of Corinthian type B amphorae. They are characterised with dark red homogenous matrix with poorly sorted incisions bimodal in size, very fine slit (0.004-0.008mm) and fine sand (0.125-0.25mm). Dominant inclusions are quartz monocrystalline with frequent biotite and quartz polycrystalline. Very common are large (&lt; 0.01mm) angular inclusion of granite rocks and plagioclase. The bimodal inclusion size and angularity of granite rock inclusions indicate tempering by potters with this type of rock (Fig. 4E). Amphorae from this group are found at Pharos, Rat, Kopila, Vilina Cave, Crveni Grm and Zemunik (Fig. 5).</w:t>
      </w:r>
    </w:p>
    <w:p w14:paraId="613A4141" w14:textId="77777777" w:rsidR="003B7417" w:rsidRDefault="003B7417" w:rsidP="003B7417">
      <w:pPr>
        <w:spacing w:before="120"/>
        <w:contextualSpacing/>
        <w:jc w:val="both"/>
        <w:rPr>
          <w:rFonts w:ascii="Times New Roman" w:eastAsia="Times New Roman" w:hAnsi="Times New Roman" w:cs="Times New Roman"/>
        </w:rPr>
      </w:pPr>
    </w:p>
    <w:p w14:paraId="0000000F" w14:textId="1B75329E" w:rsidR="00F55DFC" w:rsidRDefault="00880DF2" w:rsidP="003B7417">
      <w:pPr>
        <w:spacing w:before="120"/>
        <w:contextualSpacing/>
        <w:jc w:val="both"/>
        <w:rPr>
          <w:rFonts w:ascii="Times New Roman" w:eastAsia="Times New Roman" w:hAnsi="Times New Roman" w:cs="Times New Roman"/>
        </w:rPr>
      </w:pPr>
      <w:r>
        <w:rPr>
          <w:rFonts w:ascii="Times New Roman" w:eastAsia="Times New Roman" w:hAnsi="Times New Roman" w:cs="Times New Roman"/>
        </w:rPr>
        <w:t xml:space="preserve">The </w:t>
      </w:r>
      <w:r>
        <w:rPr>
          <w:rFonts w:ascii="Times New Roman" w:eastAsia="Times New Roman" w:hAnsi="Times New Roman" w:cs="Times New Roman"/>
          <w:b/>
        </w:rPr>
        <w:t>Fabric 5</w:t>
      </w:r>
      <w:r>
        <w:rPr>
          <w:rFonts w:ascii="Times New Roman" w:eastAsia="Times New Roman" w:hAnsi="Times New Roman" w:cs="Times New Roman"/>
        </w:rPr>
        <w:t xml:space="preserve"> consists of only two samples, one from Pharos and one from the Gnjilna shipwreck (Fig. 5). The fabric of this group has a greenish yellow nonhomogeneous matrix with poorly sorted inclusions. Inclusions sizes are bimodal, fine sand (0.2 mm) and medium sand (0.6 mm). Dominant inclusion of larger size or coarser inclusions are mudstone and rarely chert, while finer inclusions are quartz monocrystalline, few to very rare biotite, and very rare quartz polycrystalline and plagioclase. The mudstone inclusions are very angular. Secondary calcite is more present in voids in the sample from shipwreck, as well as dissolved calcite near the surface (Fig. 4F). The samples in this group belong to Corinthian type A’ amphorae, and by comparison with the Whitbread Corinthian collection, they belong to the Fabric Class 1, tempered by ancient potters with mudstone (Whitbread 1995: 271). </w:t>
      </w:r>
    </w:p>
    <w:p w14:paraId="245D38FA" w14:textId="77777777" w:rsidR="003B7417" w:rsidRDefault="003B7417" w:rsidP="003B7417">
      <w:pPr>
        <w:spacing w:before="120"/>
        <w:contextualSpacing/>
        <w:jc w:val="both"/>
        <w:rPr>
          <w:rFonts w:ascii="Times New Roman" w:eastAsia="Times New Roman" w:hAnsi="Times New Roman" w:cs="Times New Roman"/>
        </w:rPr>
      </w:pPr>
    </w:p>
    <w:p w14:paraId="1FEEEADB" w14:textId="1CAA701D" w:rsidR="003B7417" w:rsidRDefault="00880DF2" w:rsidP="003B7417">
      <w:pPr>
        <w:spacing w:before="120"/>
        <w:contextualSpacing/>
        <w:jc w:val="both"/>
        <w:rPr>
          <w:rFonts w:ascii="Times New Roman" w:eastAsia="Times New Roman" w:hAnsi="Times New Roman" w:cs="Times New Roman"/>
        </w:rPr>
      </w:pPr>
      <w:r>
        <w:rPr>
          <w:rFonts w:ascii="Times New Roman" w:eastAsia="Times New Roman" w:hAnsi="Times New Roman" w:cs="Times New Roman"/>
          <w:b/>
        </w:rPr>
        <w:t>Fabric 6</w:t>
      </w:r>
      <w:r>
        <w:rPr>
          <w:rFonts w:ascii="Times New Roman" w:eastAsia="Times New Roman" w:hAnsi="Times New Roman" w:cs="Times New Roman"/>
        </w:rPr>
        <w:t xml:space="preserve"> consists of four </w:t>
      </w:r>
      <w:r w:rsidR="003B7417">
        <w:rPr>
          <w:rFonts w:ascii="Times New Roman" w:eastAsia="Times New Roman" w:hAnsi="Times New Roman" w:cs="Times New Roman"/>
        </w:rPr>
        <w:t>“</w:t>
      </w:r>
      <w:r>
        <w:rPr>
          <w:rFonts w:ascii="Times New Roman" w:eastAsia="Times New Roman" w:hAnsi="Times New Roman" w:cs="Times New Roman"/>
        </w:rPr>
        <w:t>Hellenistic type</w:t>
      </w:r>
      <w:r w:rsidR="003B7417">
        <w:rPr>
          <w:rFonts w:ascii="Times New Roman" w:eastAsia="Times New Roman" w:hAnsi="Times New Roman" w:cs="Times New Roman"/>
        </w:rPr>
        <w:t>”</w:t>
      </w:r>
      <w:r>
        <w:rPr>
          <w:rFonts w:ascii="Times New Roman" w:eastAsia="Times New Roman" w:hAnsi="Times New Roman" w:cs="Times New Roman"/>
        </w:rPr>
        <w:t xml:space="preserve"> amphorae from Pharos (Fig. 5), two “Hellenistic type” from the Vilina Cave sanctuary and two, also “Hellenistic type” from the Sokol fortress. They are characterised by a </w:t>
      </w:r>
      <w:r w:rsidR="003B7417">
        <w:rPr>
          <w:rFonts w:ascii="Times New Roman" w:eastAsia="Times New Roman" w:hAnsi="Times New Roman" w:cs="Times New Roman"/>
        </w:rPr>
        <w:t>reddish-brown</w:t>
      </w:r>
      <w:r>
        <w:rPr>
          <w:rFonts w:ascii="Times New Roman" w:eastAsia="Times New Roman" w:hAnsi="Times New Roman" w:cs="Times New Roman"/>
        </w:rPr>
        <w:t xml:space="preserve"> homogenous matrix with moderately sorted coarse slit (0.032-0.062mm) inclusions. Dominant inclusions are monocrystalline and polycrystalline quartz, with common secondary calcite around voids and biotite. The most characteristic inclusion are large lumps of red clay with the same, but denser, inclusions as the rest of the matrix (Fig. 4G).</w:t>
      </w:r>
    </w:p>
    <w:p w14:paraId="23C87472" w14:textId="77777777" w:rsidR="003B7417" w:rsidRPr="003B7417" w:rsidRDefault="003B7417" w:rsidP="003B7417">
      <w:pPr>
        <w:spacing w:before="120"/>
        <w:contextualSpacing/>
        <w:jc w:val="both"/>
        <w:rPr>
          <w:rFonts w:ascii="Times New Roman" w:eastAsia="Times New Roman" w:hAnsi="Times New Roman" w:cs="Times New Roman"/>
        </w:rPr>
      </w:pPr>
    </w:p>
    <w:p w14:paraId="00000012" w14:textId="2743CF27" w:rsidR="00F55DFC" w:rsidRDefault="00880DF2" w:rsidP="003B7417">
      <w:pPr>
        <w:contextualSpacing/>
        <w:jc w:val="both"/>
      </w:pPr>
      <w:r>
        <w:rPr>
          <w:rFonts w:ascii="Times New Roman" w:eastAsia="Times New Roman" w:hAnsi="Times New Roman" w:cs="Times New Roman"/>
        </w:rPr>
        <w:t xml:space="preserve">The two samples of </w:t>
      </w:r>
      <w:r w:rsidR="003B7417">
        <w:rPr>
          <w:rFonts w:ascii="Times New Roman" w:eastAsia="Times New Roman" w:hAnsi="Times New Roman" w:cs="Times New Roman"/>
        </w:rPr>
        <w:t>“</w:t>
      </w:r>
      <w:r>
        <w:rPr>
          <w:rFonts w:ascii="Times New Roman" w:eastAsia="Times New Roman" w:hAnsi="Times New Roman" w:cs="Times New Roman"/>
        </w:rPr>
        <w:t>Hellenistic type</w:t>
      </w:r>
      <w:r w:rsidR="003B7417">
        <w:rPr>
          <w:rFonts w:ascii="Times New Roman" w:eastAsia="Times New Roman" w:hAnsi="Times New Roman" w:cs="Times New Roman"/>
        </w:rPr>
        <w:t>”</w:t>
      </w:r>
      <w:r>
        <w:rPr>
          <w:rFonts w:ascii="Times New Roman" w:eastAsia="Times New Roman" w:hAnsi="Times New Roman" w:cs="Times New Roman"/>
        </w:rPr>
        <w:t xml:space="preserve"> of amphorae from Pharos are the only amphorae in our dataset characterised by so-called sandwich firing. They form the </w:t>
      </w:r>
      <w:r>
        <w:rPr>
          <w:rFonts w:ascii="Times New Roman" w:eastAsia="Times New Roman" w:hAnsi="Times New Roman" w:cs="Times New Roman"/>
          <w:b/>
        </w:rPr>
        <w:t>Fabric 7</w:t>
      </w:r>
      <w:r>
        <w:rPr>
          <w:rFonts w:ascii="Times New Roman" w:eastAsia="Times New Roman" w:hAnsi="Times New Roman" w:cs="Times New Roman"/>
        </w:rPr>
        <w:t xml:space="preserve"> with nonhomogeneous matrix with dark red on margins and dark brown to black in the core of the sample. The coarse slit (0.032-0.062mm) inclusions are poorly sorted with predominate and monocrystalline and dominant polycrystalline quartz, frequent voids with secondary calcite, a few biotite and rare plagioclase (Fig. 4H).</w:t>
      </w:r>
    </w:p>
    <w:p w14:paraId="3F313366" w14:textId="77777777" w:rsidR="003B7417" w:rsidRDefault="003B7417">
      <w:pPr>
        <w:contextualSpacing/>
        <w:jc w:val="both"/>
      </w:pPr>
    </w:p>
    <w:sectPr w:rsidR="003B7417">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2F13A" w14:textId="77777777" w:rsidR="003930AA" w:rsidRDefault="003930AA">
      <w:r>
        <w:separator/>
      </w:r>
    </w:p>
  </w:endnote>
  <w:endnote w:type="continuationSeparator" w:id="0">
    <w:p w14:paraId="5E751B83" w14:textId="77777777" w:rsidR="003930AA" w:rsidRDefault="0039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6" w14:textId="77777777" w:rsidR="00F55DFC" w:rsidRDefault="00880DF2">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sidR="003930AA">
      <w:rPr>
        <w:color w:val="000000"/>
      </w:rPr>
      <w:fldChar w:fldCharType="separate"/>
    </w:r>
    <w:r>
      <w:rPr>
        <w:color w:val="000000"/>
      </w:rPr>
      <w:fldChar w:fldCharType="end"/>
    </w:r>
  </w:p>
  <w:p w14:paraId="00000017" w14:textId="77777777" w:rsidR="00F55DFC" w:rsidRDefault="00F55DF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9" w14:textId="3DFF22FC" w:rsidR="00F55DFC" w:rsidRDefault="00880DF2">
    <w:pPr>
      <w:pBdr>
        <w:top w:val="nil"/>
        <w:left w:val="nil"/>
        <w:bottom w:val="nil"/>
        <w:right w:val="nil"/>
        <w:between w:val="nil"/>
      </w:pBdr>
      <w:tabs>
        <w:tab w:val="center" w:pos="4513"/>
        <w:tab w:val="right" w:pos="9026"/>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C5E05">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0000001A" w14:textId="77777777" w:rsidR="00F55DFC" w:rsidRDefault="00F55DFC">
    <w:pPr>
      <w:pBdr>
        <w:top w:val="nil"/>
        <w:left w:val="nil"/>
        <w:bottom w:val="nil"/>
        <w:right w:val="nil"/>
        <w:between w:val="nil"/>
      </w:pBdr>
      <w:tabs>
        <w:tab w:val="center" w:pos="4513"/>
        <w:tab w:val="right" w:pos="9026"/>
      </w:tabs>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8" w14:textId="77777777" w:rsidR="00F55DFC" w:rsidRDefault="00F55DF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96A46" w14:textId="77777777" w:rsidR="003930AA" w:rsidRDefault="003930AA">
      <w:r>
        <w:separator/>
      </w:r>
    </w:p>
  </w:footnote>
  <w:footnote w:type="continuationSeparator" w:id="0">
    <w:p w14:paraId="14C6DB6E" w14:textId="77777777" w:rsidR="003930AA" w:rsidRDefault="00393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4" w14:textId="77777777" w:rsidR="00F55DFC" w:rsidRDefault="00F55DF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3" w14:textId="77777777" w:rsidR="00F55DFC" w:rsidRDefault="00F55DFC">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15" w14:textId="77777777" w:rsidR="00F55DFC" w:rsidRDefault="00F55DFC">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FC"/>
    <w:rsid w:val="003930AA"/>
    <w:rsid w:val="003B7417"/>
    <w:rsid w:val="004C5E05"/>
    <w:rsid w:val="007C233E"/>
    <w:rsid w:val="00880DF2"/>
    <w:rsid w:val="00F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16057E"/>
  <w15:docId w15:val="{0A74DE81-30CD-E24D-ABD6-6FF4C837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2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Body">
    <w:name w:val="Body"/>
    <w:rsid w:val="00846D22"/>
    <w:pPr>
      <w:pBdr>
        <w:top w:val="nil"/>
        <w:left w:val="nil"/>
        <w:bottom w:val="nil"/>
        <w:right w:val="nil"/>
        <w:between w:val="nil"/>
        <w:bar w:val="nil"/>
      </w:pBdr>
      <w:spacing w:before="160"/>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Footer">
    <w:name w:val="footer"/>
    <w:basedOn w:val="Normal"/>
    <w:link w:val="FooterChar"/>
    <w:uiPriority w:val="99"/>
    <w:unhideWhenUsed/>
    <w:rsid w:val="00F40082"/>
    <w:pPr>
      <w:tabs>
        <w:tab w:val="center" w:pos="4513"/>
        <w:tab w:val="right" w:pos="9026"/>
      </w:tabs>
    </w:pPr>
  </w:style>
  <w:style w:type="character" w:customStyle="1" w:styleId="FooterChar">
    <w:name w:val="Footer Char"/>
    <w:basedOn w:val="DefaultParagraphFont"/>
    <w:link w:val="Footer"/>
    <w:uiPriority w:val="99"/>
    <w:rsid w:val="00F40082"/>
  </w:style>
  <w:style w:type="character" w:styleId="PageNumber">
    <w:name w:val="page number"/>
    <w:basedOn w:val="DefaultParagraphFont"/>
    <w:uiPriority w:val="99"/>
    <w:semiHidden/>
    <w:unhideWhenUsed/>
    <w:rsid w:val="00F40082"/>
  </w:style>
  <w:style w:type="paragraph" w:styleId="Header">
    <w:name w:val="header"/>
    <w:basedOn w:val="Normal"/>
    <w:link w:val="HeaderChar"/>
    <w:uiPriority w:val="99"/>
    <w:unhideWhenUsed/>
    <w:rsid w:val="00F40082"/>
    <w:pPr>
      <w:tabs>
        <w:tab w:val="center" w:pos="4513"/>
        <w:tab w:val="right" w:pos="9026"/>
      </w:tabs>
    </w:pPr>
  </w:style>
  <w:style w:type="character" w:customStyle="1" w:styleId="HeaderChar">
    <w:name w:val="Header Char"/>
    <w:basedOn w:val="DefaultParagraphFont"/>
    <w:link w:val="Header"/>
    <w:uiPriority w:val="99"/>
    <w:rsid w:val="00F40082"/>
  </w:style>
  <w:style w:type="character" w:styleId="Hyperlink">
    <w:name w:val="Hyperlink"/>
    <w:rsid w:val="00EF0C83"/>
    <w:rPr>
      <w:u w:val="single"/>
    </w:rPr>
  </w:style>
  <w:style w:type="paragraph" w:styleId="NoSpacing">
    <w:name w:val="No Spacing"/>
    <w:uiPriority w:val="1"/>
    <w:qFormat/>
    <w:rsid w:val="00EF0C83"/>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orcid.org/0000-0003-3616-670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m2591@cam.ac.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30Nd0lXbxvYSbvFrP+MisJfjhQ==">AMUW2mWVdYA+S82p7F0JIvCoiJSK2/A/8jNnQVzvB8r5dblQhpeznuIKqze9pxkff49DZDhZAi2ZY3yMmZORlEz2BsJRsAs1u8f7XMG9/qY47Bi3RjL3JwM=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Mise</dc:creator>
  <cp:lastModifiedBy>Maja Mise</cp:lastModifiedBy>
  <cp:revision>3</cp:revision>
  <dcterms:created xsi:type="dcterms:W3CDTF">2022-07-23T11:36:00Z</dcterms:created>
  <dcterms:modified xsi:type="dcterms:W3CDTF">2022-07-23T12:07:00Z</dcterms:modified>
</cp:coreProperties>
</file>