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43A6" w14:textId="612AA0AD" w:rsidR="00806D6C" w:rsidRPr="00DE7D8B" w:rsidRDefault="007A123B">
      <w:pPr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OLE_LINK12"/>
      <w:r>
        <w:rPr>
          <w:rFonts w:ascii="Times New Roman" w:hAnsi="Times New Roman" w:cs="Times New Roman"/>
          <w:b/>
          <w:bCs/>
          <w:sz w:val="22"/>
          <w:szCs w:val="24"/>
        </w:rPr>
        <w:t>Supplemental</w:t>
      </w:r>
      <w:r w:rsidR="00806D6C" w:rsidRPr="00DE7D8B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4"/>
        </w:rPr>
        <w:t>S2</w:t>
      </w:r>
    </w:p>
    <w:p w14:paraId="43BF7127" w14:textId="511E1F62" w:rsidR="00F04A12" w:rsidRPr="00DE7D8B" w:rsidRDefault="00F04A12">
      <w:pPr>
        <w:rPr>
          <w:rFonts w:ascii="Times New Roman" w:hAnsi="Times New Roman" w:cs="Times New Roman"/>
        </w:rPr>
      </w:pPr>
      <w:r w:rsidRPr="00DE7D8B">
        <w:rPr>
          <w:rFonts w:ascii="Times New Roman" w:hAnsi="Times New Roman" w:cs="Times New Roman"/>
        </w:rPr>
        <w:t>Definitions of COVID-19 diagnosis and diabetes</w:t>
      </w:r>
      <w:r w:rsidR="00DE7D8B">
        <w:rPr>
          <w:rFonts w:ascii="Times New Roman" w:hAnsi="Times New Roman" w:cs="Times New Roman"/>
        </w:rPr>
        <w:t>:</w:t>
      </w:r>
    </w:p>
    <w:p w14:paraId="0DAD6258" w14:textId="41469337" w:rsidR="00F04A12" w:rsidRPr="00F04A12" w:rsidRDefault="00F04A12" w:rsidP="00F04A12">
      <w:pPr>
        <w:ind w:firstLineChars="200" w:firstLine="420"/>
        <w:rPr>
          <w:rFonts w:ascii="Times New Roman" w:hAnsi="Times New Roman" w:cs="Times New Roman"/>
        </w:rPr>
      </w:pPr>
      <w:r w:rsidRPr="00F04A12">
        <w:rPr>
          <w:rFonts w:ascii="Times New Roman" w:hAnsi="Times New Roman" w:cs="Times New Roman"/>
        </w:rPr>
        <w:t>Diagnosis of COVID-19 was defined as the patient having a positive result on the nasopharyngeal and oropharyngeal swabs for SARS-CoV-2 by reverse transcriptase polymerase chain reaction (RT-PCR) according to the WHO interim guidance</w:t>
      </w:r>
      <w:r w:rsidR="00F77ACC">
        <w:rPr>
          <w:rFonts w:ascii="Times New Roman" w:hAnsi="Times New Roman" w:cs="Times New Roman"/>
        </w:rPr>
        <w:fldChar w:fldCharType="begin"/>
      </w:r>
      <w:r w:rsidR="00F77ACC">
        <w:rPr>
          <w:rFonts w:ascii="Times New Roman" w:hAnsi="Times New Roman" w:cs="Times New Roman"/>
        </w:rPr>
        <w:instrText xml:space="preserve"> ADDIN EN.CITE &lt;EndNote&gt;&lt;Cite&gt;&lt;Author&gt;Organization&lt;/Author&gt;&lt;Year&gt;2020&lt;/Year&gt;&lt;RecNum&gt;49&lt;/RecNum&gt;&lt;DisplayText&gt;&lt;style face="superscript"&gt;1&lt;/style&gt;&lt;/DisplayText&gt;&lt;record&gt;&lt;rec-number&gt;49&lt;/rec-number&gt;&lt;foreign-keys&gt;&lt;key app="EN" db-id="2rt5xxaaq009znee0ac5vp5jxeww9pvapdrz" timestamp="1656179304"&gt;49&lt;/key&gt;&lt;/foreign-keys&gt;&lt;ref-type name="Report"&gt;27&lt;/ref-type&gt;&lt;contributors&gt;&lt;authors&gt;&lt;author&gt;World Health Organization&lt;/author&gt;&lt;/authors&gt;&lt;/contributors&gt;&lt;titles&gt;&lt;title&gt;Clinical management of severe acute respiratory infection when novel coronavirus (‎‎‎‎‎ 2019-nCoV)‎‎‎‎‎ infection is suspected: interim guidance, 28 January 2020&lt;/title&gt;&lt;/titles&gt;&lt;dates&gt;&lt;year&gt;2020&lt;/year&gt;&lt;/dates&gt;&lt;publisher&gt;World Health Organization&lt;/publisher&gt;&lt;urls&gt;&lt;/urls&gt;&lt;research-notes&gt;RF7&lt;/research-notes&gt;&lt;/record&gt;&lt;/Cite&gt;&lt;/EndNote&gt;</w:instrText>
      </w:r>
      <w:r w:rsidR="00F77ACC">
        <w:rPr>
          <w:rFonts w:ascii="Times New Roman" w:hAnsi="Times New Roman" w:cs="Times New Roman"/>
        </w:rPr>
        <w:fldChar w:fldCharType="separate"/>
      </w:r>
      <w:r w:rsidR="00F77ACC" w:rsidRPr="00F77ACC">
        <w:rPr>
          <w:rFonts w:ascii="Times New Roman" w:hAnsi="Times New Roman" w:cs="Times New Roman"/>
          <w:noProof/>
          <w:vertAlign w:val="superscript"/>
        </w:rPr>
        <w:t>1</w:t>
      </w:r>
      <w:r w:rsidR="00F77ACC">
        <w:rPr>
          <w:rFonts w:ascii="Times New Roman" w:hAnsi="Times New Roman" w:cs="Times New Roman"/>
        </w:rPr>
        <w:fldChar w:fldCharType="end"/>
      </w:r>
      <w:r w:rsidRPr="00F04A12">
        <w:rPr>
          <w:rFonts w:ascii="Times New Roman" w:hAnsi="Times New Roman" w:cs="Times New Roman"/>
        </w:rPr>
        <w:t>.</w:t>
      </w:r>
      <w:bookmarkEnd w:id="0"/>
    </w:p>
    <w:p w14:paraId="55547178" w14:textId="308FFBB4" w:rsidR="00F807C1" w:rsidRDefault="00F04A12" w:rsidP="00F04A12">
      <w:pPr>
        <w:ind w:firstLineChars="200" w:firstLine="420"/>
        <w:rPr>
          <w:rFonts w:ascii="Times New Roman" w:hAnsi="Times New Roman" w:cs="Times New Roman"/>
        </w:rPr>
      </w:pPr>
      <w:r w:rsidRPr="00F04A12">
        <w:rPr>
          <w:rFonts w:ascii="Times New Roman" w:hAnsi="Times New Roman" w:cs="Times New Roman"/>
        </w:rPr>
        <w:t xml:space="preserve">According to the criteria of the 2022 guidelines of the American Diabetes Association, Diabetes was defined by fasting plasma glucose (FPG) ≥7.0 mmol/L or random blood glucose ≥11.0 mmol/L or glycosylated </w:t>
      </w:r>
      <w:proofErr w:type="spellStart"/>
      <w:r w:rsidRPr="00F04A12">
        <w:rPr>
          <w:rFonts w:ascii="Times New Roman" w:hAnsi="Times New Roman" w:cs="Times New Roman"/>
        </w:rPr>
        <w:t>haemoglobin</w:t>
      </w:r>
      <w:proofErr w:type="spellEnd"/>
      <w:r w:rsidRPr="00F04A12">
        <w:rPr>
          <w:rFonts w:ascii="Times New Roman" w:hAnsi="Times New Roman" w:cs="Times New Roman"/>
        </w:rPr>
        <w:t xml:space="preserve"> A1c (HbA1c) ≥6.5% at admission or the patient with a previous diagnosis of diabetes, or anti-diabetic medication use</w:t>
      </w:r>
      <w:r w:rsidR="00F77ACC">
        <w:rPr>
          <w:rFonts w:ascii="Times New Roman" w:hAnsi="Times New Roman" w:cs="Times New Roman"/>
        </w:rPr>
        <w:fldChar w:fldCharType="begin"/>
      </w:r>
      <w:r w:rsidR="00F77ACC">
        <w:rPr>
          <w:rFonts w:ascii="Times New Roman" w:hAnsi="Times New Roman" w:cs="Times New Roman"/>
        </w:rPr>
        <w:instrText xml:space="preserve"> ADDIN EN.CITE &lt;EndNote&gt;&lt;Cite&gt;&lt;Author&gt;Association&lt;/Author&gt;&lt;Year&gt;2022&lt;/Year&gt;&lt;RecNum&gt;50&lt;/RecNum&gt;&lt;DisplayText&gt;&lt;style face="superscript"&gt;2&lt;/style&gt;&lt;/DisplayText&gt;&lt;record&gt;&lt;rec-number&gt;50&lt;/rec-number&gt;&lt;foreign-keys&gt;&lt;key app="EN" db-id="2rt5xxaaq009znee0ac5vp5jxeww9pvapdrz" timestamp="1656179589"&gt;50&lt;/key&gt;&lt;/foreign-keys&gt;&lt;ref-type name="Journal Article"&gt;17&lt;/ref-type&gt;&lt;contributors&gt;&lt;authors&gt;&lt;author&gt;American Diabetes Association&lt;/author&gt;&lt;/authors&gt;&lt;/contributors&gt;&lt;titles&gt;&lt;title&gt;Standards of Medical Care in Diabetes—2022 Abridged for Primary Care Providers&lt;/title&gt;&lt;secondary-title&gt;Clinical Diabetes&lt;/secondary-title&gt;&lt;/titles&gt;&lt;periodical&gt;&lt;full-title&gt;Clinical Diabetes&lt;/full-title&gt;&lt;/periodical&gt;&lt;pages&gt;10-38&lt;/pages&gt;&lt;volume&gt;40&lt;/volume&gt;&lt;number&gt;1&lt;/number&gt;&lt;dates&gt;&lt;year&gt;2022&lt;/year&gt;&lt;/dates&gt;&lt;isbn&gt;0891-8929&lt;/isbn&gt;&lt;urls&gt;&lt;related-urls&gt;&lt;url&gt;https://doi.org/10.2337/cd22-as01&lt;/url&gt;&lt;/related-urls&gt;&lt;/urls&gt;&lt;electronic-resource-num&gt;10.2337/cd22-as01 %J Clinical Diabetes&lt;/electronic-resource-num&gt;&lt;research-notes&gt;RF8&lt;/research-notes&gt;&lt;access-date&gt;5/24/2022&lt;/access-date&gt;&lt;/record&gt;&lt;/Cite&gt;&lt;/EndNote&gt;</w:instrText>
      </w:r>
      <w:r w:rsidR="00F77ACC">
        <w:rPr>
          <w:rFonts w:ascii="Times New Roman" w:hAnsi="Times New Roman" w:cs="Times New Roman"/>
        </w:rPr>
        <w:fldChar w:fldCharType="separate"/>
      </w:r>
      <w:r w:rsidR="00F77ACC" w:rsidRPr="00F77ACC">
        <w:rPr>
          <w:rFonts w:ascii="Times New Roman" w:hAnsi="Times New Roman" w:cs="Times New Roman"/>
          <w:noProof/>
          <w:vertAlign w:val="superscript"/>
        </w:rPr>
        <w:t>2</w:t>
      </w:r>
      <w:r w:rsidR="00F77ACC">
        <w:rPr>
          <w:rFonts w:ascii="Times New Roman" w:hAnsi="Times New Roman" w:cs="Times New Roman"/>
        </w:rPr>
        <w:fldChar w:fldCharType="end"/>
      </w:r>
      <w:r w:rsidRPr="00F04A12">
        <w:rPr>
          <w:rFonts w:ascii="Times New Roman" w:hAnsi="Times New Roman" w:cs="Times New Roman"/>
        </w:rPr>
        <w:t>.</w:t>
      </w:r>
    </w:p>
    <w:p w14:paraId="1F272947" w14:textId="77777777" w:rsidR="00DE7D8B" w:rsidRDefault="00DE7D8B" w:rsidP="00DE7D8B">
      <w:pPr>
        <w:rPr>
          <w:rFonts w:ascii="Times New Roman" w:hAnsi="Times New Roman" w:cs="Times New Roman"/>
        </w:rPr>
      </w:pPr>
    </w:p>
    <w:p w14:paraId="4A32ECA2" w14:textId="77777777" w:rsidR="00ED5636" w:rsidRDefault="00ED5636" w:rsidP="00DE7D8B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sectPr w:rsidR="00ED5636" w:rsidSect="00E9737B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14:paraId="6B2A1B00" w14:textId="1E5358D8" w:rsidR="00ED5636" w:rsidRDefault="007A123B" w:rsidP="00BD10F8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</w:pPr>
      <w:bookmarkStart w:id="1" w:name="_Hlk109133623"/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lastRenderedPageBreak/>
        <w:t>Supplemental</w:t>
      </w:r>
      <w:r w:rsidR="00BD10F8" w:rsidRPr="00BD10F8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>Table S3</w:t>
      </w:r>
      <w:bookmarkEnd w:id="1"/>
    </w:p>
    <w:p w14:paraId="7CEBB64B" w14:textId="77777777" w:rsidR="00BD10F8" w:rsidRDefault="00BD10F8" w:rsidP="00BD10F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BD10F8">
        <w:rPr>
          <w:rFonts w:ascii="Times New Roman" w:eastAsia="宋体" w:hAnsi="Times New Roman" w:cs="Times New Roman"/>
          <w:color w:val="000000"/>
          <w:kern w:val="0"/>
          <w:sz w:val="22"/>
        </w:rPr>
        <w:t>Collected predictors correlated with prognosis of COVID-19 with diabetes within 24 hours on admission.</w:t>
      </w:r>
    </w:p>
    <w:tbl>
      <w:tblPr>
        <w:tblW w:w="8580" w:type="dxa"/>
        <w:tblLook w:val="04A0" w:firstRow="1" w:lastRow="0" w:firstColumn="1" w:lastColumn="0" w:noHBand="0" w:noVBand="1"/>
      </w:tblPr>
      <w:tblGrid>
        <w:gridCol w:w="3240"/>
        <w:gridCol w:w="1110"/>
        <w:gridCol w:w="4230"/>
      </w:tblGrid>
      <w:tr w:rsidR="00BD10F8" w:rsidRPr="00BD10F8" w14:paraId="7048ACED" w14:textId="77777777" w:rsidTr="00BD10F8">
        <w:trPr>
          <w:trHeight w:val="300"/>
        </w:trPr>
        <w:tc>
          <w:tcPr>
            <w:tcW w:w="3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39F943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C06BC8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97B751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</w:tr>
      <w:tr w:rsidR="00BD10F8" w:rsidRPr="00BD10F8" w14:paraId="6DD20656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F06AC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FB0A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8CB0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</w:t>
            </w:r>
          </w:p>
        </w:tc>
      </w:tr>
      <w:tr w:rsidR="00BD10F8" w:rsidRPr="00BD10F8" w14:paraId="30476130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A0AE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Alanine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aminotrans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ferase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U/L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1FF5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D6CE5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65120572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39A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Albumin, g/l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916A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80EF0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675E2C18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7D4B4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Aspartate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aminotrans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ferase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U/L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80BFB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0692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2F64ACA7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E8065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Beta-blocker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056D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06021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Routine treatment before admission</w:t>
            </w:r>
          </w:p>
        </w:tc>
      </w:tr>
      <w:tr w:rsidR="00BD10F8" w:rsidRPr="00BD10F8" w14:paraId="601023E8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5444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BMI, kg/m2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D871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5A8F9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</w:t>
            </w:r>
          </w:p>
        </w:tc>
      </w:tr>
      <w:tr w:rsidR="00BD10F8" w:rsidRPr="00BD10F8" w14:paraId="28A86BE6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E781C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 reactive protein, mg/L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2BB8B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1702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6D6A2D09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275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Cough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19404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81068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Presenting Cough</w:t>
            </w:r>
          </w:p>
        </w:tc>
      </w:tr>
      <w:tr w:rsidR="00BD10F8" w:rsidRPr="00BD10F8" w14:paraId="4FC768ED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EA882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Creatinine, mg/dl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34EF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9BF2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2C3E809B" w14:textId="77777777" w:rsidTr="00BD10F8">
        <w:trPr>
          <w:trHeight w:val="12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2E8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Diabetes treatment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3CAF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17B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Routine treatments of diabetes before admission include no treatment, only diet, oral hypoglycemic drugs, insulin, and oral hypoglycemic drugs &amp; insulin</w:t>
            </w:r>
          </w:p>
        </w:tc>
      </w:tr>
      <w:tr w:rsidR="00BD10F8" w:rsidRPr="00BD10F8" w14:paraId="361AE81F" w14:textId="77777777" w:rsidTr="00BD10F8">
        <w:trPr>
          <w:trHeight w:val="9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89711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Diabetic courses, years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8626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50E8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Diabetic courses include ≤5, 6-10, 11-15, &gt;15; the new case denied diabetes and did not take hypoglycemic drugs before admission</w:t>
            </w:r>
          </w:p>
        </w:tc>
      </w:tr>
      <w:tr w:rsidR="00BD10F8" w:rsidRPr="00BD10F8" w14:paraId="2635A982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7C501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Diarrhea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D85BC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07D5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Presenting Diarrhea</w:t>
            </w:r>
          </w:p>
        </w:tc>
      </w:tr>
      <w:tr w:rsidR="00BD10F8" w:rsidRPr="00BD10F8" w14:paraId="63315601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4A27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Dyspnea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97895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3E5B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Presenting Dyspnea</w:t>
            </w:r>
          </w:p>
        </w:tc>
      </w:tr>
      <w:tr w:rsidR="00BD10F8" w:rsidRPr="00BD10F8" w14:paraId="516EE32B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D561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Fasting plasma glucose, mmol/L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D194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0BAE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3C971120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DCBC1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Fever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6A80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8A3F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Presenting Fever</w:t>
            </w:r>
          </w:p>
        </w:tc>
      </w:tr>
      <w:tr w:rsidR="00BD10F8" w:rsidRPr="00BD10F8" w14:paraId="3B4C24EC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8BCAA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A7689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24920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Female, male</w:t>
            </w:r>
          </w:p>
        </w:tc>
      </w:tr>
      <w:tr w:rsidR="00BD10F8" w:rsidRPr="00BD10F8" w14:paraId="767D796A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3278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Glomerular filtration rate, mL/min/1.73 m2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A236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CD8F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54F72105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BBF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Glycated hemoglobin, %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3A2B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61D19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70B2DBF0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AADF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Glycated hemoglobin, %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0747C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182C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Less than 7% indicates well glucose control; greater than 7% indicates poor glucose control</w:t>
            </w:r>
          </w:p>
        </w:tc>
      </w:tr>
      <w:tr w:rsidR="00BD10F8" w:rsidRPr="00BD10F8" w14:paraId="0E5A2E5E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C89B0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Lactate dehydrogenase, U/L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AF66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AF87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35568862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196C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Loss of consciousness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26D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8B1B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Presenting Loss of consciousness</w:t>
            </w:r>
          </w:p>
        </w:tc>
      </w:tr>
      <w:tr w:rsidR="00BD10F8" w:rsidRPr="00BD10F8" w14:paraId="7CCDBEC4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AD55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Lymphocyte, %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75E38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66E99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46546C62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C679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Neutrophil / Lymphocyte ratio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74B3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F26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77551104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EC059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Neutrophil, %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5DA85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CDF08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6470B9CB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C1D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O2 Saturation, %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BF50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F5A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Vital signs on admission</w:t>
            </w:r>
          </w:p>
        </w:tc>
      </w:tr>
      <w:tr w:rsidR="00BD10F8" w:rsidRPr="00BD10F8" w14:paraId="7379D643" w14:textId="77777777" w:rsidTr="00BD10F8">
        <w:trPr>
          <w:trHeight w:val="12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48E71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Original comorbidities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95BE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27A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Comorbidity events of hypertension,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cardiovasculardisease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crebrovascular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diseases,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chronickidney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disease, Chronic respiratory disease before admission</w:t>
            </w:r>
          </w:p>
        </w:tc>
      </w:tr>
      <w:tr w:rsidR="00BD10F8" w:rsidRPr="00BD10F8" w14:paraId="0B2C8656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DADF2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Platelet count, 109/L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6DC15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5C9D4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7307BA1B" w14:textId="77777777" w:rsidTr="00BD10F8">
        <w:trPr>
          <w:trHeight w:val="6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A4D2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Potassium, </w:t>
            </w:r>
            <w:proofErr w:type="spellStart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mEq</w:t>
            </w:r>
            <w:proofErr w:type="spellEnd"/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FE9E6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16F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variable, within 24 hours on admission</w:t>
            </w:r>
          </w:p>
        </w:tc>
      </w:tr>
      <w:tr w:rsidR="00BD10F8" w:rsidRPr="00BD10F8" w14:paraId="1C87ECD0" w14:textId="77777777" w:rsidTr="00BD10F8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B819E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Pulse rate, beats/min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83BC7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A0FAC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Vital signs on admission</w:t>
            </w:r>
          </w:p>
        </w:tc>
      </w:tr>
      <w:tr w:rsidR="00BD10F8" w:rsidRPr="00BD10F8" w14:paraId="38220ECC" w14:textId="77777777" w:rsidTr="00BD10F8">
        <w:trPr>
          <w:trHeight w:val="315"/>
        </w:trPr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594AB4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37C643D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61E6BFF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D10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Routine treatment before admission</w:t>
            </w:r>
          </w:p>
        </w:tc>
      </w:tr>
      <w:tr w:rsidR="00BD10F8" w:rsidRPr="00BD10F8" w14:paraId="13458BF7" w14:textId="77777777" w:rsidTr="00BD10F8">
        <w:trPr>
          <w:trHeight w:val="300"/>
        </w:trPr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E76F0" w14:textId="77777777" w:rsidR="00BD10F8" w:rsidRPr="00BD10F8" w:rsidRDefault="00BD10F8" w:rsidP="00BD10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C= </w:t>
            </w:r>
            <w:proofErr w:type="gramStart"/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continuously  B</w:t>
            </w:r>
            <w:proofErr w:type="gramEnd"/>
            <w:r w:rsidRPr="00BD10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=binary  D=discretely  Cat.=categorical</w:t>
            </w:r>
          </w:p>
        </w:tc>
      </w:tr>
    </w:tbl>
    <w:p w14:paraId="1A700420" w14:textId="77777777" w:rsidR="00ED5636" w:rsidRDefault="00ED5636" w:rsidP="00BC34E8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sectPr w:rsidR="00ED5636" w:rsidSect="00BD10F8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08899A7D" w14:textId="38F7581F" w:rsidR="00614A91" w:rsidRPr="00614A91" w:rsidRDefault="007A123B" w:rsidP="00614A91">
      <w:pPr>
        <w:rPr>
          <w:rFonts w:ascii="Times New Roman" w:eastAsia="宋体" w:hAnsi="Times New Roman" w:cs="Times New Roman"/>
          <w:b/>
          <w:bCs/>
          <w:sz w:val="22"/>
        </w:rPr>
      </w:pPr>
      <w:r>
        <w:rPr>
          <w:rFonts w:ascii="Times New Roman" w:eastAsia="宋体" w:hAnsi="Times New Roman" w:cs="Times New Roman"/>
          <w:b/>
          <w:bCs/>
          <w:sz w:val="22"/>
        </w:rPr>
        <w:lastRenderedPageBreak/>
        <w:t>Supplemental</w:t>
      </w:r>
      <w:r w:rsidR="00614A91" w:rsidRPr="00614A91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bookmarkStart w:id="2" w:name="_Hlk109133669"/>
      <w:r>
        <w:rPr>
          <w:rFonts w:ascii="Times New Roman" w:eastAsia="宋体" w:hAnsi="Times New Roman" w:cs="Times New Roman"/>
          <w:b/>
          <w:bCs/>
          <w:sz w:val="22"/>
        </w:rPr>
        <w:t>Table S4</w:t>
      </w:r>
      <w:bookmarkEnd w:id="2"/>
    </w:p>
    <w:p w14:paraId="4ED82215" w14:textId="6EAA0C53" w:rsidR="00614A91" w:rsidRDefault="00614A91" w:rsidP="00614A91">
      <w:pPr>
        <w:rPr>
          <w:rFonts w:ascii="Times New Roman" w:eastAsia="宋体" w:hAnsi="Times New Roman" w:cs="Times New Roman"/>
          <w:sz w:val="22"/>
        </w:rPr>
      </w:pPr>
      <w:r w:rsidRPr="00614A91">
        <w:rPr>
          <w:rFonts w:ascii="Times New Roman" w:eastAsia="宋体" w:hAnsi="Times New Roman" w:cs="Times New Roman"/>
          <w:sz w:val="22"/>
        </w:rPr>
        <w:t>The description of missing data and sensitivity comparative analysis between original and complete data.</w:t>
      </w:r>
    </w:p>
    <w:p w14:paraId="252F4268" w14:textId="77777777" w:rsidR="00614A91" w:rsidRDefault="00614A91" w:rsidP="00614A91">
      <w:pPr>
        <w:rPr>
          <w:rFonts w:ascii="Times New Roman" w:eastAsia="宋体" w:hAnsi="Times New Roman" w:cs="Times New Roman"/>
          <w:sz w:val="22"/>
        </w:rPr>
      </w:pPr>
    </w:p>
    <w:tbl>
      <w:tblPr>
        <w:tblW w:w="10530" w:type="dxa"/>
        <w:jc w:val="center"/>
        <w:tblLook w:val="04A0" w:firstRow="1" w:lastRow="0" w:firstColumn="1" w:lastColumn="0" w:noHBand="0" w:noVBand="1"/>
      </w:tblPr>
      <w:tblGrid>
        <w:gridCol w:w="4170"/>
        <w:gridCol w:w="1590"/>
        <w:gridCol w:w="1875"/>
        <w:gridCol w:w="1920"/>
        <w:gridCol w:w="975"/>
      </w:tblGrid>
      <w:tr w:rsidR="00614A91" w14:paraId="6A3D54F1" w14:textId="77777777" w:rsidTr="00614A91">
        <w:trPr>
          <w:trHeight w:val="630"/>
          <w:jc w:val="center"/>
        </w:trPr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4F7228F" w14:textId="77777777" w:rsidR="00614A91" w:rsidRDefault="00614A91">
            <w:pPr>
              <w:widowControl/>
              <w:jc w:val="left"/>
            </w:pP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7F599EC" w14:textId="77777777" w:rsidR="00614A91" w:rsidRDefault="00614A9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Missing data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br/>
              <w:t>(n=96)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41EC1A3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Original data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br/>
              <w:t>(n=127)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AF747F4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Complete data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br/>
              <w:t>(n=31)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B904F40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br/>
              <w:t>value</w:t>
            </w:r>
          </w:p>
        </w:tc>
      </w:tr>
      <w:tr w:rsidR="00614A91" w14:paraId="1EFC6E85" w14:textId="77777777" w:rsidTr="00614A91">
        <w:trPr>
          <w:trHeight w:val="36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083C8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Demographic and clinical characteristics</w:t>
            </w:r>
          </w:p>
        </w:tc>
      </w:tr>
      <w:tr w:rsidR="00614A91" w14:paraId="0199D000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8962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Age, years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4DB4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80A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66.4±12.5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0E61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68.1±11.1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8664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0.448</w:t>
            </w:r>
          </w:p>
        </w:tc>
      </w:tr>
      <w:tr w:rsidR="00614A91" w14:paraId="2EC4BAA8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D47A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69C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CCF0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F7684" w14:textId="77777777" w:rsidR="00614A91" w:rsidRDefault="00614A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295AC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0.733</w:t>
            </w:r>
          </w:p>
        </w:tc>
      </w:tr>
      <w:tr w:rsidR="00614A91" w14:paraId="64058B9A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98A5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Female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CCDC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EF82E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56 (44.1%)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3A89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 (38.7%)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8A02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75BE6907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9880F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Male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57D9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0EBE5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71 (55.9%)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66D5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 (61.3%)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D381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734B5E41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3019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Diabetic courses, years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200F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15(15%)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C651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F1C3" w14:textId="77777777" w:rsidR="00614A91" w:rsidRDefault="00614A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92B7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0.129</w:t>
            </w:r>
          </w:p>
        </w:tc>
      </w:tr>
      <w:tr w:rsidR="00614A91" w14:paraId="1F1E1CFC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BD36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New case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A16E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E22EA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 (5.51%)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E5A4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(6.45%)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A258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57EB260E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AB5E7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≤5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14E4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43709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 (15.0%)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00DD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 (25.8%)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D19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15D5919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FDA9F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6-10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096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CE086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 (28.3%)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E7DA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 (32.3%)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724A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6952FFF6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F9BAF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11-15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4612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F7060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 (16.5%)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70BF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 (6.45%)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2A43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28A15D36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277BB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&gt;15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801F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7A68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 (22.8%)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4D68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 (29.0%)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6BE5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3FF29B4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A447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BMI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127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8E41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26.7 (25.0-30.4)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8BF2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26.8 (24.6-29.3)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C75D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0.565</w:t>
            </w:r>
          </w:p>
        </w:tc>
      </w:tr>
      <w:tr w:rsidR="00614A91" w14:paraId="7AEEE523" w14:textId="77777777" w:rsidTr="00614A91">
        <w:trPr>
          <w:trHeight w:val="30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C575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Original comorbidities</w:t>
            </w:r>
          </w:p>
        </w:tc>
      </w:tr>
      <w:tr w:rsidR="00614A91" w14:paraId="1D55455D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975B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Hypertension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B21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C4F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68 (53.5%)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122C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 (61.3%)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101F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0.565</w:t>
            </w:r>
          </w:p>
        </w:tc>
      </w:tr>
      <w:tr w:rsidR="00614A91" w14:paraId="4D8EC6F3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2B21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Cardiovasculardisease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6E3C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C8DB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 (30.7%)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5E2E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 (25.8%)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729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0.752</w:t>
            </w:r>
          </w:p>
        </w:tc>
      </w:tr>
      <w:tr w:rsidR="00614A91" w14:paraId="21E40050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325A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Crebrovascular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diseases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9500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0629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(12.6%)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A48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(9.68%)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EA3E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614A91" w14:paraId="7BE73104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CB38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Chronickidney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disease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06AA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796D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 (12.6%)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3066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(9.68%)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99C1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614A91" w14:paraId="28883B73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06BE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Chronic respiratory disease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43B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031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 (3.15%)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B4E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 (0.00%)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633A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614A91" w14:paraId="579B943C" w14:textId="77777777" w:rsidTr="00614A91">
        <w:trPr>
          <w:trHeight w:val="30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D83F2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Signs and Symptoms on admission</w:t>
            </w:r>
          </w:p>
        </w:tc>
      </w:tr>
      <w:tr w:rsidR="00614A91" w14:paraId="47FBBC0F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299E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Cough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770D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1935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89 (70.1%)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691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 (71.0%)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9A4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614A91" w14:paraId="44526F98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A67B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Fever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8956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8F27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53 (41.7%)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B0C8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 (48.4%)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CB1E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0.639</w:t>
            </w:r>
          </w:p>
        </w:tc>
      </w:tr>
      <w:tr w:rsidR="00614A91" w14:paraId="49463F81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FF14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Loss of consciousness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859E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F1B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 (8.66%)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E206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 (16.1%)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D774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0.315</w:t>
            </w:r>
          </w:p>
        </w:tc>
      </w:tr>
      <w:tr w:rsidR="00614A91" w14:paraId="301D08FF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F07D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Dyspnea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B892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BDA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83 (65.4%)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FD95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 (54.8%)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221F2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0.378</w:t>
            </w:r>
          </w:p>
        </w:tc>
      </w:tr>
      <w:tr w:rsidR="00614A91" w14:paraId="4476907D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EEE6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Diarrhea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E035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2495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 (8.66%)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36AD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 (9.68%)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584D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614A91" w14:paraId="5D03B1B7" w14:textId="77777777" w:rsidTr="00614A91">
        <w:trPr>
          <w:trHeight w:val="30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1D777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Vital signs on admission</w:t>
            </w:r>
          </w:p>
        </w:tc>
      </w:tr>
      <w:tr w:rsidR="00614A91" w14:paraId="676271CE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5B03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Pulse rate, beats/min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7108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9(9%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26C0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86.0 (80.0-94.8)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1A7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86.0 (80.0-93.5)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C4F1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</w:tr>
      <w:tr w:rsidR="00614A91" w14:paraId="62DC30A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4C6E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O2 Saturation, 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4D7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9(9%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E18F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90.0 (85.0-92.0)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0433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90.0 (87.0-92.0)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FC1D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0.611</w:t>
            </w:r>
          </w:p>
        </w:tc>
      </w:tr>
      <w:tr w:rsidR="00614A91" w14:paraId="2C3F965E" w14:textId="77777777" w:rsidTr="00614A91">
        <w:trPr>
          <w:trHeight w:val="30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3E89D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Laboratory findings on admission</w:t>
            </w:r>
          </w:p>
        </w:tc>
      </w:tr>
      <w:tr w:rsidR="00614A91" w14:paraId="329B1FF9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86AF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Fasting plasma glucose, mmol/L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D59C2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24(25%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25E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10.0 (8.00-14.0)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F816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11.0 (8.00-15.0)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53E7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0.845</w:t>
            </w:r>
          </w:p>
        </w:tc>
      </w:tr>
      <w:tr w:rsidR="00614A91" w14:paraId="1577FB3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64FC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Glycated hemoglobin, 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F413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11(11%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680A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8.70 (7.47-10.5)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14E3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8.70 (7.25-9.50)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1A65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0.681</w:t>
            </w:r>
          </w:p>
        </w:tc>
      </w:tr>
      <w:tr w:rsidR="00614A91" w14:paraId="38C9189C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CED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Neutrophil, 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3ED3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5(5%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0F14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74.4 (64.2-82.8)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64DB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75.0 (66.2-83.8)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8CD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0.957</w:t>
            </w:r>
          </w:p>
        </w:tc>
      </w:tr>
      <w:tr w:rsidR="00614A91" w14:paraId="0882AC6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1EB1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Lymphocyte, %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CA1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5(5%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8B98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18.3 (10.7-28.6)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34C17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17.5 (6.70-26.7)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AB73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0.598</w:t>
            </w:r>
          </w:p>
        </w:tc>
      </w:tr>
      <w:tr w:rsidR="00614A91" w14:paraId="1CD0E3CD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41A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Platelet count, 109/L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EFF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3(3%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1CA3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189 (143-252)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6B67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188 (154-236)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3701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0.943</w:t>
            </w:r>
          </w:p>
        </w:tc>
      </w:tr>
      <w:tr w:rsidR="00614A91" w14:paraId="7297264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FEC1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 reactive protein, mg/L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1062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7(7%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69B5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50.6 (27.0-75.0)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1BB1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70.4 (33.0-96.6)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FF4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0.061</w:t>
            </w:r>
          </w:p>
        </w:tc>
      </w:tr>
      <w:tr w:rsidR="00614A91" w14:paraId="3C2CEB65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5089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Albumin, g/l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7D17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28(29%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993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 .0(35.0-41.0)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3CF0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40.0 (37.0-41.0)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A44C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0.583</w:t>
            </w:r>
          </w:p>
        </w:tc>
      </w:tr>
      <w:tr w:rsidR="00614A91" w14:paraId="63BD9AE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F538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Lactate dehydrogenase, U/L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3AFE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46(48%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0905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354 (230-559)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EBF8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300 (202-462)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BC3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0.189</w:t>
            </w:r>
          </w:p>
        </w:tc>
      </w:tr>
      <w:tr w:rsidR="00614A91" w14:paraId="6A463956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D27F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Alanine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aminotrans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ferase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, U/L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460C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30(31%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208A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26.0 (20.0-35.0)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32F1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25.0 (20.5-30.0)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223D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0.513</w:t>
            </w:r>
          </w:p>
        </w:tc>
      </w:tr>
      <w:tr w:rsidR="00614A91" w14:paraId="2B382F91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27B99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Aspartate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aminotrans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ferase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, U/L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C70E1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29(30%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3287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31.5 (25.0-44.0)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4A7C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30.0 (22.0-36.0)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4BCB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0.229</w:t>
            </w:r>
          </w:p>
        </w:tc>
      </w:tr>
      <w:tr w:rsidR="00614A91" w14:paraId="0B00A6AF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58FE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Glomerular filtration rate, mL/min/1.73 m2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ECD5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16(17%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93BF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F14F" w14:textId="77777777" w:rsidR="00614A91" w:rsidRDefault="00614A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F2C3A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0.923</w:t>
            </w:r>
          </w:p>
        </w:tc>
      </w:tr>
      <w:tr w:rsidR="00614A91" w14:paraId="124F0979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7338F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&gt;90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1C05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C2603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 (4.50%)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B369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 (3.23%)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99E6A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585C39C0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B2CF0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60-90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7E60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16C18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 (31.5%)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CB9C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 (38.7%)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0A23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0935B9FB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05ACE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 xml:space="preserve">    30-60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8BC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7C75B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48 (43.2%)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7DB6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 (38.7%)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7F2A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5E69ACC9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C9192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≤30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98180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0841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 (20.7%)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B9002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 (19.4%)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9A3C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14A91" w14:paraId="63762DB2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695AE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Potassium,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8F4F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Style w:val="font21"/>
              </w:rPr>
              <w:t>3(3%</w:t>
            </w:r>
            <w:r>
              <w:rPr>
                <w:rStyle w:val="font01"/>
                <w:rFonts w:cs="Times New Roman" w:hint="default"/>
              </w:rPr>
              <w:t>）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9E5B8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4.30 (3.90-4.62)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E9CB6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4.30 (3.90-4.85)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EB5EE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0.975</w:t>
            </w:r>
          </w:p>
        </w:tc>
      </w:tr>
      <w:tr w:rsidR="00614A91" w14:paraId="43A983C6" w14:textId="77777777" w:rsidTr="00614A91">
        <w:trPr>
          <w:trHeight w:val="300"/>
          <w:jc w:val="center"/>
        </w:trPr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3F562" w14:textId="77777777" w:rsidR="00614A91" w:rsidRDefault="00614A9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Routine treatment before admission</w:t>
            </w:r>
          </w:p>
        </w:tc>
      </w:tr>
      <w:tr w:rsidR="00614A91" w14:paraId="365B8F89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10E3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Diabetes treatment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BDC54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55C2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EC1C" w14:textId="77777777" w:rsidR="00614A91" w:rsidRDefault="00614A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CD8F2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0.287</w:t>
            </w:r>
          </w:p>
        </w:tc>
      </w:tr>
      <w:tr w:rsidR="00614A91" w14:paraId="1C94CBAE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E4984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No treatment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7497B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AEFB0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 (8.66%)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2461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 (9.68%)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2773B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614A91" w14:paraId="48B8E1C8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A35D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Only diet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5CF65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240C4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 (8.66%)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6868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 (12.9%)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14962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614A91" w14:paraId="2553356E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AA3CC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Oral hypoglycemic drugs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C9C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1308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66 (52.0%)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607E7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 (64.5%)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9F544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614A91" w14:paraId="60A334F9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57D07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Insulin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A34A3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20272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 (8.66%)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48FDA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 (6.45%)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F8021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614A91" w14:paraId="7ACCC0D6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41D21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Oral hypoglycemic drugs and insulin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71AD" w14:textId="77777777" w:rsidR="00614A91" w:rsidRDefault="00614A9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BC8E5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 (22.0%)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6EB3C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 (6.45%)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B21CE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614A91" w14:paraId="4292B82D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CC41" w14:textId="77777777" w:rsidR="00614A91" w:rsidRDefault="00614A9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Statin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8C7C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07E0F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43 (33.9%)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0FFF5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 (29.0%)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8333E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0.765</w:t>
            </w:r>
          </w:p>
        </w:tc>
      </w:tr>
      <w:tr w:rsidR="00614A91" w14:paraId="425B348E" w14:textId="77777777" w:rsidTr="00614A91">
        <w:trPr>
          <w:trHeight w:val="300"/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06A7F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Beta-blocker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23CF0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A2DE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 (11.0%)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D1D21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 (0.00%)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45D8" w14:textId="77777777" w:rsidR="00614A91" w:rsidRDefault="00614A9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</w:tr>
      <w:tr w:rsidR="00023380" w14:paraId="2EE48D2E" w14:textId="77777777" w:rsidTr="00614A91">
        <w:trPr>
          <w:trHeight w:val="315"/>
          <w:jc w:val="center"/>
        </w:trPr>
        <w:tc>
          <w:tcPr>
            <w:tcW w:w="4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FFBF132" w14:textId="77777777" w:rsidR="00023380" w:rsidRDefault="00023380" w:rsidP="000233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Outcome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nonsurvivor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F60DB30" w14:textId="77777777" w:rsidR="00023380" w:rsidRDefault="00023380" w:rsidP="000233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1C599FB" w14:textId="5954AE3A" w:rsidR="00023380" w:rsidRDefault="00023380" w:rsidP="000233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 (22.8%)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4B0E7FC" w14:textId="1F0F9535" w:rsidR="00023380" w:rsidRDefault="00023380" w:rsidP="000233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 (19.4%)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1C0720F" w14:textId="11B3434E" w:rsidR="00023380" w:rsidRDefault="00023380" w:rsidP="0002338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0.859</w:t>
            </w:r>
          </w:p>
        </w:tc>
      </w:tr>
    </w:tbl>
    <w:p w14:paraId="182A06C3" w14:textId="54A05023" w:rsidR="00614A91" w:rsidRPr="00614A91" w:rsidRDefault="00614A91" w:rsidP="00614A91">
      <w:pPr>
        <w:rPr>
          <w:rFonts w:ascii="Times New Roman" w:eastAsia="宋体" w:hAnsi="Times New Roman" w:cs="Times New Roman"/>
          <w:sz w:val="22"/>
        </w:rPr>
        <w:sectPr w:rsidR="00614A91" w:rsidRPr="00614A91" w:rsidSect="00023380">
          <w:pgSz w:w="11906" w:h="16838"/>
          <w:pgMar w:top="1077" w:right="851" w:bottom="1077" w:left="851" w:header="851" w:footer="992" w:gutter="0"/>
          <w:cols w:space="425"/>
          <w:docGrid w:type="lines" w:linePitch="312"/>
        </w:sectPr>
      </w:pPr>
    </w:p>
    <w:tbl>
      <w:tblPr>
        <w:tblW w:w="13230" w:type="dxa"/>
        <w:jc w:val="center"/>
        <w:tblLook w:val="04A0" w:firstRow="1" w:lastRow="0" w:firstColumn="1" w:lastColumn="0" w:noHBand="0" w:noVBand="1"/>
      </w:tblPr>
      <w:tblGrid>
        <w:gridCol w:w="3507"/>
        <w:gridCol w:w="1330"/>
        <w:gridCol w:w="1330"/>
        <w:gridCol w:w="1330"/>
        <w:gridCol w:w="1330"/>
        <w:gridCol w:w="1330"/>
        <w:gridCol w:w="1330"/>
        <w:gridCol w:w="987"/>
        <w:gridCol w:w="756"/>
      </w:tblGrid>
      <w:tr w:rsidR="00BC34E8" w:rsidRPr="00BC34E8" w14:paraId="23E80DEB" w14:textId="77777777" w:rsidTr="00541AB7">
        <w:trPr>
          <w:trHeight w:val="300"/>
          <w:jc w:val="center"/>
        </w:trPr>
        <w:tc>
          <w:tcPr>
            <w:tcW w:w="132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B1D0" w14:textId="10953239" w:rsidR="00BC34E8" w:rsidRDefault="007A123B" w:rsidP="00BC34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Supplemental Table S5</w:t>
            </w:r>
          </w:p>
          <w:p w14:paraId="5752F0AD" w14:textId="621B4690" w:rsidR="00BC34E8" w:rsidRPr="00BC34E8" w:rsidRDefault="00BC34E8" w:rsidP="00BC34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C3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Sensitivity comparative analysis between pre-imputation and post-imputation.</w:t>
            </w:r>
          </w:p>
        </w:tc>
      </w:tr>
      <w:tr w:rsidR="00541AB7" w:rsidRPr="00541AB7" w14:paraId="35C90697" w14:textId="77777777" w:rsidTr="00541AB7">
        <w:tblPrEx>
          <w:jc w:val="left"/>
        </w:tblPrEx>
        <w:trPr>
          <w:gridAfter w:val="1"/>
          <w:wAfter w:w="756" w:type="dxa"/>
          <w:trHeight w:val="270"/>
        </w:trPr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ED130CD" w14:textId="77777777" w:rsidR="00541AB7" w:rsidRPr="00541AB7" w:rsidRDefault="00541AB7" w:rsidP="008F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A4A0D6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Original data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5F0F59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Imputation 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80AA58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Imputation 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B7C252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Imputation 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4AAE4A0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Imputation 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4B11873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Imputation 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A7D58E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541AB7" w:rsidRPr="00541AB7" w14:paraId="31AE6FB7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E92D0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Pulse rate, beats/min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2C1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86.0 (80.0-94.8)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A2B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86.0 (80.0-95.0)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DB9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86.0 (80.0-93.5)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D20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86.0 (80.0-95.0)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98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86.0 (80.0-94.5)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A34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88.8 (13.5)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3A4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0.996</w:t>
            </w:r>
          </w:p>
        </w:tc>
      </w:tr>
      <w:tr w:rsidR="00541AB7" w:rsidRPr="00541AB7" w14:paraId="61566440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0829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O2 Saturation, %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B7A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(85.0-92.0)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236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(85.0-92.0)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5CC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(85.0-92.0)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8FD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(85.0-92.0)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ED4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(85.0-92.5)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327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90.0 (85.0-93.0)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636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</w:tr>
      <w:tr w:rsidR="00541AB7" w:rsidRPr="00541AB7" w14:paraId="56278D93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0DDA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Fasting plasma glucose, mmol/L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AA9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10.0 (8.00-14.0)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F31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 (7.47-13.8)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CF8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10.1 (7.47-13.8)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688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 (7.97-13.9)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089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 (8.06-13.9)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2A2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 (7.78-14.5)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001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0.968</w:t>
            </w:r>
          </w:p>
        </w:tc>
      </w:tr>
      <w:tr w:rsidR="00541AB7" w:rsidRPr="00541AB7" w14:paraId="626F3FA5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34D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Glycated hemoglobin, %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004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8.70 (7.47-10.5)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C4B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8.70 (7.65-10.2)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66C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8.80 (7.55-10.5)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554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8.70 (7.65-10.3)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903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8.80 (7.55-10.6)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6F2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8.70 (7.55-10.5)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423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</w:t>
            </w:r>
          </w:p>
        </w:tc>
      </w:tr>
      <w:tr w:rsidR="00541AB7" w:rsidRPr="00541AB7" w14:paraId="7C46F37B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981B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Neutrophil, %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557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74.4 (64.2-82.8)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DBF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74.0 (64.5-83.0)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8B2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74.0 (63.5-83.0)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73B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74.0 (64.5-82.5)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5E6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75.0 (63.5-84.0)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089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74.0 (64.4-82.7)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F9D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41AB7" w:rsidRPr="00541AB7" w14:paraId="257C5B15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7C21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Lymphocyte, %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223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18.3 (10.7-28.6)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1F0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 (10.5-28.5)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05D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 (11.0-28.5)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E39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 (11.0-27.5)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54A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 (10.0-28.5)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1A6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17.6 (10.8-28.4)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C0C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41AB7" w:rsidRPr="00541AB7" w14:paraId="0DFCBC45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EE99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Platelet count, 109/L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A2E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 (143-252)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FEE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 (143-254)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204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 (145-254)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5CF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186 (140-250)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4E0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 (143-250)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F62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190 (145-253)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E67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</w:tr>
      <w:tr w:rsidR="00541AB7" w:rsidRPr="00541AB7" w14:paraId="0563D13D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F6B8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 reactive protein, mg/L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BFF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50.6 (27.0-75.0)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06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50.8 (27.5-75.0)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3D1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50.8 (27.5-76.0)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727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50.5 (26.5-74.0)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557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49.7 (26.5-74.0)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971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51.0 (27.5-75.0)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E4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</w:t>
            </w:r>
          </w:p>
        </w:tc>
      </w:tr>
      <w:tr w:rsidR="00541AB7" w:rsidRPr="00541AB7" w14:paraId="7D814BA3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EC3A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Albumin, g/l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149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39.0 (35.0-41.0)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E74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 (40.0-40.0)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582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 (40.0-40.0)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7CF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 (40.0-40.0)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4E1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 (40.0-40.0)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EA2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39.0 (35.0-41.0)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D3C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</w:t>
            </w:r>
          </w:p>
        </w:tc>
      </w:tr>
      <w:tr w:rsidR="00541AB7" w:rsidRPr="00541AB7" w14:paraId="62A61C65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F9DF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Lactate dehydrogenase, U/L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8FA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354 (230-559)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D6B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374 (256-570)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8E7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365 (256-558)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20F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350 (230-558)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39A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350 (247-544)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171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365 (250-570)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281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</w:tr>
      <w:tr w:rsidR="00541AB7" w:rsidRPr="00541AB7" w14:paraId="415FF649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313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Alanine </w:t>
            </w:r>
            <w:proofErr w:type="spellStart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aminotrans</w:t>
            </w:r>
            <w:proofErr w:type="spellEnd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ferase</w:t>
            </w:r>
            <w:proofErr w:type="spellEnd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U/L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2C1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26.0 (20.0-35.0)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C2F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26.0 (21.0-37.5)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9DC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26.0 (20.0-37.0)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B48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27.0 (20.0-38.0)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AC0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27.0 (20.0-37.5)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8F9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25.0 (19.5-37.0)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936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0.989</w:t>
            </w:r>
          </w:p>
        </w:tc>
      </w:tr>
      <w:tr w:rsidR="00541AB7" w:rsidRPr="00541AB7" w14:paraId="5052E0AD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826A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Aspartate </w:t>
            </w:r>
            <w:proofErr w:type="spellStart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aminotrans</w:t>
            </w:r>
            <w:proofErr w:type="spellEnd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ferase</w:t>
            </w:r>
            <w:proofErr w:type="spellEnd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U/L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061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31.5 (25.0-44.0)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A5A0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33.0 (25.0-47.5)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B0B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32.0 (24.0-45.0)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EC5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31.0 (25.0-45.0)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DF5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33.0 (25.0-45.0)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75A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31.0 (25.0-45.0)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57D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0.961</w:t>
            </w:r>
          </w:p>
        </w:tc>
      </w:tr>
      <w:tr w:rsidR="00541AB7" w:rsidRPr="00541AB7" w14:paraId="693C2F06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2357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Glomerular filtration rate, mL/min/1.73 m2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462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598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34F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701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828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ADD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BBD9" w14:textId="6F5B4992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</w:tr>
      <w:tr w:rsidR="00541AB7" w:rsidRPr="00541AB7" w14:paraId="77E8B337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4E60D" w14:textId="1C225C34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&gt;90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57A4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(4.50%)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FD0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(3.94%)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D63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(3.94%)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488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(3.94%)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5ED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(3.94%)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5AF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(3.94%)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9A4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41AB7" w:rsidRPr="00541AB7" w14:paraId="337132D7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036DF" w14:textId="6D37FB99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60-90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E67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 (31.5%)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90A8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 (32.3%)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76C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(33.1%)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03A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 (32.3%)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7A41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 (29.9%)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063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 (31.5%)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A73A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41AB7" w:rsidRPr="00541AB7" w14:paraId="2F5D82DC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8229F" w14:textId="17BC0C14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30-60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F04C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 (43.2%)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78D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 (45.7%)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92D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 (43.3%)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226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 (44.9%)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3F8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 (47.2%)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EE0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 (46.5%)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4D9E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41AB7" w:rsidRPr="00541AB7" w14:paraId="123C100B" w14:textId="77777777" w:rsidTr="00541AB7">
        <w:tblPrEx>
          <w:jc w:val="left"/>
        </w:tblPrEx>
        <w:trPr>
          <w:gridAfter w:val="1"/>
          <w:wAfter w:w="756" w:type="dxa"/>
          <w:trHeight w:val="300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2114F" w14:textId="24281988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≤30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BFF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(20.7%)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5BE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(18.1%)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FD6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 (19.7%)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ACD6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(18.9%)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8C12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(18.9%)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71F9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(18.1%)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125B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41AB7" w:rsidRPr="00541AB7" w14:paraId="6CEE1F05" w14:textId="77777777" w:rsidTr="00541AB7">
        <w:tblPrEx>
          <w:jc w:val="left"/>
        </w:tblPrEx>
        <w:trPr>
          <w:gridAfter w:val="1"/>
          <w:wAfter w:w="756" w:type="dxa"/>
          <w:trHeight w:val="315"/>
        </w:trPr>
        <w:tc>
          <w:tcPr>
            <w:tcW w:w="3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5402773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Potassium, </w:t>
            </w:r>
            <w:proofErr w:type="spellStart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9363C1F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(3.90-4.62)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0AD46D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(3.90-4.60)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2831D7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(3.90-4.60)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B0F2285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(3.90-4.65)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EAC278D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(3.90-4.65)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D7620F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4.30 (3.90-4.60)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7DB8E47" w14:textId="77777777" w:rsidR="00541AB7" w:rsidRPr="00541AB7" w:rsidRDefault="00541AB7" w:rsidP="008F17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41AB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7C815A04" w14:textId="77777777" w:rsidR="007716B2" w:rsidRDefault="007716B2" w:rsidP="00541AB7">
      <w:pPr>
        <w:jc w:val="center"/>
        <w:rPr>
          <w:rFonts w:ascii="Times New Roman" w:hAnsi="Times New Roman" w:cs="Times New Roman"/>
          <w:b/>
          <w:bCs/>
        </w:rPr>
      </w:pPr>
    </w:p>
    <w:p w14:paraId="584A5ABF" w14:textId="77777777" w:rsidR="00541AB7" w:rsidRDefault="00541AB7" w:rsidP="00541AB7">
      <w:pPr>
        <w:ind w:firstLineChars="200" w:firstLine="420"/>
        <w:rPr>
          <w:rFonts w:ascii="Times New Roman" w:hAnsi="Times New Roman" w:cs="Times New Roman"/>
          <w:b/>
          <w:bCs/>
        </w:rPr>
      </w:pPr>
    </w:p>
    <w:p w14:paraId="7F453259" w14:textId="77777777" w:rsidR="00541AB7" w:rsidRDefault="00541AB7" w:rsidP="00541AB7">
      <w:pPr>
        <w:rPr>
          <w:rFonts w:ascii="Times New Roman" w:hAnsi="Times New Roman" w:cs="Times New Roman"/>
          <w:b/>
          <w:bCs/>
        </w:rPr>
      </w:pPr>
    </w:p>
    <w:p w14:paraId="6077346F" w14:textId="37883425" w:rsidR="00541AB7" w:rsidRPr="00541AB7" w:rsidRDefault="00541AB7" w:rsidP="00541AB7">
      <w:pPr>
        <w:rPr>
          <w:rFonts w:ascii="Times New Roman" w:hAnsi="Times New Roman" w:cs="Times New Roman"/>
        </w:rPr>
        <w:sectPr w:rsidR="00541AB7" w:rsidRPr="00541AB7" w:rsidSect="00ED5636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1A0CE187" w14:textId="4F9587D3" w:rsidR="007A123B" w:rsidRDefault="007A123B" w:rsidP="007A12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Supplemental </w:t>
      </w:r>
      <w:bookmarkStart w:id="3" w:name="_Hlk109133712"/>
      <w:r>
        <w:rPr>
          <w:rFonts w:ascii="Times New Roman" w:hAnsi="Times New Roman" w:cs="Times New Roman"/>
          <w:b/>
          <w:bCs/>
        </w:rPr>
        <w:t>Figure S6</w:t>
      </w:r>
      <w:bookmarkEnd w:id="3"/>
      <w:r w:rsidRPr="002213C6">
        <w:rPr>
          <w:rFonts w:ascii="Times New Roman" w:hAnsi="Times New Roman" w:cs="Times New Roman"/>
          <w:b/>
          <w:bCs/>
        </w:rPr>
        <w:t xml:space="preserve">. </w:t>
      </w:r>
      <w:bookmarkStart w:id="4" w:name="_Hlk108902451"/>
      <w:r w:rsidRPr="002213C6">
        <w:rPr>
          <w:rFonts w:ascii="Times New Roman" w:hAnsi="Times New Roman" w:cs="Times New Roman"/>
          <w:b/>
          <w:bCs/>
        </w:rPr>
        <w:t>Texture feature selection using the least absolute shrinkage and selection operator (LASSO) binary logistic regression model.</w:t>
      </w:r>
      <w:bookmarkEnd w:id="4"/>
    </w:p>
    <w:p w14:paraId="4B77B44C" w14:textId="77777777" w:rsidR="007A123B" w:rsidRDefault="007A123B" w:rsidP="007A12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(A)</w:t>
      </w:r>
    </w:p>
    <w:p w14:paraId="4A4CB2AE" w14:textId="77777777" w:rsidR="007A123B" w:rsidRDefault="007A123B" w:rsidP="007A123B">
      <w:pPr>
        <w:jc w:val="center"/>
        <w:rPr>
          <w:rFonts w:ascii="Times New Roman" w:hAnsi="Times New Roman" w:cs="Times New Roman"/>
          <w:b/>
          <w:bCs/>
        </w:rPr>
      </w:pPr>
      <w:r w:rsidRPr="00B4486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427498F" wp14:editId="0911F406">
            <wp:extent cx="3586038" cy="324092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2" t="843" r="19612" b="-5"/>
                    <a:stretch/>
                  </pic:blipFill>
                  <pic:spPr bwMode="auto">
                    <a:xfrm>
                      <a:off x="0" y="0"/>
                      <a:ext cx="3633665" cy="32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FACB3" w14:textId="77777777" w:rsidR="007A123B" w:rsidRDefault="007A123B" w:rsidP="007A12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B)</w:t>
      </w:r>
    </w:p>
    <w:p w14:paraId="06415A06" w14:textId="77777777" w:rsidR="007A123B" w:rsidRPr="002213C6" w:rsidRDefault="007A123B" w:rsidP="007A123B">
      <w:pPr>
        <w:jc w:val="center"/>
        <w:rPr>
          <w:rFonts w:ascii="Times New Roman" w:hAnsi="Times New Roman" w:cs="Times New Roman"/>
          <w:b/>
          <w:bCs/>
        </w:rPr>
      </w:pPr>
      <w:r w:rsidRPr="00B4486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62E66D7" wp14:editId="60737738">
            <wp:extent cx="3745064" cy="3451073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1" r="20539"/>
                    <a:stretch/>
                  </pic:blipFill>
                  <pic:spPr bwMode="auto">
                    <a:xfrm>
                      <a:off x="0" y="0"/>
                      <a:ext cx="3753127" cy="345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889F0" w14:textId="77777777" w:rsidR="007A123B" w:rsidRPr="002213C6" w:rsidRDefault="007A123B" w:rsidP="007A123B">
      <w:pPr>
        <w:rPr>
          <w:rFonts w:ascii="Times New Roman" w:hAnsi="Times New Roman" w:cs="Times New Roman"/>
          <w:b/>
          <w:bCs/>
        </w:rPr>
      </w:pPr>
    </w:p>
    <w:p w14:paraId="476C1FCD" w14:textId="7B34BAA7" w:rsidR="007A123B" w:rsidRDefault="007A123B" w:rsidP="007A123B">
      <w:pPr>
        <w:rPr>
          <w:rFonts w:ascii="Times New Roman" w:hAnsi="Times New Roman" w:cs="Times New Roman"/>
          <w:b/>
          <w:bCs/>
        </w:rPr>
        <w:sectPr w:rsidR="007A123B" w:rsidSect="00C95EF6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  <w:r w:rsidRPr="00266F2E">
        <w:rPr>
          <w:rFonts w:ascii="Times New Roman" w:hAnsi="Times New Roman" w:cs="Times New Roman" w:hint="eastAsia"/>
        </w:rPr>
        <w:t>N</w:t>
      </w:r>
      <w:r w:rsidRPr="00266F2E">
        <w:rPr>
          <w:rFonts w:ascii="Times New Roman" w:hAnsi="Times New Roman" w:cs="Times New Roman"/>
        </w:rPr>
        <w:t xml:space="preserve">ote: </w:t>
      </w:r>
      <w:r w:rsidRPr="002213C6">
        <w:rPr>
          <w:rFonts w:ascii="Times New Roman" w:hAnsi="Times New Roman" w:cs="Times New Roman"/>
        </w:rPr>
        <w:t>(A) Tuning parameter (</w:t>
      </w:r>
      <w:r w:rsidRPr="002213C6">
        <w:rPr>
          <w:rFonts w:ascii="Times New Roman" w:hAnsi="Times New Roman" w:cs="Times New Roman" w:hint="eastAsia"/>
        </w:rPr>
        <w:t>λ</w:t>
      </w:r>
      <w:r w:rsidRPr="002213C6">
        <w:rPr>
          <w:rFonts w:ascii="Times New Roman" w:hAnsi="Times New Roman" w:cs="Times New Roman" w:hint="eastAsia"/>
        </w:rPr>
        <w:t>)</w:t>
      </w:r>
      <w:r w:rsidRPr="002213C6">
        <w:rPr>
          <w:rFonts w:ascii="Times New Roman" w:hAnsi="Times New Roman" w:cs="Times New Roman"/>
        </w:rPr>
        <w:t xml:space="preserve"> selection in the LASSO model used 10-fold cross-validation via minimum criteria. The area under the receiver operating characteristic (AUC) curve was plotted versus log(</w:t>
      </w:r>
      <w:r w:rsidRPr="002213C6">
        <w:rPr>
          <w:rFonts w:ascii="Times New Roman" w:hAnsi="Times New Roman" w:cs="Times New Roman" w:hint="eastAsia"/>
        </w:rPr>
        <w:t>λ</w:t>
      </w:r>
      <w:r w:rsidRPr="002213C6">
        <w:rPr>
          <w:rFonts w:ascii="Times New Roman" w:hAnsi="Times New Roman" w:cs="Times New Roman"/>
        </w:rPr>
        <w:t xml:space="preserve">). Dotted vertical lines were drawn at the optimal values by using the minimum criteria and the </w:t>
      </w:r>
      <w:r w:rsidRPr="002213C6">
        <w:rPr>
          <w:rFonts w:ascii="Times New Roman" w:hAnsi="Times New Roman" w:cs="Times New Roman" w:hint="eastAsia"/>
        </w:rPr>
        <w:t>λ</w:t>
      </w:r>
      <w:r w:rsidRPr="002213C6">
        <w:rPr>
          <w:rFonts w:ascii="Times New Roman" w:hAnsi="Times New Roman" w:cs="Times New Roman"/>
        </w:rPr>
        <w:t xml:space="preserve"> standard error of the minimum criteria (the 1-SE criteria). (B) LASSO coefficient profiles of the 79 texture features. A coefficient profile plot was produced against the log (</w:t>
      </w:r>
      <w:r w:rsidRPr="002213C6">
        <w:rPr>
          <w:rFonts w:ascii="Times New Roman" w:hAnsi="Times New Roman" w:cs="Times New Roman" w:hint="eastAsia"/>
        </w:rPr>
        <w:t>λ</w:t>
      </w:r>
      <w:r w:rsidRPr="002213C6">
        <w:rPr>
          <w:rFonts w:ascii="Times New Roman" w:hAnsi="Times New Roman" w:cs="Times New Roman"/>
        </w:rPr>
        <w:t>) sequence. Vertical line was drawn at the value selected using 10-fold cross-validation, where optimal l resulted in 23 non-zero coefficients.</w:t>
      </w:r>
    </w:p>
    <w:p w14:paraId="56DD6B72" w14:textId="5DC54923" w:rsidR="00305D00" w:rsidRDefault="007A123B" w:rsidP="00305D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</w:t>
      </w:r>
      <w:r w:rsidR="00305D00" w:rsidRPr="00305D00">
        <w:rPr>
          <w:rFonts w:ascii="Times New Roman" w:hAnsi="Times New Roman" w:cs="Times New Roman"/>
          <w:b/>
          <w:bCs/>
        </w:rPr>
        <w:t xml:space="preserve"> </w:t>
      </w:r>
      <w:bookmarkStart w:id="5" w:name="_Hlk109133741"/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 w:hint="eastAsia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gure S7</w:t>
      </w:r>
      <w:bookmarkEnd w:id="5"/>
      <w:r w:rsidR="00305D00" w:rsidRPr="00305D00">
        <w:rPr>
          <w:rFonts w:ascii="Times New Roman" w:hAnsi="Times New Roman" w:cs="Times New Roman"/>
          <w:b/>
          <w:bCs/>
        </w:rPr>
        <w:t xml:space="preserve"> </w:t>
      </w:r>
    </w:p>
    <w:p w14:paraId="3B305E66" w14:textId="16603C0D" w:rsidR="00541AB7" w:rsidRDefault="00541AB7" w:rsidP="00305D00">
      <w:pPr>
        <w:rPr>
          <w:rFonts w:ascii="Times New Roman" w:hAnsi="Times New Roman" w:cs="Times New Roman"/>
        </w:rPr>
      </w:pPr>
      <w:r w:rsidRPr="00541AB7">
        <w:rPr>
          <w:rFonts w:ascii="Times New Roman" w:hAnsi="Times New Roman" w:cs="Times New Roman"/>
        </w:rPr>
        <w:t>Calibration curves for the nomogram</w:t>
      </w:r>
      <w:r>
        <w:rPr>
          <w:rFonts w:ascii="Times New Roman" w:hAnsi="Times New Roman" w:cs="Times New Roman"/>
        </w:rPr>
        <w:t>.</w:t>
      </w:r>
    </w:p>
    <w:p w14:paraId="04EC7F3D" w14:textId="078B5D2F" w:rsidR="00541AB7" w:rsidRPr="00541AB7" w:rsidRDefault="000860BC" w:rsidP="000860BC">
      <w:pPr>
        <w:jc w:val="center"/>
        <w:rPr>
          <w:rFonts w:ascii="Times New Roman" w:hAnsi="Times New Roman" w:cs="Times New Roman"/>
        </w:rPr>
      </w:pPr>
      <w:r w:rsidRPr="000860BC">
        <w:rPr>
          <w:rFonts w:ascii="Times New Roman" w:hAnsi="Times New Roman" w:cs="Times New Roman"/>
          <w:noProof/>
        </w:rPr>
        <w:drawing>
          <wp:inline distT="0" distB="0" distL="0" distR="0" wp14:anchorId="1AEA0118" wp14:editId="5B9AE63F">
            <wp:extent cx="5731510" cy="32258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191F5" w14:textId="77777777" w:rsidR="007A123B" w:rsidRDefault="00836A0C" w:rsidP="00541AB7">
      <w:pPr>
        <w:rPr>
          <w:rFonts w:ascii="Times New Roman" w:hAnsi="Times New Roman" w:cs="Times New Roman"/>
        </w:rPr>
        <w:sectPr w:rsidR="007A123B" w:rsidSect="00C95EF6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  <w:r w:rsidRPr="00836A0C">
        <w:rPr>
          <w:rFonts w:ascii="Times New Roman" w:hAnsi="Times New Roman" w:cs="Times New Roman"/>
        </w:rPr>
        <w:t>Note: Calibration method with bootstrapping was used to illustrate the association between actual COVID-19 mortality and predicted COVID-19 mortality. Calibration plots show the apparent (actual), bias-corrected (adjusted), and ideal (100% agreement) curves with bootstrapping samples. Bootstrapping involved 1000 repetitions. Nomogram-predicted probability of COVID-19 mortality is plotted on the x-axis; the observed probability of COVID-19 mortality is plotted on the y-axis.</w:t>
      </w:r>
    </w:p>
    <w:p w14:paraId="16603B7C" w14:textId="4445B106" w:rsidR="007A123B" w:rsidRDefault="007A123B" w:rsidP="007A12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Table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8</w:t>
      </w:r>
    </w:p>
    <w:p w14:paraId="04D6C77C" w14:textId="77777777" w:rsidR="007A123B" w:rsidRDefault="007A123B" w:rsidP="007A123B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CD45C4">
        <w:rPr>
          <w:rFonts w:ascii="Times New Roman" w:hAnsi="Times New Roman" w:cs="Times New Roman"/>
          <w:b/>
          <w:bCs/>
          <w:color w:val="000000"/>
        </w:rPr>
        <w:t xml:space="preserve">Table3. </w:t>
      </w:r>
      <w:r w:rsidRPr="00CD45C4">
        <w:rPr>
          <w:rFonts w:ascii="Times New Roman" w:hAnsi="Times New Roman" w:cs="Times New Roman"/>
          <w:color w:val="000000"/>
        </w:rPr>
        <w:t>C-statistics of different groups under model sensitivity analysis.</w:t>
      </w:r>
    </w:p>
    <w:tbl>
      <w:tblPr>
        <w:tblW w:w="6225" w:type="dxa"/>
        <w:jc w:val="center"/>
        <w:tblLook w:val="04A0" w:firstRow="1" w:lastRow="0" w:firstColumn="1" w:lastColumn="0" w:noHBand="0" w:noVBand="1"/>
      </w:tblPr>
      <w:tblGrid>
        <w:gridCol w:w="2955"/>
        <w:gridCol w:w="2190"/>
        <w:gridCol w:w="1080"/>
      </w:tblGrid>
      <w:tr w:rsidR="007A123B" w:rsidRPr="00CD45C4" w14:paraId="3F0A3EC5" w14:textId="77777777" w:rsidTr="0008146F">
        <w:trPr>
          <w:trHeight w:val="315"/>
          <w:jc w:val="center"/>
        </w:trPr>
        <w:tc>
          <w:tcPr>
            <w:tcW w:w="29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EAFA5CE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Models of subtypes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378ADCB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C-statistic (95% CI)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7B03C67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7A123B" w:rsidRPr="00CD45C4" w14:paraId="1112FEFF" w14:textId="77777777" w:rsidTr="0008146F">
        <w:trPr>
          <w:trHeight w:val="285"/>
          <w:jc w:val="center"/>
        </w:trPr>
        <w:tc>
          <w:tcPr>
            <w:tcW w:w="6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CF15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Model A: Gender</w:t>
            </w:r>
          </w:p>
        </w:tc>
      </w:tr>
      <w:tr w:rsidR="007A123B" w:rsidRPr="00CD45C4" w14:paraId="4BACD43E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D301D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B9A34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0.950 (0.903-0.997)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7BCA6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16BEEA28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7213F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35BE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0.860 (0.750-0.970)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19B48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1DF3CAFE" w14:textId="77777777" w:rsidTr="0008146F">
        <w:trPr>
          <w:trHeight w:val="285"/>
          <w:jc w:val="center"/>
        </w:trPr>
        <w:tc>
          <w:tcPr>
            <w:tcW w:w="6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9C192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Model B: Age, years</w:t>
            </w:r>
          </w:p>
        </w:tc>
      </w:tr>
      <w:tr w:rsidR="007A123B" w:rsidRPr="00CD45C4" w14:paraId="40D260EC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3AA8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≤65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A0457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0.939 (0.867-1.000)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581F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7059FBB3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D1865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&gt;65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D2A6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0.911 (0.842-0.979)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72317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49A99C37" w14:textId="77777777" w:rsidTr="0008146F">
        <w:trPr>
          <w:trHeight w:val="285"/>
          <w:jc w:val="center"/>
        </w:trPr>
        <w:tc>
          <w:tcPr>
            <w:tcW w:w="6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9F3C5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Model C: Fasting plasma glucose, mmol/L</w:t>
            </w:r>
          </w:p>
        </w:tc>
      </w:tr>
      <w:tr w:rsidR="007A123B" w:rsidRPr="00CD45C4" w14:paraId="4156976C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AC70C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≤10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BB67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0.925 (0.837-1.000)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C200F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66F21753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BD803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&gt;10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AB366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0.915 (0.840-0.99)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0E65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7A123B" w:rsidRPr="00CD45C4" w14:paraId="6EA5FAA8" w14:textId="77777777" w:rsidTr="0008146F">
        <w:trPr>
          <w:trHeight w:val="285"/>
          <w:jc w:val="center"/>
        </w:trPr>
        <w:tc>
          <w:tcPr>
            <w:tcW w:w="6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5B4CC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Model D: Glycated hemoglobin, %</w:t>
            </w:r>
          </w:p>
        </w:tc>
      </w:tr>
      <w:tr w:rsidR="007A123B" w:rsidRPr="00CD45C4" w14:paraId="1FF2FB61" w14:textId="77777777" w:rsidTr="0008146F">
        <w:trPr>
          <w:trHeight w:val="300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DE54E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≤7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DF4B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0.912 (0.797-1.00)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D00C3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</w:t>
            </w:r>
          </w:p>
        </w:tc>
      </w:tr>
      <w:tr w:rsidR="007A123B" w:rsidRPr="00CD45C4" w14:paraId="71A4ECFE" w14:textId="77777777" w:rsidTr="0008146F">
        <w:trPr>
          <w:trHeight w:val="315"/>
          <w:jc w:val="center"/>
        </w:trPr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47A2771A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&gt;7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EC0097F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0.903 (0.838-0.969)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83919F0" w14:textId="77777777" w:rsidR="007A123B" w:rsidRPr="00CD45C4" w:rsidRDefault="007A123B" w:rsidP="000814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45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04AB8D46" w14:textId="39FC128B" w:rsidR="007A123B" w:rsidRPr="007A123B" w:rsidRDefault="007A123B" w:rsidP="007A123B">
      <w:pPr>
        <w:rPr>
          <w:rFonts w:ascii="Times New Roman" w:hAnsi="Times New Roman" w:cs="Times New Roman"/>
        </w:rPr>
        <w:sectPr w:rsidR="007A123B" w:rsidRPr="007A123B" w:rsidSect="00C95EF6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403C47CB" w14:textId="7445AAD0" w:rsidR="00F77ACC" w:rsidRDefault="00F77ACC" w:rsidP="00E56126">
      <w:bookmarkStart w:id="6" w:name="_Hlk108940647"/>
      <w:r w:rsidRPr="00E908CB">
        <w:rPr>
          <w:rFonts w:ascii="Times New Roman" w:hAnsi="Times New Roman"/>
          <w:b/>
          <w:bCs/>
          <w:sz w:val="20"/>
          <w:szCs w:val="20"/>
        </w:rPr>
        <w:lastRenderedPageBreak/>
        <w:t>References</w:t>
      </w:r>
    </w:p>
    <w:bookmarkEnd w:id="6"/>
    <w:p w14:paraId="742859EF" w14:textId="77777777" w:rsidR="00F77ACC" w:rsidRPr="00BC276F" w:rsidRDefault="00F77ACC" w:rsidP="00F77AC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BC276F">
        <w:rPr>
          <w:rFonts w:ascii="Times New Roman" w:hAnsi="Times New Roman" w:cs="Times New Roman"/>
          <w:szCs w:val="20"/>
        </w:rPr>
        <w:fldChar w:fldCharType="begin"/>
      </w:r>
      <w:r w:rsidRPr="00BC276F">
        <w:rPr>
          <w:rFonts w:ascii="Times New Roman" w:hAnsi="Times New Roman" w:cs="Times New Roman"/>
          <w:szCs w:val="20"/>
        </w:rPr>
        <w:instrText xml:space="preserve"> ADDIN EN.REFLIST </w:instrText>
      </w:r>
      <w:r w:rsidRPr="00BC276F">
        <w:rPr>
          <w:rFonts w:ascii="Times New Roman" w:hAnsi="Times New Roman" w:cs="Times New Roman"/>
          <w:szCs w:val="20"/>
        </w:rPr>
        <w:fldChar w:fldCharType="separate"/>
      </w:r>
      <w:r w:rsidRPr="00BC276F">
        <w:rPr>
          <w:rFonts w:ascii="Times New Roman" w:hAnsi="Times New Roman" w:cs="Times New Roman"/>
          <w:szCs w:val="20"/>
        </w:rPr>
        <w:t>1.</w:t>
      </w:r>
      <w:r w:rsidRPr="00BC276F">
        <w:rPr>
          <w:rFonts w:ascii="Times New Roman" w:hAnsi="Times New Roman" w:cs="Times New Roman"/>
          <w:szCs w:val="20"/>
        </w:rPr>
        <w:tab/>
        <w:t>Organization WH. Clinical management of severe acute respiratory infection when novel coronavirus (</w:t>
      </w:r>
      <w:r w:rsidRPr="00BC276F">
        <w:rPr>
          <w:rFonts w:ascii="Times New Roman" w:eastAsia="MS Mincho" w:hAnsi="Times New Roman" w:cs="Times New Roman"/>
          <w:szCs w:val="20"/>
        </w:rPr>
        <w:t>‎‎‎‎‎</w:t>
      </w:r>
      <w:r w:rsidRPr="00BC276F">
        <w:rPr>
          <w:rFonts w:ascii="Times New Roman" w:hAnsi="Times New Roman" w:cs="Times New Roman"/>
          <w:szCs w:val="20"/>
        </w:rPr>
        <w:t xml:space="preserve"> 2019-nCoV)</w:t>
      </w:r>
      <w:r w:rsidRPr="00BC276F">
        <w:rPr>
          <w:rFonts w:ascii="Times New Roman" w:eastAsia="MS Mincho" w:hAnsi="Times New Roman" w:cs="Times New Roman"/>
          <w:szCs w:val="20"/>
        </w:rPr>
        <w:t>‎‎‎‎‎</w:t>
      </w:r>
      <w:r w:rsidRPr="00BC276F">
        <w:rPr>
          <w:rFonts w:ascii="Times New Roman" w:hAnsi="Times New Roman" w:cs="Times New Roman"/>
          <w:szCs w:val="20"/>
        </w:rPr>
        <w:t xml:space="preserve"> infection is suspected: interim guidance, 28 January 2020. World Health Organization;2020.</w:t>
      </w:r>
    </w:p>
    <w:p w14:paraId="01CC4314" w14:textId="77777777" w:rsidR="00F77ACC" w:rsidRPr="00BC276F" w:rsidRDefault="00F77ACC" w:rsidP="00F77ACC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BC276F">
        <w:rPr>
          <w:rFonts w:ascii="Times New Roman" w:hAnsi="Times New Roman" w:cs="Times New Roman"/>
          <w:szCs w:val="20"/>
        </w:rPr>
        <w:t>2.</w:t>
      </w:r>
      <w:r w:rsidRPr="00BC276F">
        <w:rPr>
          <w:rFonts w:ascii="Times New Roman" w:hAnsi="Times New Roman" w:cs="Times New Roman"/>
          <w:szCs w:val="20"/>
        </w:rPr>
        <w:tab/>
        <w:t>Association AD. Standards of Medical Care in Diabetes—2022 Abridged for Primary Care Providers. Clinical Diabetes. 2022;40(1):10-38.</w:t>
      </w:r>
    </w:p>
    <w:p w14:paraId="166468EE" w14:textId="1F6F0980" w:rsidR="009C78DD" w:rsidRPr="00BC276F" w:rsidRDefault="00F77ACC" w:rsidP="00E56126">
      <w:pPr>
        <w:rPr>
          <w:rFonts w:ascii="Times New Roman" w:hAnsi="Times New Roman" w:cs="Times New Roman"/>
          <w:sz w:val="20"/>
          <w:szCs w:val="20"/>
        </w:rPr>
      </w:pPr>
      <w:r w:rsidRPr="00BC276F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9C78DD" w:rsidRPr="00BC276F" w:rsidSect="008F17D7">
      <w:pgSz w:w="11906" w:h="16838"/>
      <w:pgMar w:top="284" w:right="567" w:bottom="28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9E02" w14:textId="77777777" w:rsidR="00BB1E59" w:rsidRDefault="00BB1E59" w:rsidP="00806D6C">
      <w:r>
        <w:separator/>
      </w:r>
    </w:p>
  </w:endnote>
  <w:endnote w:type="continuationSeparator" w:id="0">
    <w:p w14:paraId="3AB84B53" w14:textId="77777777" w:rsidR="00BB1E59" w:rsidRDefault="00BB1E59" w:rsidP="0080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39CF" w14:textId="77777777" w:rsidR="00BB1E59" w:rsidRDefault="00BB1E59" w:rsidP="00806D6C">
      <w:r>
        <w:separator/>
      </w:r>
    </w:p>
  </w:footnote>
  <w:footnote w:type="continuationSeparator" w:id="0">
    <w:p w14:paraId="47C36209" w14:textId="77777777" w:rsidR="00BB1E59" w:rsidRDefault="00BB1E59" w:rsidP="00806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t5xxaaq009znee0ac5vp5jxeww9pvapdrz&quot;&gt;COVDM预后预测模型&lt;record-ids&gt;&lt;item&gt;49&lt;/item&gt;&lt;item&gt;50&lt;/item&gt;&lt;/record-ids&gt;&lt;/item&gt;&lt;/Libraries&gt;"/>
  </w:docVars>
  <w:rsids>
    <w:rsidRoot w:val="00BB4CA3"/>
    <w:rsid w:val="00023380"/>
    <w:rsid w:val="00026B88"/>
    <w:rsid w:val="00034DCB"/>
    <w:rsid w:val="00071991"/>
    <w:rsid w:val="000738B1"/>
    <w:rsid w:val="000860BC"/>
    <w:rsid w:val="000C42E5"/>
    <w:rsid w:val="00134583"/>
    <w:rsid w:val="001B7AC2"/>
    <w:rsid w:val="001E04B2"/>
    <w:rsid w:val="002103E2"/>
    <w:rsid w:val="00253C29"/>
    <w:rsid w:val="00266F2E"/>
    <w:rsid w:val="00305D00"/>
    <w:rsid w:val="00361BFB"/>
    <w:rsid w:val="00371696"/>
    <w:rsid w:val="003818A3"/>
    <w:rsid w:val="003C4A86"/>
    <w:rsid w:val="003D5826"/>
    <w:rsid w:val="00402654"/>
    <w:rsid w:val="004777C5"/>
    <w:rsid w:val="00487184"/>
    <w:rsid w:val="005237FF"/>
    <w:rsid w:val="00541AB7"/>
    <w:rsid w:val="005422E0"/>
    <w:rsid w:val="005430C2"/>
    <w:rsid w:val="005D47A0"/>
    <w:rsid w:val="00614A91"/>
    <w:rsid w:val="006A3E17"/>
    <w:rsid w:val="006A42FE"/>
    <w:rsid w:val="007716B2"/>
    <w:rsid w:val="007A123B"/>
    <w:rsid w:val="0080172B"/>
    <w:rsid w:val="00806D6C"/>
    <w:rsid w:val="00810F7A"/>
    <w:rsid w:val="00836A0C"/>
    <w:rsid w:val="00841AEE"/>
    <w:rsid w:val="00894A21"/>
    <w:rsid w:val="008C7638"/>
    <w:rsid w:val="008E6EE1"/>
    <w:rsid w:val="008F17D7"/>
    <w:rsid w:val="0096043B"/>
    <w:rsid w:val="0097183F"/>
    <w:rsid w:val="009C3586"/>
    <w:rsid w:val="009C78DD"/>
    <w:rsid w:val="00A03FDF"/>
    <w:rsid w:val="00A34303"/>
    <w:rsid w:val="00A37265"/>
    <w:rsid w:val="00A85E04"/>
    <w:rsid w:val="00B07916"/>
    <w:rsid w:val="00B4507A"/>
    <w:rsid w:val="00B47F9B"/>
    <w:rsid w:val="00BB1E59"/>
    <w:rsid w:val="00BB4CA3"/>
    <w:rsid w:val="00BC276F"/>
    <w:rsid w:val="00BC34E8"/>
    <w:rsid w:val="00BC5DD7"/>
    <w:rsid w:val="00BD10F8"/>
    <w:rsid w:val="00C95EF6"/>
    <w:rsid w:val="00CA15EA"/>
    <w:rsid w:val="00CC084C"/>
    <w:rsid w:val="00CC7D39"/>
    <w:rsid w:val="00CE33AD"/>
    <w:rsid w:val="00D41909"/>
    <w:rsid w:val="00D6210A"/>
    <w:rsid w:val="00D92179"/>
    <w:rsid w:val="00DE7D8B"/>
    <w:rsid w:val="00E005DA"/>
    <w:rsid w:val="00E56126"/>
    <w:rsid w:val="00E86784"/>
    <w:rsid w:val="00E9737B"/>
    <w:rsid w:val="00EA5D20"/>
    <w:rsid w:val="00ED49B6"/>
    <w:rsid w:val="00ED5636"/>
    <w:rsid w:val="00EE56A0"/>
    <w:rsid w:val="00F04A12"/>
    <w:rsid w:val="00F150FD"/>
    <w:rsid w:val="00F77ACC"/>
    <w:rsid w:val="00F807C1"/>
    <w:rsid w:val="00F876E9"/>
    <w:rsid w:val="00F91DC3"/>
    <w:rsid w:val="00FB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5BEAE"/>
  <w15:chartTrackingRefBased/>
  <w15:docId w15:val="{950260FB-4E93-47C6-AC1E-01E5771E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6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6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6D6C"/>
    <w:rPr>
      <w:sz w:val="18"/>
      <w:szCs w:val="18"/>
    </w:rPr>
  </w:style>
  <w:style w:type="character" w:customStyle="1" w:styleId="font11">
    <w:name w:val="font11"/>
    <w:basedOn w:val="a0"/>
    <w:rsid w:val="00DE7D8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DE7D8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perscript"/>
    </w:rPr>
  </w:style>
  <w:style w:type="character" w:customStyle="1" w:styleId="font41">
    <w:name w:val="font41"/>
    <w:basedOn w:val="a0"/>
    <w:rsid w:val="00DE7D8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F77AC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77AC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77AC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77ACC"/>
    <w:rPr>
      <w:rFonts w:ascii="等线" w:eastAsia="等线" w:hAnsi="等线"/>
      <w:noProof/>
      <w:sz w:val="20"/>
    </w:rPr>
  </w:style>
  <w:style w:type="character" w:customStyle="1" w:styleId="font21">
    <w:name w:val="font21"/>
    <w:basedOn w:val="a0"/>
    <w:rsid w:val="00614A9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a0"/>
    <w:rsid w:val="00614A9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FDCE-76D8-476A-8619-C1282EA4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1802</Words>
  <Characters>10275</Characters>
  <Application>Microsoft Office Word</Application>
  <DocSecurity>0</DocSecurity>
  <Lines>85</Lines>
  <Paragraphs>24</Paragraphs>
  <ScaleCrop>false</ScaleCrop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峥</dc:creator>
  <cp:keywords/>
  <dc:description/>
  <cp:lastModifiedBy>峥</cp:lastModifiedBy>
  <cp:revision>2</cp:revision>
  <dcterms:created xsi:type="dcterms:W3CDTF">2022-07-19T06:39:00Z</dcterms:created>
  <dcterms:modified xsi:type="dcterms:W3CDTF">2022-07-19T06:39:00Z</dcterms:modified>
</cp:coreProperties>
</file>