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41324" w14:textId="77777777" w:rsidR="00BD124B" w:rsidRDefault="00BD124B" w:rsidP="00BD124B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30BF01A7" w14:textId="77777777" w:rsidR="00BD124B" w:rsidRDefault="00BD124B" w:rsidP="00BD124B">
      <w:pPr>
        <w:rPr>
          <w:sz w:val="24"/>
        </w:rPr>
      </w:pPr>
    </w:p>
    <w:p w14:paraId="2AAF38A3" w14:textId="77777777" w:rsidR="00BD124B" w:rsidRDefault="00BD124B" w:rsidP="00BD124B">
      <w:pPr>
        <w:jc w:val="center"/>
        <w:rPr>
          <w:b/>
          <w:bCs/>
          <w:sz w:val="28"/>
          <w:szCs w:val="28"/>
        </w:rPr>
      </w:pPr>
      <w:r w:rsidRPr="004E33B4">
        <w:rPr>
          <w:b/>
          <w:bCs/>
          <w:sz w:val="28"/>
          <w:szCs w:val="28"/>
        </w:rPr>
        <w:t>Single-Cell Transcriptomic and Chromatin Accessibility Atlas of Peripheral Blood Mononuclear Cells Reveal the Immune Cell Heterogeneity of Pigs</w:t>
      </w:r>
    </w:p>
    <w:p w14:paraId="1F1C9E4F" w14:textId="77777777" w:rsidR="00BD124B" w:rsidRPr="00DB7E8E" w:rsidRDefault="00BD124B" w:rsidP="00BD124B">
      <w:pPr>
        <w:jc w:val="center"/>
        <w:rPr>
          <w:sz w:val="28"/>
          <w:szCs w:val="28"/>
        </w:rPr>
      </w:pPr>
    </w:p>
    <w:p w14:paraId="27F1EF0E" w14:textId="77777777" w:rsidR="00BD124B" w:rsidRPr="00DB7E8E" w:rsidRDefault="00BD124B" w:rsidP="00BD124B">
      <w:pPr>
        <w:jc w:val="center"/>
        <w:rPr>
          <w:sz w:val="24"/>
          <w:szCs w:val="24"/>
        </w:rPr>
      </w:pPr>
      <w:proofErr w:type="spellStart"/>
      <w:r w:rsidRPr="00DB7E8E">
        <w:rPr>
          <w:szCs w:val="24"/>
        </w:rPr>
        <w:t>Hairui</w:t>
      </w:r>
      <w:proofErr w:type="spellEnd"/>
      <w:r w:rsidRPr="00DB7E8E">
        <w:rPr>
          <w:szCs w:val="24"/>
        </w:rPr>
        <w:t xml:space="preserve"> Fan</w:t>
      </w:r>
      <w:r w:rsidRPr="00DB7E8E">
        <w:rPr>
          <w:szCs w:val="24"/>
          <w:vertAlign w:val="superscript"/>
        </w:rPr>
        <w:t>1†</w:t>
      </w:r>
      <w:r w:rsidRPr="00DB7E8E">
        <w:rPr>
          <w:szCs w:val="24"/>
        </w:rPr>
        <w:t>, Chao Xu</w:t>
      </w:r>
      <w:r w:rsidRPr="00DB7E8E">
        <w:rPr>
          <w:szCs w:val="24"/>
          <w:vertAlign w:val="superscript"/>
        </w:rPr>
        <w:t>1†</w:t>
      </w:r>
      <w:r w:rsidRPr="00DB7E8E">
        <w:rPr>
          <w:szCs w:val="24"/>
        </w:rPr>
        <w:t>, Cui Du</w:t>
      </w:r>
      <w:r w:rsidRPr="00DB7E8E">
        <w:rPr>
          <w:szCs w:val="24"/>
          <w:vertAlign w:val="superscript"/>
        </w:rPr>
        <w:t>2</w:t>
      </w:r>
      <w:r w:rsidRPr="00DB7E8E">
        <w:rPr>
          <w:szCs w:val="24"/>
        </w:rPr>
        <w:t xml:space="preserve">, </w:t>
      </w:r>
      <w:proofErr w:type="spellStart"/>
      <w:r w:rsidRPr="00DB7E8E">
        <w:rPr>
          <w:szCs w:val="24"/>
        </w:rPr>
        <w:t>Haifei</w:t>
      </w:r>
      <w:proofErr w:type="spellEnd"/>
      <w:r w:rsidRPr="00DB7E8E">
        <w:rPr>
          <w:szCs w:val="24"/>
        </w:rPr>
        <w:t xml:space="preserve"> Wang</w:t>
      </w:r>
      <w:r w:rsidRPr="00DB7E8E">
        <w:rPr>
          <w:szCs w:val="24"/>
          <w:vertAlign w:val="superscript"/>
        </w:rPr>
        <w:t>1</w:t>
      </w:r>
      <w:r w:rsidRPr="00DB7E8E">
        <w:rPr>
          <w:szCs w:val="24"/>
        </w:rPr>
        <w:t xml:space="preserve">, </w:t>
      </w:r>
      <w:proofErr w:type="spellStart"/>
      <w:r w:rsidRPr="00DB7E8E">
        <w:rPr>
          <w:szCs w:val="24"/>
        </w:rPr>
        <w:t>Yejun</w:t>
      </w:r>
      <w:proofErr w:type="spellEnd"/>
      <w:r w:rsidRPr="00DB7E8E">
        <w:rPr>
          <w:szCs w:val="24"/>
        </w:rPr>
        <w:t xml:space="preserve"> Wang</w:t>
      </w:r>
      <w:r w:rsidRPr="00DB7E8E">
        <w:rPr>
          <w:szCs w:val="24"/>
          <w:vertAlign w:val="superscript"/>
        </w:rPr>
        <w:t>3</w:t>
      </w:r>
      <w:r w:rsidRPr="00DB7E8E">
        <w:rPr>
          <w:szCs w:val="24"/>
        </w:rPr>
        <w:t>, Bin Zhao</w:t>
      </w:r>
      <w:r w:rsidRPr="00DB7E8E">
        <w:rPr>
          <w:szCs w:val="24"/>
          <w:vertAlign w:val="superscript"/>
        </w:rPr>
        <w:t>4</w:t>
      </w:r>
      <w:r w:rsidRPr="00DB7E8E">
        <w:rPr>
          <w:szCs w:val="24"/>
        </w:rPr>
        <w:t>, Chao Chen</w:t>
      </w:r>
      <w:r w:rsidRPr="00DB7E8E">
        <w:rPr>
          <w:szCs w:val="24"/>
          <w:vertAlign w:val="superscript"/>
        </w:rPr>
        <w:t>5</w:t>
      </w:r>
      <w:r w:rsidRPr="00DB7E8E">
        <w:rPr>
          <w:szCs w:val="24"/>
        </w:rPr>
        <w:t xml:space="preserve">, </w:t>
      </w:r>
      <w:proofErr w:type="spellStart"/>
      <w:r w:rsidRPr="00DB7E8E">
        <w:rPr>
          <w:szCs w:val="24"/>
        </w:rPr>
        <w:t>Shaobin</w:t>
      </w:r>
      <w:proofErr w:type="spellEnd"/>
      <w:r w:rsidRPr="00DB7E8E">
        <w:rPr>
          <w:szCs w:val="24"/>
        </w:rPr>
        <w:t xml:space="preserve"> Shang</w:t>
      </w:r>
      <w:r w:rsidRPr="00DB7E8E">
        <w:rPr>
          <w:szCs w:val="24"/>
          <w:vertAlign w:val="superscript"/>
        </w:rPr>
        <w:t>2</w:t>
      </w:r>
      <w:r w:rsidRPr="00DB7E8E">
        <w:rPr>
          <w:szCs w:val="24"/>
        </w:rPr>
        <w:t xml:space="preserve">, </w:t>
      </w:r>
      <w:proofErr w:type="spellStart"/>
      <w:r w:rsidRPr="00DB7E8E">
        <w:rPr>
          <w:szCs w:val="24"/>
        </w:rPr>
        <w:t>Shenglong</w:t>
      </w:r>
      <w:proofErr w:type="spellEnd"/>
      <w:r w:rsidRPr="00DB7E8E">
        <w:rPr>
          <w:szCs w:val="24"/>
        </w:rPr>
        <w:t xml:space="preserve"> Wu</w:t>
      </w:r>
      <w:r w:rsidRPr="00DB7E8E">
        <w:rPr>
          <w:szCs w:val="24"/>
          <w:vertAlign w:val="superscript"/>
        </w:rPr>
        <w:t>1</w:t>
      </w:r>
      <w:r w:rsidRPr="00DB7E8E">
        <w:rPr>
          <w:szCs w:val="24"/>
        </w:rPr>
        <w:t>, Ming-an Sun</w:t>
      </w:r>
      <w:r w:rsidRPr="00DB7E8E">
        <w:rPr>
          <w:szCs w:val="24"/>
          <w:vertAlign w:val="superscript"/>
        </w:rPr>
        <w:t>2*</w:t>
      </w:r>
      <w:r w:rsidRPr="00DB7E8E">
        <w:rPr>
          <w:szCs w:val="24"/>
        </w:rPr>
        <w:t xml:space="preserve">, </w:t>
      </w:r>
      <w:proofErr w:type="spellStart"/>
      <w:r w:rsidRPr="00DB7E8E">
        <w:rPr>
          <w:szCs w:val="24"/>
        </w:rPr>
        <w:t>Wenbin</w:t>
      </w:r>
      <w:proofErr w:type="spellEnd"/>
      <w:r w:rsidRPr="00DB7E8E">
        <w:rPr>
          <w:szCs w:val="24"/>
        </w:rPr>
        <w:t xml:space="preserve"> Bao</w:t>
      </w:r>
      <w:r w:rsidRPr="00DB7E8E">
        <w:rPr>
          <w:szCs w:val="24"/>
          <w:vertAlign w:val="superscript"/>
        </w:rPr>
        <w:t>1*</w:t>
      </w:r>
    </w:p>
    <w:p w14:paraId="076CA1F7" w14:textId="77777777" w:rsidR="00BD124B" w:rsidRPr="00DB7E8E" w:rsidRDefault="00BD124B" w:rsidP="00BD124B">
      <w:pPr>
        <w:jc w:val="center"/>
        <w:rPr>
          <w:color w:val="000000" w:themeColor="text1"/>
          <w:szCs w:val="24"/>
        </w:rPr>
      </w:pPr>
    </w:p>
    <w:p w14:paraId="6D8E24D8" w14:textId="77777777" w:rsidR="00BD124B" w:rsidRPr="00DB7E8E" w:rsidRDefault="00BD124B" w:rsidP="00BD124B">
      <w:pPr>
        <w:jc w:val="center"/>
        <w:rPr>
          <w:color w:val="000000" w:themeColor="text1"/>
        </w:rPr>
      </w:pPr>
      <w:r w:rsidRPr="00DB7E8E">
        <w:rPr>
          <w:color w:val="000000" w:themeColor="text1"/>
        </w:rPr>
        <w:t xml:space="preserve">*Corresponding author. Email: </w:t>
      </w:r>
      <w:proofErr w:type="spellStart"/>
      <w:r w:rsidRPr="00DB7E8E">
        <w:rPr>
          <w:color w:val="000000" w:themeColor="text1"/>
        </w:rPr>
        <w:t>Wenbin</w:t>
      </w:r>
      <w:proofErr w:type="spellEnd"/>
      <w:r w:rsidRPr="00DB7E8E">
        <w:rPr>
          <w:color w:val="000000" w:themeColor="text1"/>
        </w:rPr>
        <w:t xml:space="preserve"> Bao, wbbao@yzu.edu.cn; Ming-</w:t>
      </w:r>
      <w:proofErr w:type="gramStart"/>
      <w:r w:rsidRPr="00DB7E8E">
        <w:rPr>
          <w:color w:val="000000" w:themeColor="text1"/>
        </w:rPr>
        <w:t>an</w:t>
      </w:r>
      <w:proofErr w:type="gramEnd"/>
      <w:r w:rsidRPr="00DB7E8E">
        <w:rPr>
          <w:color w:val="000000" w:themeColor="text1"/>
        </w:rPr>
        <w:t xml:space="preserve"> Sun, </w:t>
      </w:r>
      <w:hyperlink r:id="rId4" w:history="1">
        <w:r w:rsidRPr="00DB7E8E">
          <w:rPr>
            <w:rStyle w:val="Hyperlink"/>
            <w:color w:val="000000" w:themeColor="text1"/>
          </w:rPr>
          <w:t>mingansun@yzu.edu.cn</w:t>
        </w:r>
      </w:hyperlink>
      <w:r w:rsidRPr="00DB7E8E">
        <w:rPr>
          <w:color w:val="000000" w:themeColor="text1"/>
        </w:rPr>
        <w:t>.</w:t>
      </w:r>
    </w:p>
    <w:p w14:paraId="01286171" w14:textId="77777777" w:rsidR="00BD124B" w:rsidRDefault="00BD124B" w:rsidP="00BD124B">
      <w:pPr>
        <w:jc w:val="center"/>
      </w:pPr>
    </w:p>
    <w:p w14:paraId="052EDFFB" w14:textId="77777777" w:rsidR="00BD124B" w:rsidRDefault="00BD124B" w:rsidP="00BD124B">
      <w:pPr>
        <w:jc w:val="center"/>
      </w:pPr>
    </w:p>
    <w:p w14:paraId="72534EF0" w14:textId="77777777" w:rsidR="00BD124B" w:rsidRDefault="00BD124B" w:rsidP="00BD124B">
      <w:pPr>
        <w:rPr>
          <w:b/>
        </w:rPr>
      </w:pPr>
      <w:r>
        <w:rPr>
          <w:b/>
        </w:rPr>
        <w:t>This file includes:</w:t>
      </w:r>
    </w:p>
    <w:p w14:paraId="01083FB7" w14:textId="77777777" w:rsidR="00BD124B" w:rsidRDefault="00BD124B" w:rsidP="00BD124B"/>
    <w:p w14:paraId="348100B6" w14:textId="77777777" w:rsidR="00BD124B" w:rsidRDefault="00BD124B" w:rsidP="00BD124B">
      <w:pPr>
        <w:ind w:left="720"/>
      </w:pPr>
      <w:r>
        <w:t>Figs. S1 to S11</w:t>
      </w:r>
    </w:p>
    <w:p w14:paraId="5405068E" w14:textId="77777777" w:rsidR="00BD124B" w:rsidRDefault="00BD124B" w:rsidP="00BD124B">
      <w:pPr>
        <w:pStyle w:val="SMcaption"/>
      </w:pPr>
      <w:r>
        <w:rPr>
          <w:rFonts w:ascii="TimesNewRomanPSMT" w:hAnsi="TimesNewRomanPSMT"/>
          <w:color w:val="000000"/>
        </w:rPr>
        <w:br/>
      </w:r>
      <w:r>
        <w:rPr>
          <w:noProof/>
        </w:rPr>
        <w:drawing>
          <wp:inline distT="0" distB="0" distL="0" distR="0" wp14:anchorId="17694405" wp14:editId="3C632EDC">
            <wp:extent cx="5943600" cy="2971800"/>
            <wp:effectExtent l="0" t="0" r="0" b="0"/>
            <wp:docPr id="18" name="图片 18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hart, bar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96304" w14:textId="77777777" w:rsidR="00BD124B" w:rsidRDefault="00BD124B" w:rsidP="00BD124B">
      <w:pPr>
        <w:pStyle w:val="SMHeading"/>
      </w:pPr>
      <w:r>
        <w:t>Figure S1. Number of genes with enriched expression in each cell cluster</w:t>
      </w:r>
    </w:p>
    <w:p w14:paraId="31B8887D" w14:textId="77777777" w:rsidR="00BD124B" w:rsidRDefault="00BD124B" w:rsidP="00BD124B">
      <w:pPr>
        <w:pStyle w:val="SMcaption"/>
        <w:jc w:val="both"/>
      </w:pPr>
      <w:r>
        <w:t xml:space="preserve">This </w:t>
      </w:r>
      <w:proofErr w:type="spellStart"/>
      <w:r>
        <w:t>barplot</w:t>
      </w:r>
      <w:proofErr w:type="spellEnd"/>
      <w:r>
        <w:t xml:space="preserve"> shows the number of genes with significantly enriched expression in each cell cluster. The gene numbers are indicated on the top of each bar.</w:t>
      </w:r>
      <w:r>
        <w:br w:type="page"/>
      </w:r>
    </w:p>
    <w:p w14:paraId="0F58FCCE" w14:textId="77777777" w:rsidR="00BD124B" w:rsidRDefault="00BD124B" w:rsidP="00BD124B">
      <w:pPr>
        <w:pStyle w:val="SMcaption"/>
        <w:jc w:val="both"/>
      </w:pPr>
      <w:r>
        <w:rPr>
          <w:noProof/>
        </w:rPr>
        <w:lastRenderedPageBreak/>
        <w:drawing>
          <wp:inline distT="0" distB="0" distL="0" distR="0" wp14:anchorId="44098CDB" wp14:editId="3D6D8CB8">
            <wp:extent cx="5943600" cy="3550920"/>
            <wp:effectExtent l="0" t="0" r="0" b="0"/>
            <wp:docPr id="17" name="图片 1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5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712B2" w14:textId="77777777" w:rsidR="00BD124B" w:rsidRDefault="00BD124B" w:rsidP="00BD124B">
      <w:pPr>
        <w:pStyle w:val="SMHeading"/>
      </w:pPr>
      <w:r>
        <w:t xml:space="preserve">Figure S2. Expression patterns of representative genes with enriched expression in </w:t>
      </w:r>
      <w:proofErr w:type="spellStart"/>
      <w:r>
        <w:t>γδ</w:t>
      </w:r>
      <w:proofErr w:type="spellEnd"/>
      <w:r>
        <w:t xml:space="preserve"> T lymphocytes </w:t>
      </w:r>
    </w:p>
    <w:p w14:paraId="32C528C8" w14:textId="77777777" w:rsidR="00BD124B" w:rsidRDefault="00BD124B" w:rsidP="00BD124B">
      <w:pPr>
        <w:pStyle w:val="SMcaption"/>
        <w:jc w:val="both"/>
      </w:pPr>
      <w:r>
        <w:t xml:space="preserve">This figure shows the expression of </w:t>
      </w:r>
      <w:r>
        <w:rPr>
          <w:i/>
          <w:iCs/>
        </w:rPr>
        <w:t>C9H1orf186</w:t>
      </w:r>
      <w:r>
        <w:t xml:space="preserve">, </w:t>
      </w:r>
      <w:r>
        <w:rPr>
          <w:i/>
          <w:iCs/>
        </w:rPr>
        <w:t>LOC100627879</w:t>
      </w:r>
      <w:r>
        <w:t xml:space="preserve">, </w:t>
      </w:r>
      <w:r>
        <w:rPr>
          <w:i/>
          <w:iCs/>
        </w:rPr>
        <w:t>SYTL3</w:t>
      </w:r>
      <w:r>
        <w:t xml:space="preserve">, </w:t>
      </w:r>
      <w:r>
        <w:rPr>
          <w:i/>
          <w:iCs/>
        </w:rPr>
        <w:t>GATA3</w:t>
      </w:r>
      <w:r>
        <w:t xml:space="preserve">, </w:t>
      </w:r>
      <w:r>
        <w:rPr>
          <w:i/>
          <w:iCs/>
        </w:rPr>
        <w:t>CD163L1</w:t>
      </w:r>
      <w:r>
        <w:t xml:space="preserve"> and </w:t>
      </w:r>
      <w:r>
        <w:rPr>
          <w:i/>
          <w:iCs/>
        </w:rPr>
        <w:t>LOC102160313</w:t>
      </w:r>
      <w:r>
        <w:t xml:space="preserve"> is restrained to a distinct subset of in </w:t>
      </w:r>
      <w:proofErr w:type="spellStart"/>
      <w:r>
        <w:t>γδ</w:t>
      </w:r>
      <w:proofErr w:type="spellEnd"/>
      <w:r>
        <w:t xml:space="preserve"> T lymphocytes. </w:t>
      </w:r>
      <w:r>
        <w:br w:type="page"/>
      </w:r>
    </w:p>
    <w:p w14:paraId="50BA4CA2" w14:textId="77777777" w:rsidR="00BD124B" w:rsidRDefault="00BD124B" w:rsidP="00BD124B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2EBC3C8C" wp14:editId="066B8833">
            <wp:extent cx="4511040" cy="3607659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988" cy="361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AC3BD" w14:textId="77777777" w:rsidR="00BD124B" w:rsidRDefault="00BD124B" w:rsidP="00BD124B">
      <w:pPr>
        <w:pStyle w:val="SMHeading"/>
        <w:jc w:val="both"/>
      </w:pPr>
      <w:r>
        <w:t xml:space="preserve">Figure S3. Variation of the proportions of each cell cluster in PBMCs of Duroc and </w:t>
      </w:r>
      <w:proofErr w:type="spellStart"/>
      <w:r>
        <w:t>Meishan</w:t>
      </w:r>
      <w:proofErr w:type="spellEnd"/>
      <w:r>
        <w:t xml:space="preserve"> pigs</w:t>
      </w:r>
    </w:p>
    <w:p w14:paraId="1BD3D7D2" w14:textId="77777777" w:rsidR="00BD124B" w:rsidRDefault="00BD124B" w:rsidP="00BD124B">
      <w:pPr>
        <w:pStyle w:val="SMcaption"/>
        <w:jc w:val="both"/>
      </w:pPr>
      <w:r>
        <w:t xml:space="preserve">This figure shows the proportion differences of each cell cluster between the PBMCs of Duroc and </w:t>
      </w:r>
      <w:proofErr w:type="spellStart"/>
      <w:r>
        <w:t>Meishan</w:t>
      </w:r>
      <w:proofErr w:type="spellEnd"/>
      <w:r>
        <w:t xml:space="preserve"> pigs. The x-axis indicates the log2fold of the proportion between </w:t>
      </w:r>
      <w:proofErr w:type="spellStart"/>
      <w:r>
        <w:t>Meishan</w:t>
      </w:r>
      <w:proofErr w:type="spellEnd"/>
      <w:r>
        <w:t xml:space="preserve"> and Duroc pigs, and y-axis indicates the –log10(adjusted-p-value). The cluster annotations for several most variable cell clusters are labelled.</w:t>
      </w:r>
    </w:p>
    <w:p w14:paraId="290B4292" w14:textId="77777777" w:rsidR="00BD124B" w:rsidRDefault="00BD124B" w:rsidP="00BD124B">
      <w:pPr>
        <w:sectPr w:rsidR="00BD124B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3005A61E" w14:textId="77777777" w:rsidR="00BD124B" w:rsidRDefault="00BD124B" w:rsidP="00BD124B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6654CEFD" wp14:editId="5E959E2B">
            <wp:extent cx="5843930" cy="3276597"/>
            <wp:effectExtent l="0" t="0" r="0" b="0"/>
            <wp:docPr id="9" name="图片 9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499" cy="3287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2A6E3" w14:textId="77777777" w:rsidR="00BD124B" w:rsidRDefault="00BD124B" w:rsidP="00BD124B">
      <w:pPr>
        <w:pStyle w:val="SMHeading"/>
      </w:pPr>
      <w:r>
        <w:t xml:space="preserve">Figure S4. GO enrichment results for the DEGs of </w:t>
      </w:r>
      <w:proofErr w:type="spellStart"/>
      <w:r>
        <w:t>γδ</w:t>
      </w:r>
      <w:proofErr w:type="spellEnd"/>
      <w:r>
        <w:t xml:space="preserve"> T lymphocytes between Duroc and </w:t>
      </w:r>
      <w:proofErr w:type="spellStart"/>
      <w:r>
        <w:t>Meishan</w:t>
      </w:r>
      <w:proofErr w:type="spellEnd"/>
      <w:r>
        <w:t xml:space="preserve"> pigs</w:t>
      </w:r>
    </w:p>
    <w:p w14:paraId="3D893213" w14:textId="77777777" w:rsidR="00BD124B" w:rsidRDefault="00BD124B" w:rsidP="00BD124B">
      <w:pPr>
        <w:pStyle w:val="SMcaption"/>
        <w:jc w:val="both"/>
      </w:pPr>
      <w:r>
        <w:t xml:space="preserve">This figure shows the GO enrichment results for the genes overexpressed in the </w:t>
      </w:r>
      <w:proofErr w:type="spellStart"/>
      <w:r>
        <w:t>γδ</w:t>
      </w:r>
      <w:proofErr w:type="spellEnd"/>
      <w:r>
        <w:t xml:space="preserve"> T lymphocytes of </w:t>
      </w:r>
      <w:proofErr w:type="spellStart"/>
      <w:r>
        <w:t>Meishan</w:t>
      </w:r>
      <w:proofErr w:type="spellEnd"/>
      <w:r>
        <w:t xml:space="preserve"> (a) and Duroc (b) pigs, respectively. DR, Duroc pigs; MS, </w:t>
      </w:r>
      <w:proofErr w:type="spellStart"/>
      <w:r>
        <w:t>Meishan</w:t>
      </w:r>
      <w:proofErr w:type="spellEnd"/>
      <w:r>
        <w:t xml:space="preserve"> pigs.</w:t>
      </w:r>
      <w:r>
        <w:br w:type="page"/>
      </w:r>
    </w:p>
    <w:p w14:paraId="5352D40D" w14:textId="77777777" w:rsidR="00BD124B" w:rsidRDefault="00BD124B" w:rsidP="00BD124B">
      <w:pPr>
        <w:pStyle w:val="SMcaption"/>
        <w:jc w:val="both"/>
      </w:pPr>
      <w:r>
        <w:rPr>
          <w:noProof/>
        </w:rPr>
        <w:lastRenderedPageBreak/>
        <w:drawing>
          <wp:inline distT="0" distB="0" distL="0" distR="0" wp14:anchorId="2CE1C4CB" wp14:editId="6C476C2C">
            <wp:extent cx="8227604" cy="4831080"/>
            <wp:effectExtent l="0" t="0" r="0" b="0"/>
            <wp:docPr id="8" name="图片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2067" cy="4863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DC5B3" w14:textId="77777777" w:rsidR="00BD124B" w:rsidRDefault="00BD124B" w:rsidP="00BD124B">
      <w:pPr>
        <w:pStyle w:val="SMHeading"/>
      </w:pPr>
      <w:r>
        <w:t>Figure S5. Expression of CKB and LIX1 in the immune cells of human based on Human Protein Atlas data</w:t>
      </w:r>
    </w:p>
    <w:p w14:paraId="5EB628BC" w14:textId="77777777" w:rsidR="00BD124B" w:rsidRDefault="00BD124B" w:rsidP="00BD124B">
      <w:pPr>
        <w:pStyle w:val="SMcaption"/>
      </w:pPr>
      <w:r>
        <w:t xml:space="preserve">This figure shows the expression of </w:t>
      </w:r>
      <w:r>
        <w:rPr>
          <w:i/>
          <w:iCs/>
        </w:rPr>
        <w:t>CKB</w:t>
      </w:r>
      <w:r>
        <w:t xml:space="preserve"> (a) and </w:t>
      </w:r>
      <w:r>
        <w:rPr>
          <w:i/>
          <w:iCs/>
        </w:rPr>
        <w:t>LIX1</w:t>
      </w:r>
      <w:r>
        <w:t xml:space="preserve"> (b) in different types of human immune cells based on Human Protein Atlas database.</w:t>
      </w:r>
    </w:p>
    <w:p w14:paraId="0D45A3CB" w14:textId="77777777" w:rsidR="00BD124B" w:rsidRDefault="00BD124B" w:rsidP="00BD124B">
      <w:pPr>
        <w:sectPr w:rsidR="00BD124B" w:rsidSect="00D83A74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272"/>
        </w:sectPr>
      </w:pPr>
    </w:p>
    <w:p w14:paraId="43A96103" w14:textId="77777777" w:rsidR="00BD124B" w:rsidRDefault="00BD124B" w:rsidP="00BD124B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0B0DB851" wp14:editId="2864B74C">
            <wp:extent cx="4122420" cy="3678467"/>
            <wp:effectExtent l="0" t="0" r="0" b="0"/>
            <wp:docPr id="7" name="图片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545" cy="368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B87C1" w14:textId="77777777" w:rsidR="00BD124B" w:rsidRDefault="00BD124B" w:rsidP="00BD124B">
      <w:pPr>
        <w:pStyle w:val="SMHeading"/>
      </w:pPr>
      <w:r>
        <w:t>Figure S6. Expression pattern of FoxP3 in T lymphocytes based on re-clustering analysis</w:t>
      </w:r>
    </w:p>
    <w:p w14:paraId="7393E4E1" w14:textId="77777777" w:rsidR="00BD124B" w:rsidRDefault="00BD124B" w:rsidP="00BD124B">
      <w:pPr>
        <w:pStyle w:val="SMcaption"/>
      </w:pPr>
      <w:r>
        <w:t xml:space="preserve">This figure shows the expression of </w:t>
      </w:r>
      <w:r>
        <w:rPr>
          <w:i/>
          <w:iCs/>
        </w:rPr>
        <w:t>FOXP3</w:t>
      </w:r>
      <w:r>
        <w:t xml:space="preserve"> is restrained to a distinct subset of T lymphocytes.</w:t>
      </w:r>
    </w:p>
    <w:p w14:paraId="0BC08FEA" w14:textId="77777777" w:rsidR="00BD124B" w:rsidRDefault="00BD124B" w:rsidP="00BD124B">
      <w:pPr>
        <w:sectPr w:rsidR="00BD124B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755DC75E" w14:textId="77777777" w:rsidR="00BD124B" w:rsidRDefault="00BD124B" w:rsidP="00BD124B">
      <w:pPr>
        <w:pStyle w:val="SMcaption"/>
      </w:pPr>
      <w:r>
        <w:rPr>
          <w:noProof/>
        </w:rPr>
        <w:lastRenderedPageBreak/>
        <w:drawing>
          <wp:inline distT="0" distB="0" distL="0" distR="0" wp14:anchorId="3AD8971B" wp14:editId="2229BF00">
            <wp:extent cx="5909926" cy="1713626"/>
            <wp:effectExtent l="0" t="0" r="0" b="0"/>
            <wp:docPr id="6" name="图片 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758" cy="172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6464E" w14:textId="77777777" w:rsidR="00BD124B" w:rsidRDefault="00BD124B" w:rsidP="00BD124B">
      <w:pPr>
        <w:pStyle w:val="SMHeading"/>
      </w:pPr>
      <w:r>
        <w:t>Figure S7. Distribution of CD4</w:t>
      </w:r>
      <w:r w:rsidRPr="00026847">
        <w:rPr>
          <w:vertAlign w:val="superscript"/>
        </w:rPr>
        <w:t>+</w:t>
      </w:r>
      <w:r>
        <w:t>CD8</w:t>
      </w:r>
      <w:r w:rsidRPr="00026847">
        <w:rPr>
          <w:vertAlign w:val="superscript"/>
        </w:rPr>
        <w:t>+</w:t>
      </w:r>
      <w:r>
        <w:t xml:space="preserve"> T lymphocytes based on re-clustering analysis</w:t>
      </w:r>
    </w:p>
    <w:p w14:paraId="50B3DA34" w14:textId="77777777" w:rsidR="00BD124B" w:rsidRDefault="00BD124B" w:rsidP="00BD124B">
      <w:pPr>
        <w:pStyle w:val="SMcaption"/>
      </w:pPr>
      <w:r>
        <w:t xml:space="preserve">This figure shows the expression of </w:t>
      </w:r>
      <w:r>
        <w:rPr>
          <w:i/>
          <w:iCs/>
        </w:rPr>
        <w:t>C</w:t>
      </w:r>
      <w:r>
        <w:rPr>
          <w:i/>
          <w:iCs/>
          <w:lang w:eastAsia="zh-CN"/>
        </w:rPr>
        <w:t>D4</w:t>
      </w:r>
      <w:r>
        <w:rPr>
          <w:lang w:eastAsia="zh-CN"/>
        </w:rPr>
        <w:t xml:space="preserve">, </w:t>
      </w:r>
      <w:r>
        <w:rPr>
          <w:i/>
          <w:iCs/>
          <w:lang w:eastAsia="zh-CN"/>
        </w:rPr>
        <w:t>CD8A</w:t>
      </w:r>
      <w:r>
        <w:rPr>
          <w:lang w:eastAsia="zh-CN"/>
        </w:rPr>
        <w:t xml:space="preserve"> and </w:t>
      </w:r>
      <w:r>
        <w:rPr>
          <w:i/>
          <w:iCs/>
          <w:lang w:eastAsia="zh-CN"/>
        </w:rPr>
        <w:t>CD8B</w:t>
      </w:r>
      <w:r>
        <w:rPr>
          <w:i/>
          <w:iCs/>
        </w:rPr>
        <w:t xml:space="preserve"> </w:t>
      </w:r>
      <w:r>
        <w:t>is restrained to a distinct subset of T lymphocytes.</w:t>
      </w:r>
    </w:p>
    <w:p w14:paraId="1EC6DBC1" w14:textId="77777777" w:rsidR="00BD124B" w:rsidRDefault="00BD124B" w:rsidP="00BD124B">
      <w:pPr>
        <w:pStyle w:val="SMcaption"/>
      </w:pPr>
    </w:p>
    <w:p w14:paraId="4DE92CF1" w14:textId="77777777" w:rsidR="00BD124B" w:rsidRDefault="00BD124B" w:rsidP="00BD124B">
      <w:pPr>
        <w:pStyle w:val="SMcaption"/>
      </w:pPr>
    </w:p>
    <w:p w14:paraId="056DEB60" w14:textId="77777777" w:rsidR="00BD124B" w:rsidRDefault="00BD124B" w:rsidP="00BD124B">
      <w:pPr>
        <w:pStyle w:val="SMcaption"/>
        <w:jc w:val="center"/>
      </w:pPr>
      <w:r>
        <w:rPr>
          <w:noProof/>
        </w:rPr>
        <w:drawing>
          <wp:inline distT="0" distB="0" distL="0" distR="0" wp14:anchorId="369134D3" wp14:editId="7BA4439D">
            <wp:extent cx="2918460" cy="2646861"/>
            <wp:effectExtent l="0" t="0" r="0" b="0"/>
            <wp:docPr id="5" name="图片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747" cy="2650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B82D6" w14:textId="77777777" w:rsidR="00BD124B" w:rsidRDefault="00BD124B" w:rsidP="00BD124B">
      <w:pPr>
        <w:pStyle w:val="SMHeading"/>
      </w:pPr>
      <w:r>
        <w:t>Figure S8. Expression pattern of CR2 in B lymphocytes based on re-clustering analysis</w:t>
      </w:r>
    </w:p>
    <w:p w14:paraId="3A073817" w14:textId="77777777" w:rsidR="00BD124B" w:rsidRDefault="00BD124B" w:rsidP="00BD124B">
      <w:pPr>
        <w:pStyle w:val="SMcaption"/>
      </w:pPr>
      <w:r>
        <w:t xml:space="preserve">This figure shows the expression of </w:t>
      </w:r>
      <w:r>
        <w:rPr>
          <w:i/>
          <w:iCs/>
        </w:rPr>
        <w:t>CR2</w:t>
      </w:r>
      <w:r>
        <w:t xml:space="preserve"> is restrained to a distinct subset of T lymphocytes.</w:t>
      </w:r>
      <w:r>
        <w:br w:type="page"/>
      </w:r>
    </w:p>
    <w:p w14:paraId="41FF96DC" w14:textId="77777777" w:rsidR="00BD124B" w:rsidRDefault="00BD124B" w:rsidP="00BD124B">
      <w:pPr>
        <w:sectPr w:rsidR="00BD124B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54B3ADC" w14:textId="77777777" w:rsidR="00BD124B" w:rsidRDefault="00BD124B" w:rsidP="00BD124B">
      <w:pPr>
        <w:pStyle w:val="SMcaption"/>
        <w:jc w:val="both"/>
      </w:pPr>
      <w:r>
        <w:rPr>
          <w:noProof/>
        </w:rPr>
        <w:lastRenderedPageBreak/>
        <w:drawing>
          <wp:inline distT="0" distB="0" distL="0" distR="0" wp14:anchorId="67C2CA61" wp14:editId="36DADE41">
            <wp:extent cx="8186031" cy="29184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6031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DC198" w14:textId="77777777" w:rsidR="00BD124B" w:rsidRDefault="00BD124B" w:rsidP="00BD124B">
      <w:pPr>
        <w:pStyle w:val="SMHeading"/>
      </w:pPr>
      <w:r>
        <w:t xml:space="preserve">Figure S9. Clustering of PBMCs based on </w:t>
      </w:r>
      <w:proofErr w:type="spellStart"/>
      <w:r>
        <w:t>scATAC</w:t>
      </w:r>
      <w:proofErr w:type="spellEnd"/>
      <w:r>
        <w:t>-seq data</w:t>
      </w:r>
    </w:p>
    <w:p w14:paraId="3A98BC7C" w14:textId="77777777" w:rsidR="00BD124B" w:rsidRDefault="00BD124B" w:rsidP="00BD124B">
      <w:pPr>
        <w:pStyle w:val="SMcaption"/>
        <w:jc w:val="both"/>
      </w:pPr>
      <w:r>
        <w:t xml:space="preserve">UMAP visualization of PBMCs based on </w:t>
      </w:r>
      <w:proofErr w:type="spellStart"/>
      <w:r>
        <w:t>scATAC</w:t>
      </w:r>
      <w:proofErr w:type="spellEnd"/>
      <w:r>
        <w:t>-seq data (a). Plots show the expression distribution of canonical immune cell markers (b).</w:t>
      </w:r>
    </w:p>
    <w:p w14:paraId="1083B9D7" w14:textId="77777777" w:rsidR="00BD124B" w:rsidRDefault="00BD124B" w:rsidP="00BD124B">
      <w:pPr>
        <w:sectPr w:rsidR="00BD124B">
          <w:pgSz w:w="15840" w:h="12240" w:orient="landscape"/>
          <w:pgMar w:top="1440" w:right="1440" w:bottom="1440" w:left="1440" w:header="720" w:footer="720" w:gutter="0"/>
          <w:pgNumType w:start="1"/>
          <w:cols w:space="720"/>
        </w:sectPr>
      </w:pPr>
    </w:p>
    <w:p w14:paraId="287D29F3" w14:textId="77777777" w:rsidR="00BD124B" w:rsidRDefault="00BD124B" w:rsidP="00BD124B">
      <w:pPr>
        <w:pStyle w:val="SMcaption"/>
        <w:jc w:val="both"/>
      </w:pPr>
      <w:r>
        <w:rPr>
          <w:noProof/>
        </w:rPr>
        <w:lastRenderedPageBreak/>
        <w:drawing>
          <wp:inline distT="0" distB="0" distL="0" distR="0" wp14:anchorId="058D367D" wp14:editId="157008D8">
            <wp:extent cx="8142411" cy="4023360"/>
            <wp:effectExtent l="0" t="0" r="0" b="0"/>
            <wp:docPr id="3" name="图片 3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 picture containing 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2411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F15A2" w14:textId="77777777" w:rsidR="00BD124B" w:rsidRDefault="00BD124B" w:rsidP="00BD124B">
      <w:pPr>
        <w:pStyle w:val="SMHeading"/>
      </w:pPr>
      <w:r>
        <w:t xml:space="preserve">Figure S10. Clustering of PBMCs based on </w:t>
      </w:r>
      <w:proofErr w:type="spellStart"/>
      <w:r>
        <w:t>scATAC</w:t>
      </w:r>
      <w:proofErr w:type="spellEnd"/>
      <w:r>
        <w:t>-seq data</w:t>
      </w:r>
    </w:p>
    <w:p w14:paraId="11ADD733" w14:textId="77777777" w:rsidR="00BD124B" w:rsidRDefault="00BD124B" w:rsidP="00BD124B">
      <w:pPr>
        <w:pStyle w:val="SMcaption"/>
        <w:jc w:val="both"/>
      </w:pPr>
      <w:r>
        <w:t xml:space="preserve">This figure demonstrates the top 10 enriched motifs for each cell cluster based on </w:t>
      </w:r>
      <w:proofErr w:type="spellStart"/>
      <w:r>
        <w:t>scATAC</w:t>
      </w:r>
      <w:proofErr w:type="spellEnd"/>
      <w:r>
        <w:t>-Seq data.</w:t>
      </w:r>
    </w:p>
    <w:p w14:paraId="55256FDB" w14:textId="77777777" w:rsidR="00BD124B" w:rsidRDefault="00BD124B" w:rsidP="00BD124B">
      <w:pPr>
        <w:sectPr w:rsidR="00BD124B">
          <w:pgSz w:w="15840" w:h="12240" w:orient="landscape"/>
          <w:pgMar w:top="1440" w:right="1440" w:bottom="1440" w:left="1440" w:header="720" w:footer="720" w:gutter="0"/>
          <w:pgNumType w:start="1"/>
          <w:cols w:space="720"/>
        </w:sectPr>
      </w:pPr>
    </w:p>
    <w:p w14:paraId="18410478" w14:textId="77777777" w:rsidR="00BD124B" w:rsidRDefault="00BD124B" w:rsidP="00BD124B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060FF920" wp14:editId="2DD4EC03">
            <wp:extent cx="4975860" cy="7463790"/>
            <wp:effectExtent l="0" t="0" r="0" b="0"/>
            <wp:docPr id="2" name="图片 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746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53641" w14:textId="77777777" w:rsidR="00BD124B" w:rsidRDefault="00BD124B" w:rsidP="00BD124B">
      <w:pPr>
        <w:pStyle w:val="SMHeading"/>
        <w:jc w:val="both"/>
      </w:pPr>
      <w:r>
        <w:lastRenderedPageBreak/>
        <w:t xml:space="preserve">Figure S11. Heterogeneity of PBMCs by integration analysis of Porcine and Human </w:t>
      </w:r>
      <w:proofErr w:type="spellStart"/>
      <w:r>
        <w:t>scRNA</w:t>
      </w:r>
      <w:proofErr w:type="spellEnd"/>
      <w:r>
        <w:t>-seq Datasets</w:t>
      </w:r>
    </w:p>
    <w:p w14:paraId="0D0F1A1B" w14:textId="77777777" w:rsidR="00BD124B" w:rsidRDefault="00BD124B" w:rsidP="00BD124B">
      <w:pPr>
        <w:pStyle w:val="SMcaption"/>
        <w:jc w:val="both"/>
      </w:pPr>
      <w:r>
        <w:t>Heatmap for the expression pattern of the top 10 genes with enriched expression in each cluster. Color indicates the normalized expression value</w:t>
      </w:r>
      <w:r>
        <w:rPr>
          <w:lang w:eastAsia="zh-CN"/>
        </w:rPr>
        <w:t>.</w:t>
      </w:r>
      <w:r>
        <w:t xml:space="preserve"> </w:t>
      </w:r>
    </w:p>
    <w:p w14:paraId="06715F9F" w14:textId="77777777" w:rsidR="0053089F" w:rsidRDefault="0053089F"/>
    <w:sectPr w:rsidR="005308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4B"/>
    <w:rsid w:val="0053089F"/>
    <w:rsid w:val="00BD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7EAB8"/>
  <w15:chartTrackingRefBased/>
  <w15:docId w15:val="{F5E6813A-D3A0-4CDD-A461-6D9C0B407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24B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124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BD124B"/>
    <w:rPr>
      <w:color w:val="0000FF"/>
      <w:u w:val="single"/>
    </w:rPr>
  </w:style>
  <w:style w:type="paragraph" w:customStyle="1" w:styleId="SMHeading">
    <w:name w:val="SM Heading"/>
    <w:basedOn w:val="Heading1"/>
    <w:qFormat/>
    <w:rsid w:val="00BD124B"/>
    <w:pPr>
      <w:keepLines w:val="0"/>
      <w:spacing w:after="60"/>
    </w:pPr>
    <w:rPr>
      <w:rFonts w:ascii="Times New Roman" w:eastAsiaTheme="minorEastAsia" w:hAnsi="Times New Roman" w:cs="Times New Roman"/>
      <w:b/>
      <w:bCs/>
      <w:color w:val="auto"/>
      <w:kern w:val="32"/>
      <w:sz w:val="24"/>
      <w:szCs w:val="24"/>
    </w:rPr>
  </w:style>
  <w:style w:type="paragraph" w:customStyle="1" w:styleId="SMcaption">
    <w:name w:val="SM caption"/>
    <w:basedOn w:val="Normal"/>
    <w:qFormat/>
    <w:rsid w:val="00BD124B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D12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4" Type="http://schemas.openxmlformats.org/officeDocument/2006/relationships/hyperlink" Target="mailto:mingansun@yzu.edu.cn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462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2022-07-25T19:35:00Z</dcterms:created>
  <dcterms:modified xsi:type="dcterms:W3CDTF">2022-07-25T19:35:00Z</dcterms:modified>
</cp:coreProperties>
</file>