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A7B5B" w14:textId="11C86477" w:rsidR="00EC00EB" w:rsidRDefault="00303AF1" w:rsidP="00C10BAA">
      <w:pPr>
        <w:jc w:val="center"/>
        <w:rPr>
          <w:lang w:val="en-US"/>
        </w:rPr>
      </w:pPr>
      <w:r>
        <w:rPr>
          <w:lang w:val="en-US"/>
        </w:rPr>
        <w:t xml:space="preserve"> </w:t>
      </w:r>
      <w:r w:rsidR="00A54127" w:rsidRPr="00A54127">
        <w:rPr>
          <w:noProof/>
          <w:lang w:eastAsia="es-ES"/>
        </w:rPr>
        <w:drawing>
          <wp:inline distT="0" distB="0" distL="0" distR="0" wp14:anchorId="04C72E76" wp14:editId="02ABBEEE">
            <wp:extent cx="4297680" cy="3787140"/>
            <wp:effectExtent l="0" t="0" r="7620" b="3810"/>
            <wp:docPr id="2" name="Imagen 2" descr="C:\Users\Ruben\Documents\Ruben\Postdoc\2018_CameronLabPostdoc\Genomics\BombusImpatiensRNAseq\Cameron2019v2_bimp\figures\Figure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uben\Documents\Ruben\Postdoc\2018_CameronLabPostdoc\Genomics\BombusImpatiensRNAseq\Cameron2019v2_bimp\figures\Figure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B11FA" w14:textId="53CB7E18" w:rsidR="0095205A" w:rsidRDefault="00EC00EB" w:rsidP="00C10BAA">
      <w:pPr>
        <w:jc w:val="both"/>
        <w:rPr>
          <w:lang w:val="en-US"/>
        </w:rPr>
      </w:pPr>
      <w:r w:rsidRPr="00C10BAA">
        <w:rPr>
          <w:b/>
          <w:lang w:val="en-US"/>
        </w:rPr>
        <w:t>Supplementa</w:t>
      </w:r>
      <w:r w:rsidR="00D73F62">
        <w:rPr>
          <w:b/>
          <w:lang w:val="en-US"/>
        </w:rPr>
        <w:t>ry</w:t>
      </w:r>
      <w:r w:rsidRPr="00C10BAA">
        <w:rPr>
          <w:b/>
          <w:lang w:val="en-US"/>
        </w:rPr>
        <w:t xml:space="preserve"> Figure </w:t>
      </w:r>
      <w:r w:rsidR="001B79AF">
        <w:rPr>
          <w:b/>
          <w:lang w:val="en-US"/>
        </w:rPr>
        <w:t>S</w:t>
      </w:r>
      <w:r w:rsidRPr="00C10BAA">
        <w:rPr>
          <w:b/>
          <w:lang w:val="en-US"/>
        </w:rPr>
        <w:t>1.</w:t>
      </w:r>
      <w:r>
        <w:rPr>
          <w:lang w:val="en-US"/>
        </w:rPr>
        <w:t xml:space="preserve"> </w:t>
      </w:r>
      <w:r w:rsidR="00E45630">
        <w:rPr>
          <w:lang w:val="en-US"/>
        </w:rPr>
        <w:t>Principal component</w:t>
      </w:r>
      <w:r>
        <w:rPr>
          <w:lang w:val="en-US"/>
        </w:rPr>
        <w:t xml:space="preserve"> analysis of </w:t>
      </w:r>
      <w:r w:rsidR="00B91E4F">
        <w:rPr>
          <w:lang w:val="en-US"/>
        </w:rPr>
        <w:t xml:space="preserve">the 500 </w:t>
      </w:r>
      <w:r w:rsidR="006A4000">
        <w:rPr>
          <w:lang w:val="en-US"/>
        </w:rPr>
        <w:t xml:space="preserve">top </w:t>
      </w:r>
      <w:r w:rsidR="00B91E4F">
        <w:rPr>
          <w:lang w:val="en-US"/>
        </w:rPr>
        <w:t>expressed genes</w:t>
      </w:r>
      <w:r>
        <w:rPr>
          <w:lang w:val="en-US"/>
        </w:rPr>
        <w:t>.</w:t>
      </w:r>
      <w:r w:rsidR="00E4179E">
        <w:rPr>
          <w:lang w:val="en-US"/>
        </w:rPr>
        <w:t xml:space="preserve"> </w:t>
      </w:r>
      <w:proofErr w:type="spellStart"/>
      <w:r w:rsidR="007B2653">
        <w:rPr>
          <w:lang w:val="en-US"/>
        </w:rPr>
        <w:t>B</w:t>
      </w:r>
      <w:r w:rsidR="00D2195C">
        <w:rPr>
          <w:lang w:val="en-US"/>
        </w:rPr>
        <w:t>iplot</w:t>
      </w:r>
      <w:proofErr w:type="spellEnd"/>
      <w:r w:rsidR="00D2195C">
        <w:rPr>
          <w:lang w:val="en-US"/>
        </w:rPr>
        <w:t xml:space="preserve"> with </w:t>
      </w:r>
      <w:r w:rsidR="00E4179E">
        <w:rPr>
          <w:lang w:val="en-US"/>
        </w:rPr>
        <w:t>principal components 1 (</w:t>
      </w:r>
      <w:r w:rsidR="007B2653">
        <w:rPr>
          <w:lang w:val="en-US"/>
        </w:rPr>
        <w:t>x</w:t>
      </w:r>
      <w:r w:rsidR="00E4179E">
        <w:rPr>
          <w:lang w:val="en-US"/>
        </w:rPr>
        <w:t>-axis) and 2 (</w:t>
      </w:r>
      <w:r w:rsidR="007B2653">
        <w:rPr>
          <w:lang w:val="en-US"/>
        </w:rPr>
        <w:t>y</w:t>
      </w:r>
      <w:r w:rsidR="00E4179E">
        <w:rPr>
          <w:lang w:val="en-US"/>
        </w:rPr>
        <w:t>-axis) with the percentage of variance explained by each in parentheses.</w:t>
      </w:r>
      <w:r w:rsidR="001B79AF">
        <w:rPr>
          <w:lang w:val="en-US"/>
        </w:rPr>
        <w:t xml:space="preserve"> The legend indicates the treatment (</w:t>
      </w:r>
      <w:r w:rsidR="0017611C">
        <w:rPr>
          <w:lang w:val="en-US"/>
        </w:rPr>
        <w:t>color</w:t>
      </w:r>
      <w:r w:rsidR="001B79AF">
        <w:rPr>
          <w:lang w:val="en-US"/>
        </w:rPr>
        <w:t>) and colony of origin (</w:t>
      </w:r>
      <w:r w:rsidR="0017611C">
        <w:rPr>
          <w:lang w:val="en-US"/>
        </w:rPr>
        <w:t>shape</w:t>
      </w:r>
      <w:r w:rsidR="001B79AF">
        <w:rPr>
          <w:lang w:val="en-US"/>
        </w:rPr>
        <w:t>) for each sample</w:t>
      </w:r>
      <w:r w:rsidR="007B2653">
        <w:rPr>
          <w:lang w:val="en-US"/>
        </w:rPr>
        <w:t xml:space="preserve"> pool</w:t>
      </w:r>
      <w:r w:rsidR="001B79AF">
        <w:rPr>
          <w:lang w:val="en-US"/>
        </w:rPr>
        <w:t>.</w:t>
      </w:r>
    </w:p>
    <w:p w14:paraId="1B0D54FA" w14:textId="77777777" w:rsidR="0095205A" w:rsidRDefault="0095205A">
      <w:pPr>
        <w:rPr>
          <w:lang w:val="en-US"/>
        </w:rPr>
      </w:pPr>
      <w:r>
        <w:rPr>
          <w:lang w:val="en-US"/>
        </w:rPr>
        <w:br w:type="page"/>
      </w:r>
    </w:p>
    <w:p w14:paraId="6981B44A" w14:textId="283D03A8" w:rsidR="00EF70C6" w:rsidRDefault="00D73F62" w:rsidP="00EF70C6">
      <w:pPr>
        <w:jc w:val="center"/>
        <w:rPr>
          <w:lang w:val="en-US"/>
        </w:rPr>
      </w:pPr>
      <w:r>
        <w:rPr>
          <w:noProof/>
          <w:lang w:eastAsia="es-ES"/>
        </w:rPr>
        <w:lastRenderedPageBreak/>
        <w:pict w14:anchorId="5D2E4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igureS2" style="width:424.2pt;height:336.6pt;mso-width-percent:0;mso-height-percent:0;mso-width-percent:0;mso-height-percent:0">
            <v:imagedata r:id="rId6" o:title="FigureS2"/>
          </v:shape>
        </w:pict>
      </w:r>
    </w:p>
    <w:p w14:paraId="2FEE60F0" w14:textId="5B6D1508" w:rsidR="0095205A" w:rsidRDefault="00D73F62" w:rsidP="00EF70C6">
      <w:pPr>
        <w:jc w:val="both"/>
        <w:rPr>
          <w:lang w:val="en-US"/>
        </w:rPr>
      </w:pPr>
      <w:r>
        <w:rPr>
          <w:b/>
          <w:lang w:val="en-US"/>
        </w:rPr>
        <w:t>Supplementary</w:t>
      </w:r>
      <w:r w:rsidR="00EF70C6">
        <w:rPr>
          <w:b/>
          <w:lang w:val="en-US"/>
        </w:rPr>
        <w:t xml:space="preserve"> Figure </w:t>
      </w:r>
      <w:r w:rsidR="00716A3A">
        <w:rPr>
          <w:b/>
          <w:lang w:val="en-US"/>
        </w:rPr>
        <w:t>S</w:t>
      </w:r>
      <w:r w:rsidR="00EF70C6">
        <w:rPr>
          <w:b/>
          <w:lang w:val="en-US"/>
        </w:rPr>
        <w:t>2</w:t>
      </w:r>
      <w:r w:rsidR="00EF70C6" w:rsidRPr="001C3D63">
        <w:rPr>
          <w:b/>
          <w:lang w:val="en-US"/>
        </w:rPr>
        <w:t>.</w:t>
      </w:r>
      <w:r w:rsidR="00EF70C6">
        <w:rPr>
          <w:lang w:val="en-US"/>
        </w:rPr>
        <w:t xml:space="preserve"> </w:t>
      </w:r>
      <w:r w:rsidR="00007DDE">
        <w:rPr>
          <w:lang w:val="en-US"/>
        </w:rPr>
        <w:t>Expression levels of</w:t>
      </w:r>
      <w:r w:rsidR="00A33A6D">
        <w:rPr>
          <w:lang w:val="en-US"/>
        </w:rPr>
        <w:t xml:space="preserve"> </w:t>
      </w:r>
      <w:r w:rsidR="003C3207">
        <w:rPr>
          <w:lang w:val="en-US"/>
        </w:rPr>
        <w:t>differentially expressed genes</w:t>
      </w:r>
      <w:r w:rsidR="00DC11AA">
        <w:rPr>
          <w:lang w:val="en-US"/>
        </w:rPr>
        <w:t xml:space="preserve"> per sample</w:t>
      </w:r>
      <w:r w:rsidR="007B2653">
        <w:rPr>
          <w:lang w:val="en-US"/>
        </w:rPr>
        <w:t xml:space="preserve"> pool</w:t>
      </w:r>
      <w:r w:rsidR="00EF70C6">
        <w:rPr>
          <w:lang w:val="en-US"/>
        </w:rPr>
        <w:t>.</w:t>
      </w:r>
      <w:r w:rsidR="003C3207">
        <w:rPr>
          <w:lang w:val="en-US"/>
        </w:rPr>
        <w:t xml:space="preserve"> </w:t>
      </w:r>
      <w:r w:rsidR="002F070B">
        <w:rPr>
          <w:lang w:val="en-US"/>
        </w:rPr>
        <w:t>Each column represents a s</w:t>
      </w:r>
      <w:r w:rsidR="007001A3">
        <w:rPr>
          <w:lang w:val="en-US"/>
        </w:rPr>
        <w:t>ample</w:t>
      </w:r>
      <w:r w:rsidR="002F070B">
        <w:rPr>
          <w:lang w:val="en-US"/>
        </w:rPr>
        <w:t>, which</w:t>
      </w:r>
      <w:r w:rsidR="003C3207">
        <w:rPr>
          <w:lang w:val="en-US"/>
        </w:rPr>
        <w:t xml:space="preserve"> are grouped by treatment. </w:t>
      </w:r>
      <w:r w:rsidR="00EE75E6">
        <w:rPr>
          <w:lang w:val="en-US"/>
        </w:rPr>
        <w:t>T</w:t>
      </w:r>
      <w:r w:rsidR="007001A3">
        <w:rPr>
          <w:lang w:val="en-US"/>
        </w:rPr>
        <w:t>reatment</w:t>
      </w:r>
      <w:r w:rsidR="00EE75E6">
        <w:rPr>
          <w:lang w:val="en-US"/>
        </w:rPr>
        <w:t>s</w:t>
      </w:r>
      <w:r w:rsidR="007001A3">
        <w:rPr>
          <w:lang w:val="en-US"/>
        </w:rPr>
        <w:t xml:space="preserve"> </w:t>
      </w:r>
      <w:r w:rsidR="00EE75E6">
        <w:rPr>
          <w:lang w:val="en-US"/>
        </w:rPr>
        <w:t>are grouped in</w:t>
      </w:r>
      <w:r w:rsidR="007001A3">
        <w:rPr>
          <w:lang w:val="en-US"/>
        </w:rPr>
        <w:t xml:space="preserve"> four columns, each representing a sample</w:t>
      </w:r>
      <w:r w:rsidR="007B2653">
        <w:rPr>
          <w:lang w:val="en-US"/>
        </w:rPr>
        <w:t xml:space="preserve"> pool</w:t>
      </w:r>
      <w:r w:rsidR="007001A3">
        <w:rPr>
          <w:lang w:val="en-US"/>
        </w:rPr>
        <w:t xml:space="preserve"> from a single colony (the order of the colonies for all the treatments is </w:t>
      </w:r>
      <w:r w:rsidR="000240B4">
        <w:rPr>
          <w:lang w:val="en-US"/>
        </w:rPr>
        <w:t>C01</w:t>
      </w:r>
      <w:r w:rsidR="007001A3">
        <w:rPr>
          <w:lang w:val="en-US"/>
        </w:rPr>
        <w:t xml:space="preserve">, </w:t>
      </w:r>
      <w:r w:rsidR="000240B4">
        <w:rPr>
          <w:lang w:val="en-US"/>
        </w:rPr>
        <w:t>C02</w:t>
      </w:r>
      <w:r w:rsidR="007001A3">
        <w:rPr>
          <w:lang w:val="en-US"/>
        </w:rPr>
        <w:t xml:space="preserve">, </w:t>
      </w:r>
      <w:r w:rsidR="000240B4">
        <w:rPr>
          <w:lang w:val="en-US"/>
        </w:rPr>
        <w:t xml:space="preserve">C03 </w:t>
      </w:r>
      <w:r w:rsidR="007001A3">
        <w:rPr>
          <w:lang w:val="en-US"/>
        </w:rPr>
        <w:t xml:space="preserve">and </w:t>
      </w:r>
      <w:r w:rsidR="000240B4">
        <w:rPr>
          <w:lang w:val="en-US"/>
        </w:rPr>
        <w:t>C04</w:t>
      </w:r>
      <w:r w:rsidR="007001A3">
        <w:rPr>
          <w:lang w:val="en-US"/>
        </w:rPr>
        <w:t>)</w:t>
      </w:r>
      <w:r w:rsidR="00965A82">
        <w:rPr>
          <w:lang w:val="en-US"/>
        </w:rPr>
        <w:t>.</w:t>
      </w:r>
      <w:r w:rsidR="007001A3">
        <w:rPr>
          <w:lang w:val="en-US"/>
        </w:rPr>
        <w:t xml:space="preserve"> </w:t>
      </w:r>
      <w:r w:rsidR="002F070B">
        <w:rPr>
          <w:lang w:val="en-US"/>
        </w:rPr>
        <w:t>Each row represents a differentially expressed g</w:t>
      </w:r>
      <w:r w:rsidR="003C3207">
        <w:rPr>
          <w:lang w:val="en-US"/>
        </w:rPr>
        <w:t>ene</w:t>
      </w:r>
      <w:r w:rsidR="0015605E">
        <w:rPr>
          <w:lang w:val="en-US"/>
        </w:rPr>
        <w:t>, and each tile represents the counts per mill</w:t>
      </w:r>
      <w:r w:rsidR="00304A6C">
        <w:rPr>
          <w:lang w:val="en-US"/>
        </w:rPr>
        <w:t>ion reads (CPM) for a gene in a</w:t>
      </w:r>
      <w:r w:rsidR="0015605E">
        <w:rPr>
          <w:lang w:val="en-US"/>
        </w:rPr>
        <w:t xml:space="preserve"> specific sample</w:t>
      </w:r>
      <w:r w:rsidR="003C3207">
        <w:rPr>
          <w:lang w:val="en-US"/>
        </w:rPr>
        <w:t xml:space="preserve">. </w:t>
      </w:r>
      <w:r w:rsidR="00EE75E6">
        <w:rPr>
          <w:lang w:val="en-US"/>
        </w:rPr>
        <w:t xml:space="preserve">Light blue tiles indicate low CPM values, dark blue tiles indicate high CPM values. </w:t>
      </w:r>
      <w:r w:rsidR="003C3207">
        <w:rPr>
          <w:lang w:val="en-US"/>
        </w:rPr>
        <w:t xml:space="preserve">The </w:t>
      </w:r>
      <w:proofErr w:type="spellStart"/>
      <w:r w:rsidR="003C3207">
        <w:rPr>
          <w:lang w:val="en-US"/>
        </w:rPr>
        <w:t>dendrogram</w:t>
      </w:r>
      <w:proofErr w:type="spellEnd"/>
      <w:r w:rsidR="003C3207">
        <w:rPr>
          <w:lang w:val="en-US"/>
        </w:rPr>
        <w:t xml:space="preserve"> </w:t>
      </w:r>
      <w:r w:rsidR="0015605E">
        <w:rPr>
          <w:lang w:val="en-US"/>
        </w:rPr>
        <w:t xml:space="preserve">on the left side </w:t>
      </w:r>
      <w:r w:rsidR="00B108B4">
        <w:rPr>
          <w:lang w:val="en-US"/>
        </w:rPr>
        <w:t>shows the</w:t>
      </w:r>
      <w:r w:rsidR="003C3207">
        <w:rPr>
          <w:lang w:val="en-US"/>
        </w:rPr>
        <w:t xml:space="preserve"> hierarchical clustering of the </w:t>
      </w:r>
      <w:r w:rsidR="00497AF0">
        <w:rPr>
          <w:lang w:val="en-US"/>
        </w:rPr>
        <w:t xml:space="preserve">standardized </w:t>
      </w:r>
      <w:r w:rsidR="007001A3">
        <w:rPr>
          <w:lang w:val="en-US"/>
        </w:rPr>
        <w:t>CPM values</w:t>
      </w:r>
      <w:r w:rsidR="00497AF0">
        <w:rPr>
          <w:lang w:val="en-US"/>
        </w:rPr>
        <w:t>.</w:t>
      </w:r>
    </w:p>
    <w:p w14:paraId="670999CC" w14:textId="77777777" w:rsidR="0095205A" w:rsidRDefault="0095205A">
      <w:pPr>
        <w:rPr>
          <w:lang w:val="en-US"/>
        </w:rPr>
      </w:pPr>
      <w:r>
        <w:rPr>
          <w:lang w:val="en-US"/>
        </w:rPr>
        <w:br w:type="page"/>
      </w:r>
    </w:p>
    <w:p w14:paraId="765E134E" w14:textId="097557C0" w:rsidR="00EC00EB" w:rsidRDefault="00D73F62" w:rsidP="00C10BAA">
      <w:pPr>
        <w:jc w:val="center"/>
        <w:rPr>
          <w:lang w:val="en-US"/>
        </w:rPr>
      </w:pPr>
      <w:r>
        <w:rPr>
          <w:lang w:val="en-US"/>
        </w:rPr>
        <w:lastRenderedPageBreak/>
        <w:pict w14:anchorId="5F55EFE2">
          <v:shape id="_x0000_i1028" type="#_x0000_t75" style="width:424.8pt;height:229.8pt">
            <v:imagedata r:id="rId7" o:title="FigureS3"/>
          </v:shape>
        </w:pict>
      </w:r>
    </w:p>
    <w:p w14:paraId="12177C44" w14:textId="3C412442" w:rsidR="00F13F5F" w:rsidRDefault="00EF70C6" w:rsidP="00B0266F">
      <w:pPr>
        <w:jc w:val="both"/>
        <w:rPr>
          <w:lang w:val="en-US"/>
        </w:rPr>
      </w:pPr>
      <w:r>
        <w:rPr>
          <w:b/>
          <w:lang w:val="en-US"/>
        </w:rPr>
        <w:t>Supplementa</w:t>
      </w:r>
      <w:r w:rsidR="00D73F62">
        <w:rPr>
          <w:b/>
          <w:lang w:val="en-US"/>
        </w:rPr>
        <w:t>ry</w:t>
      </w:r>
      <w:r>
        <w:rPr>
          <w:b/>
          <w:lang w:val="en-US"/>
        </w:rPr>
        <w:t xml:space="preserve"> Figure </w:t>
      </w:r>
      <w:r w:rsidR="00B97207">
        <w:rPr>
          <w:b/>
          <w:lang w:val="en-US"/>
        </w:rPr>
        <w:t>S</w:t>
      </w:r>
      <w:r>
        <w:rPr>
          <w:b/>
          <w:lang w:val="en-US"/>
        </w:rPr>
        <w:t>3</w:t>
      </w:r>
      <w:r w:rsidR="00EC00EB" w:rsidRPr="00C10BAA">
        <w:rPr>
          <w:b/>
          <w:lang w:val="en-US"/>
        </w:rPr>
        <w:t>.</w:t>
      </w:r>
      <w:r w:rsidR="00EC00EB">
        <w:rPr>
          <w:lang w:val="en-US"/>
        </w:rPr>
        <w:t xml:space="preserve"> Results from the comparison between 0.7 ppb</w:t>
      </w:r>
      <w:r w:rsidR="00075BEA">
        <w:rPr>
          <w:lang w:val="en-US"/>
        </w:rPr>
        <w:t xml:space="preserve"> </w:t>
      </w:r>
      <w:proofErr w:type="spellStart"/>
      <w:r w:rsidR="00075BEA">
        <w:rPr>
          <w:lang w:val="en-US"/>
        </w:rPr>
        <w:t>imidacloprid</w:t>
      </w:r>
      <w:proofErr w:type="spellEnd"/>
      <w:r w:rsidR="00EC00EB">
        <w:rPr>
          <w:lang w:val="en-US"/>
        </w:rPr>
        <w:t xml:space="preserve"> and 7.0 ppb </w:t>
      </w:r>
      <w:proofErr w:type="spellStart"/>
      <w:r w:rsidR="00EC00EB">
        <w:rPr>
          <w:lang w:val="en-US"/>
        </w:rPr>
        <w:t>imidacloprid</w:t>
      </w:r>
      <w:proofErr w:type="spellEnd"/>
      <w:r w:rsidR="00EC00EB">
        <w:rPr>
          <w:lang w:val="en-US"/>
        </w:rPr>
        <w:t xml:space="preserve"> treatments.</w:t>
      </w:r>
      <w:r w:rsidR="00F13F5F">
        <w:rPr>
          <w:lang w:val="en-US"/>
        </w:rPr>
        <w:t xml:space="preserve"> </w:t>
      </w:r>
      <w:r w:rsidR="00183E5C">
        <w:rPr>
          <w:lang w:val="en-US"/>
        </w:rPr>
        <w:t>(</w:t>
      </w:r>
      <w:r w:rsidR="00D73F62" w:rsidRPr="00183E5C">
        <w:rPr>
          <w:b/>
          <w:lang w:val="en-US"/>
        </w:rPr>
        <w:t>a</w:t>
      </w:r>
      <w:r w:rsidR="00183E5C">
        <w:rPr>
          <w:lang w:val="en-US"/>
        </w:rPr>
        <w:t>)</w:t>
      </w:r>
      <w:r w:rsidR="00F13F5F">
        <w:rPr>
          <w:lang w:val="en-US"/>
        </w:rPr>
        <w:t xml:space="preserve"> Volcano plot for the </w:t>
      </w:r>
      <w:r w:rsidR="00DA45DC">
        <w:rPr>
          <w:lang w:val="en-US"/>
        </w:rPr>
        <w:t xml:space="preserve">0.7 ppb </w:t>
      </w:r>
      <w:proofErr w:type="spellStart"/>
      <w:r w:rsidR="00075BEA">
        <w:rPr>
          <w:lang w:val="en-US"/>
        </w:rPr>
        <w:t>imidacloprid</w:t>
      </w:r>
      <w:proofErr w:type="spellEnd"/>
      <w:r w:rsidR="00075BEA">
        <w:rPr>
          <w:lang w:val="en-US"/>
        </w:rPr>
        <w:t xml:space="preserve"> </w:t>
      </w:r>
      <w:r w:rsidR="00F13F5F">
        <w:rPr>
          <w:lang w:val="en-US"/>
        </w:rPr>
        <w:t xml:space="preserve">vs </w:t>
      </w:r>
      <w:r w:rsidR="00DA45DC">
        <w:rPr>
          <w:lang w:val="en-US"/>
        </w:rPr>
        <w:t xml:space="preserve">7.0 ppb </w:t>
      </w:r>
      <w:proofErr w:type="spellStart"/>
      <w:r w:rsidR="00075BEA">
        <w:rPr>
          <w:lang w:val="en-US"/>
        </w:rPr>
        <w:t>imidacloprid</w:t>
      </w:r>
      <w:proofErr w:type="spellEnd"/>
      <w:r w:rsidR="00075BEA">
        <w:rPr>
          <w:lang w:val="en-US"/>
        </w:rPr>
        <w:t xml:space="preserve"> </w:t>
      </w:r>
      <w:r w:rsidR="00F13F5F">
        <w:rPr>
          <w:lang w:val="en-US"/>
        </w:rPr>
        <w:t>comparison. X-axis shows the logarithm to the base 2 of the fold change</w:t>
      </w:r>
      <w:r w:rsidR="00056C9A">
        <w:rPr>
          <w:lang w:val="en-US"/>
        </w:rPr>
        <w:t xml:space="preserve"> (FC)</w:t>
      </w:r>
      <w:r w:rsidR="00F13F5F">
        <w:rPr>
          <w:lang w:val="en-US"/>
        </w:rPr>
        <w:t xml:space="preserve">. Y-axis shows the negative logarithm to the base 10 of the false discovery rate </w:t>
      </w:r>
      <w:r w:rsidR="002A0600">
        <w:rPr>
          <w:lang w:val="en-US"/>
        </w:rPr>
        <w:t>(FDR)</w:t>
      </w:r>
      <w:r w:rsidR="00F13F5F">
        <w:rPr>
          <w:lang w:val="en-US"/>
        </w:rPr>
        <w:t xml:space="preserve">. </w:t>
      </w:r>
      <w:r w:rsidR="00183E5C">
        <w:rPr>
          <w:lang w:val="en-US"/>
        </w:rPr>
        <w:t>(</w:t>
      </w:r>
      <w:r w:rsidR="00D73F62" w:rsidRPr="00183E5C">
        <w:rPr>
          <w:b/>
          <w:lang w:val="en-US"/>
        </w:rPr>
        <w:t>b</w:t>
      </w:r>
      <w:r w:rsidR="00183E5C">
        <w:rPr>
          <w:lang w:val="en-US"/>
        </w:rPr>
        <w:t>)</w:t>
      </w:r>
      <w:bookmarkStart w:id="0" w:name="_GoBack"/>
      <w:bookmarkEnd w:id="0"/>
      <w:r w:rsidR="00B0266F">
        <w:rPr>
          <w:lang w:val="en-US"/>
        </w:rPr>
        <w:t xml:space="preserve"> Venn diagram with the number of differentially expressed genes (DEGs) from each set. </w:t>
      </w:r>
    </w:p>
    <w:p w14:paraId="55442349" w14:textId="77777777" w:rsidR="003B6744" w:rsidRDefault="003B6744" w:rsidP="0095205A">
      <w:pPr>
        <w:jc w:val="center"/>
        <w:rPr>
          <w:lang w:val="en-US"/>
        </w:rPr>
      </w:pPr>
    </w:p>
    <w:p w14:paraId="5B13D56F" w14:textId="77777777" w:rsidR="003B6744" w:rsidRDefault="003B6744" w:rsidP="0095205A">
      <w:pPr>
        <w:jc w:val="center"/>
        <w:rPr>
          <w:lang w:val="en-US"/>
        </w:rPr>
      </w:pPr>
    </w:p>
    <w:p w14:paraId="2A0709F5" w14:textId="173690ED" w:rsidR="00EC00EB" w:rsidRDefault="00F751A6" w:rsidP="003B6744">
      <w:pPr>
        <w:rPr>
          <w:lang w:val="en-US"/>
        </w:rPr>
      </w:pPr>
      <w:r>
        <w:fldChar w:fldCharType="begin"/>
      </w:r>
      <w:r>
        <w:instrText xml:space="preserve"> ADDIN EN.REFLIST </w:instrText>
      </w:r>
      <w:r>
        <w:fldChar w:fldCharType="end"/>
      </w:r>
    </w:p>
    <w:sectPr w:rsidR="00EC00EB" w:rsidSect="008B71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5A94D5" w16cid:durableId="267905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wtvsvse7e29ates2acpre9c2ptrxs9t9wx0&quot;&gt;Bumblebee Transcriptomics&lt;record-ids&gt;&lt;item&gt;220&lt;/item&gt;&lt;/record-ids&gt;&lt;/item&gt;&lt;/Libraries&gt;"/>
  </w:docVars>
  <w:rsids>
    <w:rsidRoot w:val="00366F4D"/>
    <w:rsid w:val="00002091"/>
    <w:rsid w:val="00007DDE"/>
    <w:rsid w:val="00010115"/>
    <w:rsid w:val="00010214"/>
    <w:rsid w:val="00012C2C"/>
    <w:rsid w:val="00017EE8"/>
    <w:rsid w:val="000240B4"/>
    <w:rsid w:val="000310B7"/>
    <w:rsid w:val="00052548"/>
    <w:rsid w:val="00055B65"/>
    <w:rsid w:val="00056C9A"/>
    <w:rsid w:val="00074284"/>
    <w:rsid w:val="00075BEA"/>
    <w:rsid w:val="00085571"/>
    <w:rsid w:val="00086FE1"/>
    <w:rsid w:val="000C3E5B"/>
    <w:rsid w:val="00101D41"/>
    <w:rsid w:val="001028E7"/>
    <w:rsid w:val="001241E0"/>
    <w:rsid w:val="001437BA"/>
    <w:rsid w:val="0015605E"/>
    <w:rsid w:val="00163469"/>
    <w:rsid w:val="00172DCC"/>
    <w:rsid w:val="00174F98"/>
    <w:rsid w:val="0017611C"/>
    <w:rsid w:val="00183E5C"/>
    <w:rsid w:val="001A0912"/>
    <w:rsid w:val="001A6435"/>
    <w:rsid w:val="001B79AF"/>
    <w:rsid w:val="001C3D63"/>
    <w:rsid w:val="001D5AA0"/>
    <w:rsid w:val="001E6272"/>
    <w:rsid w:val="001E6E3F"/>
    <w:rsid w:val="001F6B47"/>
    <w:rsid w:val="0021306E"/>
    <w:rsid w:val="00232800"/>
    <w:rsid w:val="00236AD3"/>
    <w:rsid w:val="0024528F"/>
    <w:rsid w:val="002571AA"/>
    <w:rsid w:val="0027043C"/>
    <w:rsid w:val="00275F03"/>
    <w:rsid w:val="00285D6A"/>
    <w:rsid w:val="00287F58"/>
    <w:rsid w:val="002A0600"/>
    <w:rsid w:val="002D0518"/>
    <w:rsid w:val="002F070B"/>
    <w:rsid w:val="002F6C6A"/>
    <w:rsid w:val="00301AFD"/>
    <w:rsid w:val="003020DA"/>
    <w:rsid w:val="00303AF1"/>
    <w:rsid w:val="00304A6C"/>
    <w:rsid w:val="0032328A"/>
    <w:rsid w:val="003238B2"/>
    <w:rsid w:val="003305E0"/>
    <w:rsid w:val="00340626"/>
    <w:rsid w:val="003420C2"/>
    <w:rsid w:val="00342519"/>
    <w:rsid w:val="00347BDD"/>
    <w:rsid w:val="00356C7D"/>
    <w:rsid w:val="00366F4D"/>
    <w:rsid w:val="003705C9"/>
    <w:rsid w:val="00372779"/>
    <w:rsid w:val="00394ED8"/>
    <w:rsid w:val="003B6744"/>
    <w:rsid w:val="003B7A70"/>
    <w:rsid w:val="003C02B5"/>
    <w:rsid w:val="003C3207"/>
    <w:rsid w:val="003D6000"/>
    <w:rsid w:val="003E3E0B"/>
    <w:rsid w:val="003E423E"/>
    <w:rsid w:val="003F45F8"/>
    <w:rsid w:val="004220B3"/>
    <w:rsid w:val="00446BC6"/>
    <w:rsid w:val="00465787"/>
    <w:rsid w:val="00481893"/>
    <w:rsid w:val="00493CAE"/>
    <w:rsid w:val="00497AF0"/>
    <w:rsid w:val="004C0573"/>
    <w:rsid w:val="004D4757"/>
    <w:rsid w:val="004D61A1"/>
    <w:rsid w:val="004E3674"/>
    <w:rsid w:val="004F0088"/>
    <w:rsid w:val="004F3AA1"/>
    <w:rsid w:val="0051140D"/>
    <w:rsid w:val="00533F0E"/>
    <w:rsid w:val="0054333C"/>
    <w:rsid w:val="00551175"/>
    <w:rsid w:val="00557E5F"/>
    <w:rsid w:val="005643A8"/>
    <w:rsid w:val="00572C8D"/>
    <w:rsid w:val="005965D6"/>
    <w:rsid w:val="005A0512"/>
    <w:rsid w:val="005A6F15"/>
    <w:rsid w:val="005D0CD0"/>
    <w:rsid w:val="005D13E6"/>
    <w:rsid w:val="005D24FE"/>
    <w:rsid w:val="005F1CCB"/>
    <w:rsid w:val="005F3DCE"/>
    <w:rsid w:val="00603355"/>
    <w:rsid w:val="006468A3"/>
    <w:rsid w:val="00646E5D"/>
    <w:rsid w:val="00666B0C"/>
    <w:rsid w:val="00673625"/>
    <w:rsid w:val="006A4000"/>
    <w:rsid w:val="006A56D6"/>
    <w:rsid w:val="006A6854"/>
    <w:rsid w:val="006F6941"/>
    <w:rsid w:val="006F6F08"/>
    <w:rsid w:val="007001A3"/>
    <w:rsid w:val="00716436"/>
    <w:rsid w:val="00716A3A"/>
    <w:rsid w:val="00727F06"/>
    <w:rsid w:val="00751019"/>
    <w:rsid w:val="007671C6"/>
    <w:rsid w:val="00776BFF"/>
    <w:rsid w:val="00780713"/>
    <w:rsid w:val="007A60B8"/>
    <w:rsid w:val="007A65A1"/>
    <w:rsid w:val="007B2653"/>
    <w:rsid w:val="007B5ADE"/>
    <w:rsid w:val="007D2AD1"/>
    <w:rsid w:val="007D52CD"/>
    <w:rsid w:val="007D6331"/>
    <w:rsid w:val="007E781C"/>
    <w:rsid w:val="0086604C"/>
    <w:rsid w:val="00874472"/>
    <w:rsid w:val="008B71AE"/>
    <w:rsid w:val="008C5717"/>
    <w:rsid w:val="0091123A"/>
    <w:rsid w:val="0095205A"/>
    <w:rsid w:val="00965A82"/>
    <w:rsid w:val="00982A3B"/>
    <w:rsid w:val="0098427C"/>
    <w:rsid w:val="009A4E81"/>
    <w:rsid w:val="009E483B"/>
    <w:rsid w:val="009F221E"/>
    <w:rsid w:val="009F568E"/>
    <w:rsid w:val="009F5D88"/>
    <w:rsid w:val="00A16720"/>
    <w:rsid w:val="00A26C27"/>
    <w:rsid w:val="00A33A6D"/>
    <w:rsid w:val="00A34CC6"/>
    <w:rsid w:val="00A5206C"/>
    <w:rsid w:val="00A54127"/>
    <w:rsid w:val="00A64F17"/>
    <w:rsid w:val="00A65875"/>
    <w:rsid w:val="00A72E0D"/>
    <w:rsid w:val="00A81B88"/>
    <w:rsid w:val="00A849B3"/>
    <w:rsid w:val="00A9028E"/>
    <w:rsid w:val="00A92342"/>
    <w:rsid w:val="00A93A3D"/>
    <w:rsid w:val="00AB59DC"/>
    <w:rsid w:val="00AC7616"/>
    <w:rsid w:val="00AF4865"/>
    <w:rsid w:val="00AF51F3"/>
    <w:rsid w:val="00B0266F"/>
    <w:rsid w:val="00B108B4"/>
    <w:rsid w:val="00B37489"/>
    <w:rsid w:val="00B82EB8"/>
    <w:rsid w:val="00B838C4"/>
    <w:rsid w:val="00B86BA5"/>
    <w:rsid w:val="00B91E4F"/>
    <w:rsid w:val="00B92917"/>
    <w:rsid w:val="00B9626F"/>
    <w:rsid w:val="00B97207"/>
    <w:rsid w:val="00BB15E1"/>
    <w:rsid w:val="00BF2F35"/>
    <w:rsid w:val="00C10BAA"/>
    <w:rsid w:val="00C164D1"/>
    <w:rsid w:val="00C31C6A"/>
    <w:rsid w:val="00C34B95"/>
    <w:rsid w:val="00C5671B"/>
    <w:rsid w:val="00C7785E"/>
    <w:rsid w:val="00C82094"/>
    <w:rsid w:val="00C878FE"/>
    <w:rsid w:val="00C96EBA"/>
    <w:rsid w:val="00CA432E"/>
    <w:rsid w:val="00CB3413"/>
    <w:rsid w:val="00CC1A57"/>
    <w:rsid w:val="00CD4A97"/>
    <w:rsid w:val="00CE0665"/>
    <w:rsid w:val="00CE472E"/>
    <w:rsid w:val="00CE7920"/>
    <w:rsid w:val="00CF212B"/>
    <w:rsid w:val="00D2195C"/>
    <w:rsid w:val="00D32396"/>
    <w:rsid w:val="00D4025D"/>
    <w:rsid w:val="00D52565"/>
    <w:rsid w:val="00D570EA"/>
    <w:rsid w:val="00D57846"/>
    <w:rsid w:val="00D6067E"/>
    <w:rsid w:val="00D6361F"/>
    <w:rsid w:val="00D6599F"/>
    <w:rsid w:val="00D73F62"/>
    <w:rsid w:val="00D974A1"/>
    <w:rsid w:val="00DA45DC"/>
    <w:rsid w:val="00DC11AA"/>
    <w:rsid w:val="00DC492E"/>
    <w:rsid w:val="00DF59E1"/>
    <w:rsid w:val="00E042E2"/>
    <w:rsid w:val="00E17268"/>
    <w:rsid w:val="00E4179E"/>
    <w:rsid w:val="00E45630"/>
    <w:rsid w:val="00E45A5D"/>
    <w:rsid w:val="00E51071"/>
    <w:rsid w:val="00E65F37"/>
    <w:rsid w:val="00E72848"/>
    <w:rsid w:val="00E75893"/>
    <w:rsid w:val="00E83CAB"/>
    <w:rsid w:val="00EB3962"/>
    <w:rsid w:val="00EC00EB"/>
    <w:rsid w:val="00EC5172"/>
    <w:rsid w:val="00EE75E6"/>
    <w:rsid w:val="00EF70C6"/>
    <w:rsid w:val="00F04CE0"/>
    <w:rsid w:val="00F13F5F"/>
    <w:rsid w:val="00F152E6"/>
    <w:rsid w:val="00F309E0"/>
    <w:rsid w:val="00F4266B"/>
    <w:rsid w:val="00F645C7"/>
    <w:rsid w:val="00F751A6"/>
    <w:rsid w:val="00FA3C78"/>
    <w:rsid w:val="00FD3212"/>
    <w:rsid w:val="00FE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A92E"/>
  <w15:docId w15:val="{18193086-359C-4B54-B6A9-D6B117F3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1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6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6F4D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F59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4C05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C05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C05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05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0573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ar"/>
    <w:rsid w:val="003B674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3B674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3B6744"/>
    <w:pPr>
      <w:spacing w:line="24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3B6744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EF9C64-1520-4F9B-85B1-29C9BFE4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221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Ruben</cp:lastModifiedBy>
  <cp:revision>5</cp:revision>
  <dcterms:created xsi:type="dcterms:W3CDTF">2022-07-20T14:19:00Z</dcterms:created>
  <dcterms:modified xsi:type="dcterms:W3CDTF">2022-07-20T15:17:00Z</dcterms:modified>
</cp:coreProperties>
</file>