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45A6" w:rsidRPr="005445A6" w:rsidRDefault="005445A6" w:rsidP="005445A6">
      <w:pPr>
        <w:pStyle w:val="014FigureCaption"/>
        <w:tabs>
          <w:tab w:val="left" w:pos="360"/>
          <w:tab w:val="left" w:pos="720"/>
        </w:tabs>
        <w:spacing w:line="480" w:lineRule="auto"/>
        <w:jc w:val="both"/>
        <w:rPr>
          <w:rFonts w:cs="Arial"/>
          <w:b/>
        </w:rPr>
      </w:pPr>
      <w:bookmarkStart w:id="0" w:name="_Toc106361860"/>
      <w:r>
        <w:rPr>
          <w:rFonts w:cs="Arial"/>
          <w:b/>
        </w:rPr>
        <w:t>Supplemental Figure Legends</w:t>
      </w:r>
      <w:bookmarkStart w:id="1" w:name="_GoBack"/>
      <w:bookmarkEnd w:id="1"/>
    </w:p>
    <w:p w:rsidR="005445A6" w:rsidRDefault="005445A6" w:rsidP="005445A6">
      <w:pPr>
        <w:pStyle w:val="014FigureCaption"/>
        <w:tabs>
          <w:tab w:val="left" w:pos="360"/>
          <w:tab w:val="left" w:pos="720"/>
        </w:tabs>
        <w:spacing w:line="480" w:lineRule="auto"/>
        <w:jc w:val="both"/>
        <w:rPr>
          <w:rFonts w:cs="Arial"/>
        </w:rPr>
      </w:pPr>
      <w:r w:rsidRPr="00440C59">
        <w:rPr>
          <w:rFonts w:cs="Arial"/>
        </w:rPr>
        <w:t>Supplemental Figure 1: Visual representation of study design. SHR = spontaneously hypertensive rat; MCLT+MMT = medial collateral ligament transection + medial meniscus transection.</w:t>
      </w:r>
    </w:p>
    <w:p w:rsidR="005445A6" w:rsidRPr="008771BD" w:rsidRDefault="005445A6" w:rsidP="005445A6">
      <w:pPr>
        <w:pStyle w:val="014FigureCaption"/>
        <w:tabs>
          <w:tab w:val="left" w:pos="360"/>
          <w:tab w:val="left" w:pos="720"/>
        </w:tabs>
        <w:spacing w:line="480" w:lineRule="auto"/>
        <w:jc w:val="both"/>
        <w:rPr>
          <w:rFonts w:cs="Arial"/>
        </w:rPr>
      </w:pPr>
      <w:r w:rsidRPr="00440C59">
        <w:rPr>
          <w:rFonts w:cs="Arial"/>
        </w:rPr>
        <w:t>Supplemental Figure 2. Longitudinal blood serum corticosterone levels in (A) male and (B) female animals, with no meaningful differences due to hypertension nor surgery. Data are presented as mean ± 95% confidence interval.</w:t>
      </w:r>
      <w:bookmarkEnd w:id="0"/>
    </w:p>
    <w:p w:rsidR="00140C49" w:rsidRDefault="00140C49"/>
    <w:sectPr w:rsidR="00140C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45A6"/>
    <w:rsid w:val="00140C49"/>
    <w:rsid w:val="00544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5D3C74"/>
  <w15:chartTrackingRefBased/>
  <w15:docId w15:val="{453DF55F-1F4B-4CE8-B3AC-315571AF0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14FigureCaption">
    <w:name w:val="014 Figure Caption"/>
    <w:basedOn w:val="Normal"/>
    <w:next w:val="Normal"/>
    <w:link w:val="014FigureCaptionChar"/>
    <w:rsid w:val="005445A6"/>
    <w:pPr>
      <w:spacing w:after="240" w:line="240" w:lineRule="auto"/>
      <w:ind w:left="1080" w:hanging="1080"/>
      <w:jc w:val="left"/>
    </w:pPr>
    <w:rPr>
      <w:rFonts w:eastAsia="Times New Roman" w:cs="Times New Roman"/>
      <w:sz w:val="24"/>
      <w:szCs w:val="24"/>
    </w:rPr>
  </w:style>
  <w:style w:type="character" w:customStyle="1" w:styleId="014FigureCaptionChar">
    <w:name w:val="014 Figure Caption Char"/>
    <w:basedOn w:val="DefaultParagraphFont"/>
    <w:link w:val="014FigureCaption"/>
    <w:rsid w:val="005445A6"/>
    <w:rPr>
      <w:rFonts w:eastAsia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372</Characters>
  <Application>Microsoft Office Word</Application>
  <DocSecurity>0</DocSecurity>
  <Lines>6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Yeater,Taylor D</dc:creator>
  <cp:keywords/>
  <dc:description/>
  <cp:lastModifiedBy>Yeater,Taylor D</cp:lastModifiedBy>
  <cp:revision>1</cp:revision>
  <dcterms:created xsi:type="dcterms:W3CDTF">2022-07-22T17:30:00Z</dcterms:created>
  <dcterms:modified xsi:type="dcterms:W3CDTF">2022-07-22T17:31:00Z</dcterms:modified>
</cp:coreProperties>
</file>