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7C4" w:rsidRDefault="007E67C4" w:rsidP="007E67C4">
      <w:pPr>
        <w:rPr>
          <w:sz w:val="22"/>
          <w:szCs w:val="22"/>
        </w:rPr>
      </w:pPr>
      <w:r>
        <w:rPr>
          <w:rFonts w:cs="Times New Roman"/>
          <w:b/>
          <w:bCs/>
          <w:color w:val="000000"/>
        </w:rPr>
        <w:t>Table S1.</w:t>
      </w:r>
      <w:r>
        <w:rPr>
          <w:rFonts w:cs="Times New Roman"/>
          <w:color w:val="000000"/>
        </w:rPr>
        <w:t xml:space="preserve"> Material list and description of use.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915"/>
        <w:gridCol w:w="1785"/>
        <w:gridCol w:w="1080"/>
        <w:gridCol w:w="4320"/>
      </w:tblGrid>
      <w:tr w:rsidR="007E67C4" w:rsidTr="007E67C4">
        <w:trPr>
          <w:trHeight w:val="795"/>
        </w:trPr>
        <w:tc>
          <w:tcPr>
            <w:tcW w:w="126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System of use</w:t>
            </w:r>
          </w:p>
        </w:tc>
        <w:tc>
          <w:tcPr>
            <w:tcW w:w="91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Part number</w:t>
            </w:r>
          </w:p>
        </w:tc>
        <w:tc>
          <w:tcPr>
            <w:tcW w:w="1785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Components </w:t>
            </w:r>
          </w:p>
        </w:tc>
        <w:tc>
          <w:tcPr>
            <w:tcW w:w="108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Company</w:t>
            </w:r>
          </w:p>
        </w:tc>
        <w:tc>
          <w:tcPr>
            <w:tcW w:w="4320" w:type="dxa"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Product description </w:t>
            </w:r>
          </w:p>
        </w:tc>
      </w:tr>
      <w:tr w:rsidR="007E67C4" w:rsidTr="007E67C4">
        <w:trPr>
          <w:trHeight w:val="735"/>
        </w:trPr>
        <w:tc>
          <w:tcPr>
            <w:tcW w:w="1260" w:type="dxa"/>
            <w:vMerge w:val="restart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Hydroponic</w:t>
            </w:r>
          </w:p>
        </w:tc>
        <w:tc>
          <w:tcPr>
            <w:tcW w:w="915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5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4" w:history="1">
              <w:r>
                <w:rPr>
                  <w:rStyle w:val="Hyperlink"/>
                  <w:sz w:val="20"/>
                  <w:szCs w:val="20"/>
                </w:rPr>
                <w:t xml:space="preserve">Air pump </w:t>
              </w:r>
            </w:hyperlink>
          </w:p>
        </w:tc>
        <w:tc>
          <w:tcPr>
            <w:tcW w:w="1080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Simple Deluxe </w:t>
            </w:r>
          </w:p>
        </w:tc>
        <w:tc>
          <w:tcPr>
            <w:tcW w:w="4320" w:type="dxa"/>
            <w:tcBorders>
              <w:top w:val="single" w:sz="4" w:space="0" w:color="7F7F7F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Continuously aerates the hydroponic solution.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5" w:history="1">
              <w:r>
                <w:rPr>
                  <w:rStyle w:val="Hyperlink"/>
                  <w:sz w:val="20"/>
                  <w:szCs w:val="20"/>
                </w:rPr>
                <w:t>12-way air flow splitter</w:t>
              </w:r>
            </w:hyperlink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uxcell</w:t>
            </w:r>
            <w:proofErr w:type="spellEnd"/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Divert pressure from the air pump into a greater number of parts (each 1-way junction will aerate one hydroponic pot). </w:t>
            </w:r>
          </w:p>
        </w:tc>
      </w:tr>
      <w:tr w:rsidR="007E67C4" w:rsidTr="007E67C4">
        <w:trPr>
          <w:trHeight w:val="720"/>
        </w:trPr>
        <w:tc>
          <w:tcPr>
            <w:tcW w:w="1260" w:type="dxa"/>
            <w:vMerge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sz w:val="20"/>
                  <w:szCs w:val="20"/>
                </w:rPr>
                <w:t xml:space="preserve">Air stone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Pawfly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Creates bubbles from the air pump pressure while submerged in the hydroponic solution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Shared 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7" w:history="1">
              <w:r>
                <w:rPr>
                  <w:rStyle w:val="Hyperlink"/>
                  <w:sz w:val="20"/>
                  <w:szCs w:val="20"/>
                </w:rPr>
                <w:t xml:space="preserve">Hydroponic sponge </w:t>
              </w:r>
            </w:hyperlink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JpGdn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Provides lateral support to plants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8" w:history="1">
              <w:r>
                <w:rPr>
                  <w:rStyle w:val="Hyperlink"/>
                  <w:sz w:val="20"/>
                  <w:szCs w:val="20"/>
                </w:rPr>
                <w:t xml:space="preserve">1 Gallon black plastic pail with lid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House Naturals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Basin for plants during hydroponics. The 1-gallon lids contain the mesh net cups that plants remain in throughout experimentation (19cm diameter).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9" w:history="1">
              <w:r>
                <w:rPr>
                  <w:rStyle w:val="Hyperlink"/>
                  <w:sz w:val="20"/>
                  <w:szCs w:val="20"/>
                </w:rPr>
                <w:t xml:space="preserve">Mesh net cup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JpGdn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Provides support while plants are in hydroponics and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aeroponics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7C4" w:rsidRDefault="007E67C4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hyperlink r:id="rId10" w:history="1">
              <w:r>
                <w:rPr>
                  <w:rStyle w:val="Hyperlink"/>
                  <w:sz w:val="20"/>
                  <w:szCs w:val="20"/>
                </w:rPr>
                <w:t xml:space="preserve">2 Gallon black plastic pail with lid </w:t>
              </w:r>
            </w:hyperlink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Uline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Basin for plants during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aeroponics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; clean buckets are replaced during root exudate sampling.  The 2-gallon lid had a circle cut out from it so that the 1-gal lid would fit into it (25cm diameter).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 w:val="restart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Aeroponic</w:t>
            </w:r>
            <w:proofErr w:type="spellEnd"/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1" w:history="1">
              <w:r>
                <w:rPr>
                  <w:rStyle w:val="Hyperlink"/>
                  <w:sz w:val="20"/>
                  <w:szCs w:val="20"/>
                </w:rPr>
                <w:t xml:space="preserve">Cycle timer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BN-LINK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Used for supplying user defined time-intervals to the solenoids. These timers are set to seconds on/min off.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2" w:history="1">
              <w:r>
                <w:rPr>
                  <w:rStyle w:val="Hyperlink"/>
                  <w:sz w:val="20"/>
                  <w:szCs w:val="20"/>
                </w:rPr>
                <w:t xml:space="preserve">Misting nozzles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Uxcell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Deliver nutrient/sampling solution to the root system (0.1mm orifice diameter). 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3" w:history="1">
              <w:r>
                <w:rPr>
                  <w:rStyle w:val="Hyperlink"/>
                  <w:sz w:val="20"/>
                  <w:szCs w:val="20"/>
                </w:rPr>
                <w:t xml:space="preserve">Misting nozzle tees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Dreamtop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Threaded on top for nozzle replacement with push-to-connect tubing on both sides.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4" w:history="1">
              <w:r>
                <w:rPr>
                  <w:rStyle w:val="Hyperlink"/>
                  <w:sz w:val="20"/>
                  <w:szCs w:val="20"/>
                </w:rPr>
                <w:t xml:space="preserve">High-pressure booster water pump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Bacoeng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Pressurizes nutrient/sampling solution to the delivered to the plant roots. Contains pressure shut off switch set to user-defined condition. 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5" w:history="1">
              <w:r>
                <w:rPr>
                  <w:rStyle w:val="Hyperlink"/>
                  <w:sz w:val="20"/>
                  <w:szCs w:val="20"/>
                </w:rPr>
                <w:t xml:space="preserve">Solenoid valve 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Beduan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Normally-closed valve that when opened allows for flow to treatment blocks. Solenoids are activated by stripped 2-prong extension cord that has been stripped and outfitted with appropriate fittings 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6" w:history="1">
              <w:r>
                <w:rPr>
                  <w:rStyle w:val="Hyperlink"/>
                  <w:sz w:val="20"/>
                  <w:szCs w:val="20"/>
                </w:rPr>
                <w:t xml:space="preserve">Pressure gauge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Malida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Ensures pressure is maintained throughout the experiment without requiring modification to the system. Aids in troubleshooting and leak detection.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7" w:history="1">
              <w:r>
                <w:rPr>
                  <w:rStyle w:val="Hyperlink"/>
                  <w:sz w:val="20"/>
                  <w:szCs w:val="20"/>
                </w:rPr>
                <w:t xml:space="preserve">1/4-inch Tee 3-way tube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Mattox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Spray rings and other junctions of the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aeroponic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system are created using these push-to-connect fittings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8" w:history="1">
              <w:r>
                <w:rPr>
                  <w:rStyle w:val="Hyperlink"/>
                  <w:sz w:val="20"/>
                  <w:szCs w:val="20"/>
                </w:rPr>
                <w:t xml:space="preserve">Pressurized accumulator tank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Seaflow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Stores pressurized nutrient/sampling solution so that when solenoids are opened there is a sufficient supply to saturate demand of all spray nozzles; creates fully pressurized spray intervals to minimize pump delay.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19" w:history="1">
              <w:r>
                <w:rPr>
                  <w:rStyle w:val="Hyperlink"/>
                  <w:sz w:val="20"/>
                  <w:szCs w:val="20"/>
                </w:rPr>
                <w:t xml:space="preserve">Nutrient solution container 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HDX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Stores nutrient solution throughout experimentation. Is equipped with a threaded barb to connect with tubing that will go directly to the pump. </w:t>
            </w:r>
          </w:p>
        </w:tc>
      </w:tr>
      <w:tr w:rsidR="007E67C4" w:rsidTr="007E67C4">
        <w:trPr>
          <w:trHeight w:val="315"/>
        </w:trPr>
        <w:tc>
          <w:tcPr>
            <w:tcW w:w="1260" w:type="dxa"/>
            <w:vMerge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hyperlink r:id="rId20" w:history="1">
              <w:r>
                <w:rPr>
                  <w:rStyle w:val="Hyperlink"/>
                  <w:sz w:val="20"/>
                  <w:szCs w:val="20"/>
                </w:rPr>
                <w:t xml:space="preserve">1/4-inch black tubing </w:t>
              </w:r>
            </w:hyperlink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MIXC 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:rsidR="007E67C4" w:rsidRDefault="007E67C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Connects all components of the </w:t>
            </w:r>
            <w:proofErr w:type="spellStart"/>
            <w:r>
              <w:rPr>
                <w:rFonts w:eastAsia="Times New Roman" w:cs="Times New Roman"/>
                <w:sz w:val="20"/>
                <w:szCs w:val="20"/>
              </w:rPr>
              <w:t>aeroponic</w:t>
            </w:r>
            <w:proofErr w:type="spellEnd"/>
            <w:r>
              <w:rPr>
                <w:rFonts w:eastAsia="Times New Roman" w:cs="Times New Roman"/>
                <w:sz w:val="20"/>
                <w:szCs w:val="20"/>
              </w:rPr>
              <w:t xml:space="preserve"> system.</w:t>
            </w:r>
          </w:p>
        </w:tc>
      </w:tr>
    </w:tbl>
    <w:p w:rsidR="007E67C4" w:rsidRDefault="007E67C4" w:rsidP="007E67C4">
      <w:pPr>
        <w:rPr>
          <w:rFonts w:cs="Times New Roman"/>
        </w:rPr>
      </w:pPr>
    </w:p>
    <w:p w:rsidR="007E67C4" w:rsidRDefault="007E67C4" w:rsidP="007E67C4">
      <w:pPr>
        <w:spacing w:line="240" w:lineRule="auto"/>
        <w:rPr>
          <w:rFonts w:cs="Times New Roman"/>
        </w:rPr>
      </w:pPr>
      <w:r>
        <w:rPr>
          <w:rFonts w:cs="Times New Roman"/>
        </w:rPr>
        <w:br w:type="page"/>
      </w:r>
    </w:p>
    <w:p w:rsidR="007E67C4" w:rsidRDefault="007E67C4" w:rsidP="007E67C4">
      <w:pPr>
        <w:rPr>
          <w:rFonts w:cs="Times New Roman"/>
        </w:rPr>
      </w:pPr>
      <w:r>
        <w:rPr>
          <w:rFonts w:cs="Times New Roman"/>
          <w:b/>
          <w:bCs/>
        </w:rPr>
        <w:lastRenderedPageBreak/>
        <w:t>Table S2.</w:t>
      </w:r>
      <w:r>
        <w:rPr>
          <w:rFonts w:cs="Times New Roman"/>
        </w:rPr>
        <w:t xml:space="preserve"> The ABA concentration in the root exudates from two cultivars under drought control treatments. The root exudates were collected with 0.05 </w:t>
      </w:r>
      <w:proofErr w:type="spellStart"/>
      <w:r>
        <w:rPr>
          <w:rFonts w:cs="Times New Roman"/>
        </w:rPr>
        <w:t>mM</w:t>
      </w:r>
      <w:proofErr w:type="spellEnd"/>
      <w:r>
        <w:rPr>
          <w:rFonts w:cs="Times New Roman"/>
        </w:rPr>
        <w:t xml:space="preserve"> CaCl</w:t>
      </w:r>
      <w:r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in the morning (10 am-11:59 am) and afternoon (2-4 pm) on the same day. Approximately 50 mL of collected sample was freeze-dried, and the ABA was quantified using LC-MS.</w:t>
      </w:r>
    </w:p>
    <w:tbl>
      <w:tblPr>
        <w:tblW w:w="0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990"/>
        <w:gridCol w:w="990"/>
        <w:gridCol w:w="1170"/>
        <w:gridCol w:w="1800"/>
        <w:gridCol w:w="180"/>
        <w:gridCol w:w="2070"/>
        <w:gridCol w:w="1186"/>
        <w:gridCol w:w="973"/>
      </w:tblGrid>
      <w:tr w:rsidR="007E67C4" w:rsidTr="007E67C4">
        <w:trPr>
          <w:trHeight w:val="257"/>
        </w:trPr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Sample ID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Treatment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Collection Time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Misting Cycle </w:t>
            </w:r>
          </w:p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(min on, min off)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Cotton Cultivar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Sample (g) for LC-MS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ABA </w:t>
            </w:r>
          </w:p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</w:t>
            </w:r>
            <w:proofErr w:type="spellStart"/>
            <w:r>
              <w:rPr>
                <w:rFonts w:eastAsia="Times New Roman" w:cs="Times New Roman"/>
                <w:color w:val="000000"/>
              </w:rPr>
              <w:t>pmol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g</w:t>
            </w:r>
            <w:r>
              <w:rPr>
                <w:rFonts w:eastAsia="Times New Roman" w:cs="Times New Roman"/>
                <w:color w:val="000000"/>
                <w:vertAlign w:val="superscript"/>
              </w:rPr>
              <w:t>-1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LE037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AM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 X-26-3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0.0013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8,811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LE039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 X-26-3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0.0001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40,828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LE040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TAM421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0.0038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36,378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LE042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TAM421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0.0019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9,529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LE043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Control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AM</w:t>
            </w:r>
          </w:p>
        </w:tc>
        <w:tc>
          <w:tcPr>
            <w:tcW w:w="180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5:00</w:t>
            </w:r>
          </w:p>
        </w:tc>
        <w:tc>
          <w:tcPr>
            <w:tcW w:w="180" w:type="dxa"/>
            <w:vAlign w:val="bottom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TAM421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0.0013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2,929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LE049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 X-26-3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0.0018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11,457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LE051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 X-26-3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0.0008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12,998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LE052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TAM421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0.0031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47,431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LE054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Drought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60:00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TAM421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0.0017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47,108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LE055</w:t>
            </w:r>
          </w:p>
        </w:tc>
        <w:tc>
          <w:tcPr>
            <w:tcW w:w="99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Control</w:t>
            </w:r>
          </w:p>
        </w:tc>
        <w:tc>
          <w:tcPr>
            <w:tcW w:w="11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PM</w:t>
            </w:r>
          </w:p>
        </w:tc>
        <w:tc>
          <w:tcPr>
            <w:tcW w:w="1800" w:type="dxa"/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5:00</w:t>
            </w:r>
          </w:p>
        </w:tc>
        <w:tc>
          <w:tcPr>
            <w:tcW w:w="180" w:type="dxa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TAM421</w:t>
            </w:r>
          </w:p>
        </w:tc>
        <w:tc>
          <w:tcPr>
            <w:tcW w:w="1186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0.0014</w:t>
            </w:r>
          </w:p>
        </w:tc>
        <w:tc>
          <w:tcPr>
            <w:tcW w:w="973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6,523</w:t>
            </w:r>
          </w:p>
        </w:tc>
      </w:tr>
      <w:tr w:rsidR="007E67C4" w:rsidTr="007E67C4">
        <w:trPr>
          <w:trHeight w:val="257"/>
        </w:trPr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LE059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Control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0:10, 5:00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TAM_X-26-3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0.0004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3,450</w:t>
            </w:r>
          </w:p>
        </w:tc>
      </w:tr>
    </w:tbl>
    <w:p w:rsidR="007E67C4" w:rsidRDefault="007E67C4" w:rsidP="007E67C4">
      <w:pPr>
        <w:rPr>
          <w:sz w:val="22"/>
          <w:szCs w:val="22"/>
        </w:rPr>
        <w:sectPr w:rsidR="007E67C4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</w:p>
    <w:p w:rsidR="007E67C4" w:rsidRDefault="007E67C4" w:rsidP="007E67C4">
      <w:pPr>
        <w:rPr>
          <w:rFonts w:cs="Times New Roman"/>
          <w:color w:val="000000"/>
        </w:rPr>
      </w:pPr>
      <w:r>
        <w:rPr>
          <w:rFonts w:cs="Times New Roman"/>
          <w:b/>
          <w:bCs/>
        </w:rPr>
        <w:lastRenderedPageBreak/>
        <w:t>Table S3.</w:t>
      </w:r>
      <w:r>
        <w:rPr>
          <w:rFonts w:cs="Times New Roman"/>
        </w:rPr>
        <w:t xml:space="preserve"> </w:t>
      </w:r>
      <w:r>
        <w:rPr>
          <w:rFonts w:cs="Times New Roman"/>
          <w:b/>
          <w:bCs/>
          <w:color w:val="000000"/>
        </w:rPr>
        <w:t xml:space="preserve"> Pearson correlation analysis for the drought severity index (visual), morphological traits, fluorescence parameters, and plant</w:t>
      </w:r>
      <w:r>
        <w:rPr>
          <w:rFonts w:cs="Times New Roman"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 xml:space="preserve">hormone data. </w:t>
      </w:r>
      <w:r>
        <w:rPr>
          <w:rFonts w:cs="Times New Roman"/>
          <w:color w:val="000000"/>
        </w:rPr>
        <w:t xml:space="preserve">All the data from water deficit phase were included for analysis. The top value indicates the correlation coefficient, and the bottom value indicates the </w:t>
      </w:r>
      <w:r>
        <w:rPr>
          <w:rFonts w:cs="Times New Roman"/>
          <w:i/>
          <w:iCs/>
          <w:color w:val="000000"/>
        </w:rPr>
        <w:t>p</w:t>
      </w:r>
      <w:r>
        <w:rPr>
          <w:rFonts w:cs="Times New Roman"/>
          <w:color w:val="000000"/>
        </w:rPr>
        <w:t xml:space="preserve">-value. ns=non-significant. </w:t>
      </w:r>
    </w:p>
    <w:tbl>
      <w:tblPr>
        <w:tblpPr w:leftFromText="180" w:rightFromText="180" w:vertAnchor="page" w:horzAnchor="margin" w:tblpY="3031"/>
        <w:tblW w:w="12003" w:type="dxa"/>
        <w:tblLook w:val="04A0" w:firstRow="1" w:lastRow="0" w:firstColumn="1" w:lastColumn="0" w:noHBand="0" w:noVBand="1"/>
      </w:tblPr>
      <w:tblGrid>
        <w:gridCol w:w="1611"/>
        <w:gridCol w:w="921"/>
        <w:gridCol w:w="1614"/>
        <w:gridCol w:w="794"/>
        <w:gridCol w:w="876"/>
        <w:gridCol w:w="879"/>
        <w:gridCol w:w="905"/>
        <w:gridCol w:w="950"/>
        <w:gridCol w:w="1075"/>
        <w:gridCol w:w="879"/>
        <w:gridCol w:w="583"/>
        <w:gridCol w:w="965"/>
        <w:gridCol w:w="105"/>
      </w:tblGrid>
      <w:tr w:rsidR="007E67C4" w:rsidTr="007E67C4">
        <w:trPr>
          <w:trHeight w:val="592"/>
        </w:trPr>
        <w:tc>
          <w:tcPr>
            <w:tcW w:w="161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cs="Times New Roman"/>
                <w:color w:val="000000"/>
              </w:rPr>
            </w:pPr>
          </w:p>
        </w:tc>
        <w:tc>
          <w:tcPr>
            <w:tcW w:w="25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Morphological traits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541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Fluorescence parameters</w:t>
            </w:r>
          </w:p>
        </w:tc>
        <w:tc>
          <w:tcPr>
            <w:tcW w:w="58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Plant hormone</w:t>
            </w:r>
          </w:p>
        </w:tc>
      </w:tr>
      <w:tr w:rsidR="007E67C4" w:rsidTr="007E67C4">
        <w:trPr>
          <w:gridAfter w:val="1"/>
          <w:wAfter w:w="105" w:type="dxa"/>
          <w:trHeight w:val="234"/>
        </w:trPr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Shoot Length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Number of green leaves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Fm</w:t>
            </w:r>
            <w:proofErr w:type="spellEnd"/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Fo</w:t>
            </w:r>
            <w:proofErr w:type="spellEnd"/>
          </w:p>
        </w:tc>
        <w:tc>
          <w:tcPr>
            <w:tcW w:w="90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Tro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ETo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</w:rPr>
            </w:pPr>
            <w:r>
              <w:rPr>
                <w:rFonts w:eastAsia="Times New Roman" w:cs="Times New Roman"/>
                <w:i/>
                <w:iCs/>
                <w:color w:val="000000"/>
              </w:rPr>
              <w:t>(1-Vj)/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</w:rPr>
              <w:t>Vj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PI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abs</w:t>
            </w:r>
            <w:proofErr w:type="spellEnd"/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  <w:lang w:eastAsia="zh-TW"/>
              </w:rPr>
              <w:t xml:space="preserve">ABA 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Drought severity index</w:t>
            </w: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794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-0.24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  <w:lang w:eastAsia="zh-TW"/>
              </w:rPr>
              <w:t>0.48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&lt;.0001</w:t>
            </w:r>
          </w:p>
        </w:tc>
        <w:tc>
          <w:tcPr>
            <w:tcW w:w="794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0.0117</w:t>
            </w: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0.0451</w:t>
            </w: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0.0001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Shoot Length</w:t>
            </w: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94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7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-0.15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&lt;.0001</w:t>
            </w:r>
          </w:p>
        </w:tc>
        <w:tc>
          <w:tcPr>
            <w:tcW w:w="794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7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0.0021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0.0018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0.0234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0.0405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Number of green leaves</w:t>
            </w: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-0.16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7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0.0084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Fm</w:t>
            </w:r>
            <w:proofErr w:type="spellEnd"/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-0.13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Fo</w:t>
            </w:r>
            <w:proofErr w:type="spellEnd"/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-0.09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Tro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-0.12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ETo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</w:rPr>
            </w:pPr>
            <w:r>
              <w:rPr>
                <w:rFonts w:eastAsia="Times New Roman" w:cs="Times New Roman"/>
                <w:i/>
                <w:iCs/>
                <w:color w:val="000000"/>
              </w:rPr>
              <w:t>(1-Vj)/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</w:rPr>
              <w:t>Vj</w:t>
            </w:r>
            <w:proofErr w:type="spellEnd"/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</w:rPr>
            </w:pPr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583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PI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abs</w:t>
            </w:r>
            <w:proofErr w:type="spellEnd"/>
          </w:p>
        </w:tc>
        <w:tc>
          <w:tcPr>
            <w:tcW w:w="921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7E67C4" w:rsidTr="007E67C4">
        <w:trPr>
          <w:gridAfter w:val="1"/>
          <w:wAfter w:w="105" w:type="dxa"/>
          <w:trHeight w:val="21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gridAfter w:val="1"/>
          <w:wAfter w:w="105" w:type="dxa"/>
          <w:trHeight w:val="207"/>
        </w:trPr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/>
        </w:tc>
        <w:tc>
          <w:tcPr>
            <w:tcW w:w="9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7E67C4" w:rsidRDefault="007E67C4" w:rsidP="007E67C4">
      <w:pPr>
        <w:rPr>
          <w:sz w:val="22"/>
          <w:szCs w:val="22"/>
        </w:rPr>
      </w:pPr>
    </w:p>
    <w:p w:rsidR="007E67C4" w:rsidRDefault="007E67C4" w:rsidP="007E67C4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7E67C4" w:rsidRDefault="007E67C4" w:rsidP="007E67C4">
      <w:pPr>
        <w:rPr>
          <w:rFonts w:cs="Times New Roman"/>
          <w:color w:val="000000"/>
        </w:rPr>
      </w:pPr>
      <w:r>
        <w:rPr>
          <w:rFonts w:cs="Times New Roman"/>
          <w:b/>
          <w:bCs/>
        </w:rPr>
        <w:lastRenderedPageBreak/>
        <w:t>Table S4.</w:t>
      </w:r>
      <w:r>
        <w:rPr>
          <w:rFonts w:cs="Times New Roman"/>
        </w:rPr>
        <w:t xml:space="preserve"> </w:t>
      </w:r>
      <w:r>
        <w:rPr>
          <w:rFonts w:cs="Times New Roman"/>
          <w:b/>
          <w:bCs/>
          <w:color w:val="000000"/>
        </w:rPr>
        <w:t xml:space="preserve"> Pearson correlation analysis for the drought severity index (visual), morphological traits, fluorescence parameters, and plant</w:t>
      </w:r>
      <w:r>
        <w:rPr>
          <w:rFonts w:cs="Times New Roman"/>
          <w:color w:val="000000"/>
        </w:rPr>
        <w:t xml:space="preserve"> </w:t>
      </w:r>
      <w:r>
        <w:rPr>
          <w:rFonts w:cs="Times New Roman"/>
          <w:b/>
          <w:bCs/>
          <w:color w:val="000000"/>
        </w:rPr>
        <w:t xml:space="preserve">hormone data. </w:t>
      </w:r>
      <w:r>
        <w:rPr>
          <w:rFonts w:cs="Times New Roman"/>
          <w:color w:val="000000"/>
        </w:rPr>
        <w:t xml:space="preserve">All the data from recovery phase were included for analysis. The top value indicates the correlation coefficient, and the bottom value indicates the </w:t>
      </w:r>
      <w:r>
        <w:rPr>
          <w:rFonts w:cs="Times New Roman"/>
          <w:i/>
          <w:iCs/>
          <w:color w:val="000000"/>
        </w:rPr>
        <w:t>p</w:t>
      </w:r>
      <w:r>
        <w:rPr>
          <w:rFonts w:cs="Times New Roman"/>
          <w:color w:val="000000"/>
        </w:rPr>
        <w:t xml:space="preserve">-value. ns=non-significant. </w:t>
      </w:r>
    </w:p>
    <w:tbl>
      <w:tblPr>
        <w:tblW w:w="12201" w:type="dxa"/>
        <w:tblLook w:val="04A0" w:firstRow="1" w:lastRow="0" w:firstColumn="1" w:lastColumn="0" w:noHBand="0" w:noVBand="1"/>
      </w:tblPr>
      <w:tblGrid>
        <w:gridCol w:w="1566"/>
        <w:gridCol w:w="900"/>
        <w:gridCol w:w="1568"/>
        <w:gridCol w:w="778"/>
        <w:gridCol w:w="895"/>
        <w:gridCol w:w="895"/>
        <w:gridCol w:w="932"/>
        <w:gridCol w:w="978"/>
        <w:gridCol w:w="938"/>
        <w:gridCol w:w="879"/>
        <w:gridCol w:w="778"/>
        <w:gridCol w:w="1094"/>
      </w:tblGrid>
      <w:tr w:rsidR="007E67C4" w:rsidTr="007E67C4">
        <w:trPr>
          <w:trHeight w:val="205"/>
        </w:trPr>
        <w:tc>
          <w:tcPr>
            <w:tcW w:w="156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cs="Times New Roman"/>
                <w:color w:val="000000"/>
              </w:rPr>
            </w:pPr>
          </w:p>
        </w:tc>
        <w:tc>
          <w:tcPr>
            <w:tcW w:w="24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Morphological traits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551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Fluorescence parameters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Plant hormone</w:t>
            </w:r>
          </w:p>
        </w:tc>
      </w:tr>
      <w:tr w:rsidR="007E67C4" w:rsidTr="007E67C4">
        <w:trPr>
          <w:trHeight w:val="222"/>
        </w:trPr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Shoot Length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Number of green leaves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Fm</w:t>
            </w:r>
            <w:proofErr w:type="spellEnd"/>
          </w:p>
        </w:tc>
        <w:tc>
          <w:tcPr>
            <w:tcW w:w="8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Fo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Tro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ETo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3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(1-Vj)/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Vj</w:t>
            </w:r>
            <w:proofErr w:type="spellEnd"/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PI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abs</w:t>
            </w:r>
            <w:proofErr w:type="spellEnd"/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ABA</w:t>
            </w: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Drought severity index</w:t>
            </w: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-0.15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0.0427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0.0319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0.0431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0.0165</w:t>
            </w: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0.0128</w:t>
            </w: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0.0061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Shoot Length</w:t>
            </w: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895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932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978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938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879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0.20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0.0908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0.0859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0.0097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0.0134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Number of green leaves</w:t>
            </w: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0.0659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Fm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-0.29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Fv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Fo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-0.27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Tro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FFFFFF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-0.29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ETo</w:t>
            </w:r>
            <w:proofErr w:type="spellEnd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/ABS</w:t>
            </w: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-0.34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8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</w:rPr>
            </w:pPr>
            <w:r>
              <w:rPr>
                <w:rFonts w:eastAsia="Times New Roman" w:cs="Times New Roman"/>
                <w:i/>
                <w:iCs/>
                <w:color w:val="000000"/>
              </w:rPr>
              <w:t>(1-Vj)/</w:t>
            </w:r>
            <w:proofErr w:type="spellStart"/>
            <w:r>
              <w:rPr>
                <w:rFonts w:eastAsia="Times New Roman" w:cs="Times New Roman"/>
                <w:i/>
                <w:iCs/>
                <w:color w:val="000000"/>
              </w:rPr>
              <w:t>Vj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778" w:type="dxa"/>
            <w:noWrap/>
            <w:vAlign w:val="bottom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-0.29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79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bottom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  <w:tr w:rsidR="007E67C4" w:rsidTr="007E67C4">
        <w:trPr>
          <w:trHeight w:val="205"/>
        </w:trPr>
        <w:tc>
          <w:tcPr>
            <w:tcW w:w="1566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94" w:type="dxa"/>
            <w:noWrap/>
            <w:vAlign w:val="center"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E67C4" w:rsidTr="007E67C4">
        <w:trPr>
          <w:trHeight w:val="197"/>
        </w:trPr>
        <w:tc>
          <w:tcPr>
            <w:tcW w:w="1566" w:type="dxa"/>
            <w:vMerge w:val="restart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PI</w:t>
            </w: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abs</w:t>
            </w:r>
            <w:proofErr w:type="spellEnd"/>
          </w:p>
        </w:tc>
        <w:tc>
          <w:tcPr>
            <w:tcW w:w="900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8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79" w:type="dxa"/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-0.29</w:t>
            </w:r>
          </w:p>
        </w:tc>
      </w:tr>
      <w:tr w:rsidR="007E67C4" w:rsidTr="007E67C4">
        <w:trPr>
          <w:trHeight w:val="197"/>
        </w:trPr>
        <w:tc>
          <w:tcPr>
            <w:tcW w:w="0" w:type="auto"/>
            <w:vMerge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E67C4" w:rsidRDefault="007E67C4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7E67C4" w:rsidRDefault="007E67C4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ns</w:t>
            </w:r>
          </w:p>
        </w:tc>
      </w:tr>
    </w:tbl>
    <w:p w:rsidR="007E67C4" w:rsidRDefault="007E67C4" w:rsidP="007E67C4">
      <w:pPr>
        <w:sectPr w:rsidR="007E67C4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:rsidR="007E67C4" w:rsidRDefault="007E67C4" w:rsidP="007E67C4">
      <w:r>
        <w:rPr>
          <w:noProof/>
        </w:rPr>
        <w:lastRenderedPageBreak/>
        <w:drawing>
          <wp:inline distT="0" distB="0" distL="0" distR="0">
            <wp:extent cx="5943600" cy="3524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7C4" w:rsidRDefault="007E67C4" w:rsidP="007E67C4">
      <w:r>
        <w:rPr>
          <w:b/>
          <w:bCs/>
        </w:rPr>
        <w:t>Fig. S1.</w:t>
      </w:r>
      <w:r>
        <w:t xml:space="preserve"> Growth performance of cotton (cv. TAM 421) at 11 days after treatment in the growth chamber. (A) control (full-irrigated) treated plants (B) drought-treated plants. </w:t>
      </w:r>
    </w:p>
    <w:p w:rsidR="007E67C4" w:rsidRDefault="007E67C4" w:rsidP="007E67C4"/>
    <w:p w:rsidR="007E67C4" w:rsidRDefault="007E67C4" w:rsidP="007E67C4">
      <w:r>
        <w:br w:type="page"/>
      </w:r>
    </w:p>
    <w:p w:rsidR="007E67C4" w:rsidRDefault="007E67C4" w:rsidP="007E67C4">
      <w:r>
        <w:rPr>
          <w:noProof/>
        </w:rPr>
        <w:lastRenderedPageBreak/>
        <w:drawing>
          <wp:inline distT="0" distB="0" distL="0" distR="0">
            <wp:extent cx="5943600" cy="411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Fig. S2. Boxplot of four fluorescence parameters under progression drought and recovery treatment. </w:t>
      </w:r>
      <w:r>
        <w:rPr>
          <w:b/>
          <w:bCs/>
          <w:lang w:eastAsia="zh-TW"/>
        </w:rPr>
        <w:t xml:space="preserve">(A) </w:t>
      </w:r>
      <w:proofErr w:type="spellStart"/>
      <w:r>
        <w:rPr>
          <w:i/>
          <w:iCs/>
        </w:rPr>
        <w:t>Fv</w:t>
      </w:r>
      <w:proofErr w:type="spellEnd"/>
      <w:r>
        <w:rPr>
          <w:i/>
          <w:iCs/>
        </w:rPr>
        <w:t>/</w:t>
      </w:r>
      <w:proofErr w:type="spellStart"/>
      <w:proofErr w:type="gramStart"/>
      <w:r>
        <w:rPr>
          <w:i/>
          <w:iCs/>
        </w:rPr>
        <w:t>Fo</w:t>
      </w:r>
      <w:proofErr w:type="spellEnd"/>
      <w:r>
        <w:rPr>
          <w:b/>
          <w:bCs/>
          <w:lang w:eastAsia="zh-TW"/>
        </w:rPr>
        <w:t xml:space="preserve">  (</w:t>
      </w:r>
      <w:proofErr w:type="gramEnd"/>
      <w:r>
        <w:rPr>
          <w:b/>
          <w:bCs/>
          <w:lang w:eastAsia="zh-TW"/>
        </w:rPr>
        <w:t xml:space="preserve">B) </w:t>
      </w:r>
      <w:r>
        <w:rPr>
          <w:i/>
          <w:iCs/>
        </w:rPr>
        <w:t>1-Vj/</w:t>
      </w:r>
      <w:proofErr w:type="spellStart"/>
      <w:r>
        <w:rPr>
          <w:i/>
          <w:iCs/>
        </w:rPr>
        <w:t>Vj</w:t>
      </w:r>
      <w:proofErr w:type="spellEnd"/>
      <w:r>
        <w:rPr>
          <w:b/>
          <w:bCs/>
          <w:lang w:eastAsia="zh-TW"/>
        </w:rPr>
        <w:t xml:space="preserve"> (C) </w:t>
      </w:r>
      <w:proofErr w:type="spellStart"/>
      <w:r>
        <w:rPr>
          <w:i/>
          <w:iCs/>
        </w:rPr>
        <w:t>Tro</w:t>
      </w:r>
      <w:proofErr w:type="spellEnd"/>
      <w:r>
        <w:rPr>
          <w:i/>
          <w:iCs/>
        </w:rPr>
        <w:t>/ABS</w:t>
      </w:r>
      <w:r>
        <w:rPr>
          <w:b/>
          <w:bCs/>
          <w:lang w:eastAsia="zh-TW"/>
        </w:rPr>
        <w:t xml:space="preserve"> (D) </w:t>
      </w:r>
      <w:proofErr w:type="spellStart"/>
      <w:r>
        <w:rPr>
          <w:i/>
          <w:iCs/>
        </w:rPr>
        <w:t>Eto</w:t>
      </w:r>
      <w:proofErr w:type="spellEnd"/>
      <w:r>
        <w:rPr>
          <w:i/>
          <w:iCs/>
        </w:rPr>
        <w:t>/ABS.</w:t>
      </w:r>
      <w:r>
        <w:rPr>
          <w:highlight w:val="lightGray"/>
        </w:rPr>
        <w:t xml:space="preserve"> </w:t>
      </w:r>
      <w:r>
        <w:t>The control treatment was under full irrigation (131 mL hr</w:t>
      </w:r>
      <w:r>
        <w:rPr>
          <w:vertAlign w:val="superscript"/>
        </w:rPr>
        <w:t>-1</w:t>
      </w:r>
      <w:r>
        <w:t>, 100%), while the drought treatment received progressively limited water for 11 days (11 DAT: 13 mL hr</w:t>
      </w:r>
      <w:r>
        <w:rPr>
          <w:vertAlign w:val="superscript"/>
        </w:rPr>
        <w:t>-1</w:t>
      </w:r>
      <w:r>
        <w:t xml:space="preserve"> 10%). During the recovery phase, all plants received full irrigation. Error bars indicate </w:t>
      </w:r>
      <w:r>
        <w:fldChar w:fldCharType="begin"/>
      </w:r>
      <w:r>
        <w:instrText xml:space="preserve"> QUOTE </w:instrText>
      </w:r>
      <w:r>
        <w:rPr>
          <w:position w:val="-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2.5pt;height:21pt" equationxml="&lt;">
            <v:imagedata r:id="rId23" o:title="" chromakey="white"/>
          </v:shape>
        </w:pict>
      </w:r>
      <w:r>
        <w:instrText xml:space="preserve"> </w:instrText>
      </w:r>
      <w:r>
        <w:fldChar w:fldCharType="separate"/>
      </w:r>
      <w:r>
        <w:rPr>
          <w:position w:val="-20"/>
        </w:rPr>
        <w:pict>
          <v:shape id="_x0000_i1028" type="#_x0000_t75" style="width:22.5pt;height:21pt" equationxml="&lt;">
            <v:imagedata r:id="rId23" o:title="" chromakey="white"/>
          </v:shape>
        </w:pict>
      </w:r>
      <w:r>
        <w:fldChar w:fldCharType="end"/>
      </w:r>
      <w:r>
        <w:t xml:space="preserve">. Asterisk indicates significant differences (one-way ANOVA, </w:t>
      </w:r>
      <w:r>
        <w:rPr>
          <w:i/>
          <w:iCs/>
        </w:rPr>
        <w:t>p</w:t>
      </w:r>
      <w:r>
        <w:t>&lt;0.05) between drought and control treatments at each collection day. Blue points represent the mean of three data points from each sampled pot.</w:t>
      </w:r>
    </w:p>
    <w:p w:rsidR="007E67C4" w:rsidRDefault="007E67C4" w:rsidP="007E67C4">
      <w:pPr>
        <w:rPr>
          <w:b/>
          <w:bCs/>
        </w:rPr>
      </w:pPr>
      <w:r>
        <w:br w:type="page"/>
      </w:r>
      <w:r>
        <w:rPr>
          <w:noProof/>
        </w:rPr>
        <w:lastRenderedPageBreak/>
        <w:drawing>
          <wp:inline distT="0" distB="0" distL="0" distR="0">
            <wp:extent cx="4572000" cy="2209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7C4" w:rsidRDefault="007E67C4" w:rsidP="007E67C4">
      <w:r>
        <w:rPr>
          <w:b/>
          <w:bCs/>
        </w:rPr>
        <w:t xml:space="preserve">Fig. S3. Root border cells of </w:t>
      </w:r>
      <w:proofErr w:type="spellStart"/>
      <w:r>
        <w:rPr>
          <w:b/>
          <w:bCs/>
        </w:rPr>
        <w:t>aeroponic</w:t>
      </w:r>
      <w:proofErr w:type="spellEnd"/>
      <w:r>
        <w:rPr>
          <w:b/>
          <w:bCs/>
        </w:rPr>
        <w:t xml:space="preserve"> cotton.</w:t>
      </w:r>
      <w:r>
        <w:t xml:space="preserve"> A dispersion of root border cells was observed on a 10 cm section of root tip after immersion in water for 3 min. Picture was taken with a compound microscope at 10 x resolution. </w:t>
      </w:r>
    </w:p>
    <w:p w:rsidR="007E67C4" w:rsidRDefault="007E67C4" w:rsidP="007E67C4"/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7C4"/>
    <w:rsid w:val="007E67C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2623B8-02DF-418A-9C7E-1761F3912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7C4"/>
    <w:pPr>
      <w:spacing w:after="0" w:line="360" w:lineRule="auto"/>
    </w:pPr>
    <w:rPr>
      <w:rFonts w:ascii="Times New Roman" w:eastAsia="PMingLiU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67C4"/>
    <w:pPr>
      <w:keepNext/>
      <w:keepLines/>
      <w:spacing w:line="480" w:lineRule="auto"/>
      <w:outlineLvl w:val="0"/>
    </w:pPr>
    <w:rPr>
      <w:rFonts w:eastAsia="Times New Roman" w:cs="Times New Roman"/>
      <w:b/>
      <w:color w:val="4472C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67C4"/>
    <w:pPr>
      <w:keepNext/>
      <w:keepLines/>
      <w:spacing w:before="4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67C4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67C4"/>
    <w:rPr>
      <w:rFonts w:ascii="Times New Roman" w:eastAsia="Times New Roman" w:hAnsi="Times New Roman" w:cs="Times New Roman"/>
      <w:b/>
      <w:color w:val="4472C4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67C4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67C4"/>
    <w:rPr>
      <w:rFonts w:ascii="Calibri Light" w:eastAsia="Times New Roman" w:hAnsi="Calibri Light" w:cs="Times New Roman"/>
      <w:color w:val="1F3763"/>
      <w:sz w:val="24"/>
      <w:szCs w:val="24"/>
    </w:rPr>
  </w:style>
  <w:style w:type="character" w:styleId="Hyperlink">
    <w:name w:val="Hyperlink"/>
    <w:uiPriority w:val="99"/>
    <w:semiHidden/>
    <w:unhideWhenUsed/>
    <w:rsid w:val="007E67C4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7E67C4"/>
    <w:rPr>
      <w:color w:val="954F72"/>
      <w:u w:val="single"/>
    </w:rPr>
  </w:style>
  <w:style w:type="paragraph" w:customStyle="1" w:styleId="msonormal0">
    <w:name w:val="msonormal"/>
    <w:basedOn w:val="Normal"/>
    <w:uiPriority w:val="99"/>
    <w:rsid w:val="007E67C4"/>
    <w:rPr>
      <w:rFonts w:cs="Times New Roman"/>
    </w:rPr>
  </w:style>
  <w:style w:type="paragraph" w:styleId="NormalWeb">
    <w:name w:val="Normal (Web)"/>
    <w:basedOn w:val="Normal"/>
    <w:uiPriority w:val="99"/>
    <w:semiHidden/>
    <w:unhideWhenUsed/>
    <w:rsid w:val="007E67C4"/>
    <w:rPr>
      <w:rFonts w:cs="Times New Roman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67C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67C4"/>
    <w:rPr>
      <w:rFonts w:ascii="Times New Roman" w:eastAsia="PMingLiU" w:hAnsi="Times New Roman" w:cs="Arial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7E67C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67C4"/>
    <w:rPr>
      <w:rFonts w:ascii="Times New Roman" w:eastAsia="PMingLiU" w:hAnsi="Times New Roman" w:cs="Arial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E67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67C4"/>
    <w:rPr>
      <w:rFonts w:ascii="Times New Roman" w:eastAsia="PMingLiU" w:hAnsi="Times New Roman" w:cs="Arial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E67C4"/>
    <w:pPr>
      <w:spacing w:after="200" w:line="240" w:lineRule="auto"/>
    </w:pPr>
    <w:rPr>
      <w:i/>
      <w:iCs/>
      <w:color w:val="44546A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E67C4"/>
    <w:pPr>
      <w:contextualSpacing/>
      <w:jc w:val="center"/>
    </w:pPr>
    <w:rPr>
      <w:rFonts w:cs="Times New Roman"/>
      <w:b/>
      <w:color w:val="4472C4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67C4"/>
    <w:rPr>
      <w:rFonts w:ascii="Times New Roman" w:eastAsia="PMingLiU" w:hAnsi="Times New Roman" w:cs="Times New Roman"/>
      <w:b/>
      <w:color w:val="4472C4"/>
      <w:spacing w:val="-10"/>
      <w:kern w:val="28"/>
      <w:sz w:val="28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67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67C4"/>
    <w:rPr>
      <w:rFonts w:ascii="Times New Roman" w:eastAsia="PMingLiU" w:hAnsi="Times New Roman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7C4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7C4"/>
    <w:rPr>
      <w:rFonts w:ascii="Times New Roman" w:eastAsia="PMingLiU" w:hAnsi="Times New Roman" w:cs="Times New Roman"/>
      <w:sz w:val="18"/>
      <w:szCs w:val="18"/>
    </w:rPr>
  </w:style>
  <w:style w:type="paragraph" w:styleId="Revision">
    <w:name w:val="Revision"/>
    <w:uiPriority w:val="99"/>
    <w:semiHidden/>
    <w:rsid w:val="007E67C4"/>
    <w:pPr>
      <w:spacing w:after="0" w:line="240" w:lineRule="auto"/>
    </w:pPr>
    <w:rPr>
      <w:rFonts w:ascii="Times New Roman" w:eastAsia="PMingLiU" w:hAnsi="Times New Roman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7E67C4"/>
    <w:pPr>
      <w:ind w:left="720"/>
      <w:contextualSpacing/>
    </w:pPr>
  </w:style>
  <w:style w:type="paragraph" w:customStyle="1" w:styleId="Style1">
    <w:name w:val="Style1"/>
    <w:basedOn w:val="Heading1"/>
    <w:autoRedefine/>
    <w:uiPriority w:val="99"/>
    <w:qFormat/>
    <w:rsid w:val="007E67C4"/>
    <w:pPr>
      <w:spacing w:after="60"/>
    </w:pPr>
    <w:rPr>
      <w:rFonts w:ascii="Arial" w:eastAsia="PMingLiU" w:hAnsi="Arial"/>
      <w:b w:val="0"/>
      <w:color w:val="auto"/>
      <w:sz w:val="28"/>
    </w:rPr>
  </w:style>
  <w:style w:type="character" w:styleId="CommentReference">
    <w:name w:val="annotation reference"/>
    <w:uiPriority w:val="99"/>
    <w:semiHidden/>
    <w:unhideWhenUsed/>
    <w:rsid w:val="007E67C4"/>
    <w:rPr>
      <w:sz w:val="16"/>
      <w:szCs w:val="16"/>
    </w:rPr>
  </w:style>
  <w:style w:type="character" w:styleId="PlaceholderText">
    <w:name w:val="Placeholder Text"/>
    <w:uiPriority w:val="99"/>
    <w:semiHidden/>
    <w:rsid w:val="007E67C4"/>
    <w:rPr>
      <w:color w:val="808080"/>
    </w:rPr>
  </w:style>
  <w:style w:type="character" w:customStyle="1" w:styleId="UnresolvedMention">
    <w:name w:val="Unresolved Mention"/>
    <w:uiPriority w:val="99"/>
    <w:semiHidden/>
    <w:rsid w:val="007E67C4"/>
    <w:rPr>
      <w:color w:val="605E5C"/>
      <w:shd w:val="clear" w:color="auto" w:fill="E1DFDD"/>
    </w:rPr>
  </w:style>
  <w:style w:type="character" w:customStyle="1" w:styleId="ref-title">
    <w:name w:val="ref-title"/>
    <w:basedOn w:val="DefaultParagraphFont"/>
    <w:rsid w:val="007E67C4"/>
  </w:style>
  <w:style w:type="character" w:customStyle="1" w:styleId="ref-vol">
    <w:name w:val="ref-vol"/>
    <w:basedOn w:val="DefaultParagraphFont"/>
    <w:rsid w:val="007E67C4"/>
  </w:style>
  <w:style w:type="table" w:styleId="TableGrid">
    <w:name w:val="Table Grid"/>
    <w:basedOn w:val="TableNormal"/>
    <w:uiPriority w:val="59"/>
    <w:rsid w:val="007E67C4"/>
    <w:pPr>
      <w:spacing w:after="0" w:line="240" w:lineRule="auto"/>
    </w:pPr>
    <w:rPr>
      <w:rFonts w:ascii="Calibri" w:eastAsia="PMingLiU" w:hAnsi="Calibri" w:cs="Arial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PlainTable2">
    <w:name w:val="Plain Table 2"/>
    <w:basedOn w:val="TableNormal"/>
    <w:uiPriority w:val="42"/>
    <w:rsid w:val="007E67C4"/>
    <w:pPr>
      <w:spacing w:after="0" w:line="240" w:lineRule="auto"/>
    </w:pPr>
    <w:rPr>
      <w:rFonts w:ascii="Calibri" w:eastAsia="PMingLiU" w:hAnsi="Calibri" w:cs="Arial"/>
      <w:sz w:val="20"/>
      <w:szCs w:val="20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5">
    <w:name w:val="Plain Table 5"/>
    <w:basedOn w:val="TableNormal"/>
    <w:uiPriority w:val="45"/>
    <w:rsid w:val="007E67C4"/>
    <w:pPr>
      <w:spacing w:after="0" w:line="240" w:lineRule="auto"/>
    </w:pPr>
    <w:rPr>
      <w:rFonts w:ascii="Calibri" w:eastAsia="PMingLiU" w:hAnsi="Calibri" w:cs="Arial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rFonts w:ascii="Calibri Light" w:eastAsia="PMingLiU" w:hAnsi="Calibri Light" w:cs="Times New Roman" w:hint="default"/>
        <w:i/>
        <w:iCs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PMingLiU" w:hAnsi="Calibri Light" w:cs="Times New Roman" w:hint="default"/>
        <w:i/>
        <w:iCs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PMingLiU" w:hAnsi="Calibri Light" w:cs="Times New Roman" w:hint="default"/>
        <w:i/>
        <w:iCs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PMingLiU" w:hAnsi="Calibri Light" w:cs="Times New Roman" w:hint="default"/>
        <w:i/>
        <w:iCs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7E67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51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House-Naturals-Gallon-Bucket-Container/dp/B094XR2N5T/ref=sr_1_10?keywords=house+naturals+1+gallon+bucket&amp;qid=1654708788&amp;sr=8-10" TargetMode="External"/><Relationship Id="rId13" Type="http://schemas.openxmlformats.org/officeDocument/2006/relationships/hyperlink" Target="https://www.amazon.com/Dreamtop-Slip-Lok-Misting-Nozzle-Cooling/dp/B0749MVMQW/ref=sr_1_5?dchild=1&amp;keywords=Thread+Misting+Nozzle+Tees&amp;qid=1624984059&amp;sr=8-5" TargetMode="External"/><Relationship Id="rId18" Type="http://schemas.openxmlformats.org/officeDocument/2006/relationships/hyperlink" Target="http://ttps/www.amazon.com/gp/product/B01MVA6GCC/ref=ppx_yo_dt_b_asin_title_o06_s00?ie=UTF8&amp;psc=1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.png"/><Relationship Id="rId7" Type="http://schemas.openxmlformats.org/officeDocument/2006/relationships/hyperlink" Target="https://www.amazon.com/JpGdn-Hydroponics-Growing-Cylindric-Sponges/dp/B0785XFJ2Z/ref=sr_1_9?dchild=1&amp;keywords=Hydroponic+Sponge&amp;qid=1624458719&amp;refinements=p_72%3A2661618011&amp;rnid=2661617011&amp;s=lawn-garden&amp;sr=1-9" TargetMode="External"/><Relationship Id="rId12" Type="http://schemas.openxmlformats.org/officeDocument/2006/relationships/hyperlink" Target="https://www.amazon.com/uxcell-Brass-Misting-Nozzle-Replacement/dp/B07W61KN7P/ref=sr_1_5?dchild=1&amp;keywords=Misting+Nozzles+0.1mm&amp;qid=1624977857&amp;sr=8-5" TargetMode="External"/><Relationship Id="rId17" Type="http://schemas.openxmlformats.org/officeDocument/2006/relationships/hyperlink" Target="https://www.amazon.com/gp/product/B08N6TGYH5/ref=ppx_yo_dt_b_asin_title_o02_s01?ie=UTF8&amp;psc=1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amazon.com/gp/product/B0124FAV6Q/ref=ppx_yo_dt_b_asin_title_o02_s01?ie=UTF8&amp;psc=1" TargetMode="External"/><Relationship Id="rId20" Type="http://schemas.openxmlformats.org/officeDocument/2006/relationships/hyperlink" Target="https://www.amazon.com/MIXC-Blank-Distribution-Tubing-Irrigation/dp/B079GSWTTL/ref=sr_1_2?dchild=1&amp;keywords=1%2F4-Inch+tube+50+feet&amp;qid=1624984493&amp;s=lawn-garden&amp;sr=1-2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amazon.com/Pawfly-Cylinder-Diffuser-Airstones-Hydroponics/dp/B075QCWGZQ/ref=sr_1_2_sspa?keywords=air+stone&amp;qid=1654707633&amp;sr=8-2-spons&amp;psc=1&amp;spLa=ZW5jcnlwdGVkUXVhbGlmaWVyPUEyTkJRSk5VRFpOVUY4JmVuY3J5cHRlZElkPUEwMTQxMjA2MVhDRUZKN1FESkdQUSZlbmNyeXB0ZWRBZElkPUEwMzg4MTgzMzlYUUlaQU1ZSVdWRyZ3aWRnZXROYW1lPXNwX2F0ZiZhY3Rpb249Y2xpY2tSZWRpcmVjdCZkb05vdExvZ0NsaWNrPXRydWU=" TargetMode="External"/><Relationship Id="rId11" Type="http://schemas.openxmlformats.org/officeDocument/2006/relationships/hyperlink" Target="https://www.amazon.com/BN-LINK-Period-Repeat-Intermittent-Interval/dp/B0184CG9K0/ref=asc_df_B0184CG9K0/?tag=hyprod-20&amp;linkCode=df0&amp;hvadid=167135564802&amp;hvpos=&amp;hvnetw=g&amp;hvrand=2170778075864544770&amp;hvpone=&amp;hvptwo=&amp;hvqmt=&amp;hvdev=c&amp;hvdvcmdl=&amp;hvlocint=&amp;hvlocphy=9027902&amp;hvtargid=pla-370354391477&amp;psc=1" TargetMode="External"/><Relationship Id="rId24" Type="http://schemas.openxmlformats.org/officeDocument/2006/relationships/image" Target="media/image4.png"/><Relationship Id="rId5" Type="http://schemas.openxmlformats.org/officeDocument/2006/relationships/hyperlink" Target="https://www.amazon.com/uxcell-Stainless-Splitter-Control-Aquarium/dp/B072XB4J2X/ref=sr_1_2?crid=JC0P9H95O9FW&amp;keywords=air+pump+splitter+12+way&amp;qid=1655139271&amp;sprefix=air+pump+splitter+12%2Caps%2C66&amp;sr=8-2" TargetMode="External"/><Relationship Id="rId15" Type="http://schemas.openxmlformats.org/officeDocument/2006/relationships/hyperlink" Target="https://www.amazon.com/gp/product/B07NWCQJK9/ref=ppx_yo_dt_b_asin_title_o00_s00?ie=UTF8&amp;psc=1" TargetMode="External"/><Relationship Id="rId23" Type="http://schemas.openxmlformats.org/officeDocument/2006/relationships/image" Target="media/image3.png"/><Relationship Id="rId10" Type="http://schemas.openxmlformats.org/officeDocument/2006/relationships/hyperlink" Target="https://www.uline.com/Product/Detail/S-9941BL/Pails/Plastic-Pail-2-Gallon-Black?model=S-9941BL&amp;RootChecked=yes" TargetMode="External"/><Relationship Id="rId19" Type="http://schemas.openxmlformats.org/officeDocument/2006/relationships/hyperlink" Target="https://www.homedepot.com/p/HDX-27-Gal-Tough-Storage-Tote-in-Black-with-Yellow-Lid-HDX27GONLINE-5/205978361?source=shoppingads&amp;locale=en-US&amp;pla&amp;mtc=SHOPPING-BF-CDP-GGL-Multi-Multi-NA-Multi-NA-PLALIA-NA-NA-NA-NA-NBR-NA-NA-NA-New_Customer_Acquisition_Feed&amp;cm_mmc=SHOPPING-BF-CDP-GGL-Multi-Multi-NA-Multi-NA-PLALIA-NA-NA-NA-NA-NBR-NA-NA-NA-New_Customer_Acquisition_Feed-71700000092103338-58700007745054677-92700070329610658&amp;gclid=CjwKCAjwkYGVBhArEiwA4sZLuNvp4GmhA0MiLJIUDFMlKj7NKx-raC6HPc1foMZ5HJG_2ZUD8k93SBoChF4QAvD_BwE&amp;gclsrc=aw.ds" TargetMode="External"/><Relationship Id="rId4" Type="http://schemas.openxmlformats.org/officeDocument/2006/relationships/hyperlink" Target="https://www.amazon.com/Simple-Deluxe-LGPUMPAIR65-Aquarium-Hydroponics/dp/B07RRV3XKX/ref=sr_1_5?crid=GIL4R2ZXB4KL&amp;keywords=simple+deluxe+air+pump&amp;qid=1654707925&amp;sprefix=simple+deluxe+air+%2Caps%2C162&amp;sr=8-5" TargetMode="External"/><Relationship Id="rId9" Type="http://schemas.openxmlformats.org/officeDocument/2006/relationships/hyperlink" Target="https://www.amazon.com/Agarden-Hydroponics-Supplies-Aquaponics-Growing/dp/B0783BD8TR/ref=asc_df_B0783BD8TR/?tag=hyprod-20&amp;linkCode=df0&amp;hvadid=242015693684&amp;hvpos=&amp;hvnetw=g&amp;hvrand=16009403966274149723&amp;hvpone=&amp;hvptwo=&amp;hvqmt=&amp;hvdev=c&amp;hvdvcmdl=&amp;hvlocint=&amp;hvlocphy=9027902&amp;hvtargid=pla-404453774056&amp;th=1" TargetMode="External"/><Relationship Id="rId14" Type="http://schemas.openxmlformats.org/officeDocument/2006/relationships/hyperlink" Target="https://www.amazon.com/gp/product/B01ARGGLZ4/ref=ppx_yo_dt_b_asin_title_o07_s00?ie=UTF8&amp;psc=1" TargetMode="External"/><Relationship Id="rId2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1682</Words>
  <Characters>9589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2022-07-29T15:05:00Z</dcterms:created>
  <dcterms:modified xsi:type="dcterms:W3CDTF">2022-07-29T15:06:00Z</dcterms:modified>
</cp:coreProperties>
</file>