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FABC" w14:textId="70723ADC" w:rsidR="004E4E78" w:rsidRPr="004E4E78" w:rsidRDefault="004E4E78" w:rsidP="004E4E78">
      <w:pPr>
        <w:spacing w:line="480" w:lineRule="auto"/>
        <w:jc w:val="both"/>
        <w:rPr>
          <w:rFonts w:ascii="Arial" w:eastAsia="Times New Roman" w:hAnsi="Arial" w:cs="Arial"/>
          <w:b/>
          <w:bCs/>
          <w:u w:val="single"/>
          <w:lang w:val="en-US"/>
        </w:rPr>
      </w:pPr>
      <w:r w:rsidRPr="004E4E78">
        <w:rPr>
          <w:rFonts w:ascii="Arial" w:eastAsia="Times New Roman" w:hAnsi="Arial" w:cs="Arial"/>
          <w:b/>
          <w:bCs/>
          <w:u w:val="single"/>
          <w:lang w:val="en-US"/>
        </w:rPr>
        <w:t>Supplementary information legends</w:t>
      </w:r>
    </w:p>
    <w:p w14:paraId="69490F71" w14:textId="77777777" w:rsidR="004E4E78" w:rsidRDefault="004E4E78" w:rsidP="004E4E78">
      <w:pPr>
        <w:spacing w:line="480" w:lineRule="auto"/>
        <w:jc w:val="both"/>
        <w:rPr>
          <w:rFonts w:ascii="Arial" w:eastAsia="Times New Roman" w:hAnsi="Arial" w:cs="Arial"/>
          <w:b/>
          <w:bCs/>
          <w:lang w:val="en-US"/>
        </w:rPr>
      </w:pPr>
    </w:p>
    <w:p w14:paraId="07DDE139" w14:textId="5DB1D1B0" w:rsidR="004E4E78" w:rsidRDefault="004E4E78" w:rsidP="004E4E78">
      <w:pPr>
        <w:spacing w:line="480" w:lineRule="auto"/>
        <w:jc w:val="both"/>
        <w:rPr>
          <w:rFonts w:ascii="Arial" w:eastAsiaTheme="minorEastAsia" w:hAnsi="Arial" w:cs="Arial"/>
          <w:kern w:val="24"/>
          <w:lang w:val="en-US"/>
        </w:rPr>
      </w:pPr>
      <w:r w:rsidRPr="00000748">
        <w:rPr>
          <w:rFonts w:ascii="Arial" w:eastAsia="Times New Roman" w:hAnsi="Arial" w:cs="Arial"/>
          <w:b/>
          <w:bCs/>
          <w:lang w:val="en-US"/>
        </w:rPr>
        <w:t xml:space="preserve">Figure S1. Cell-cycle phase distribution analysis </w:t>
      </w:r>
      <w:r w:rsidRPr="00000748">
        <w:rPr>
          <w:rFonts w:ascii="Arial" w:eastAsiaTheme="minorEastAsia" w:hAnsi="Arial" w:cs="Arial"/>
          <w:b/>
          <w:bCs/>
          <w:kern w:val="24"/>
          <w:lang w:val="en-US"/>
        </w:rPr>
        <w:t xml:space="preserve">of clinically used chemotherapeutic agents for Rb treatment in H9 hESC- and patient isogenic control </w:t>
      </w:r>
      <w:r w:rsidRPr="00000748">
        <w:rPr>
          <w:rFonts w:ascii="Arial" w:eastAsiaTheme="minorEastAsia" w:hAnsi="Arial" w:cs="Arial"/>
          <w:b/>
          <w:bCs/>
          <w:i/>
          <w:iCs/>
          <w:kern w:val="24"/>
          <w:lang w:val="en-US"/>
        </w:rPr>
        <w:t>RB1</w:t>
      </w:r>
      <w:r w:rsidRPr="00000748">
        <w:rPr>
          <w:rFonts w:ascii="Arial" w:eastAsiaTheme="minorEastAsia" w:hAnsi="Arial" w:cs="Arial"/>
          <w:b/>
          <w:bCs/>
          <w:i/>
          <w:iCs/>
          <w:kern w:val="24"/>
          <w:vertAlign w:val="superscript"/>
          <w:lang w:val="en-US"/>
        </w:rPr>
        <w:t>+/+</w:t>
      </w:r>
      <w:r w:rsidRPr="00000748">
        <w:rPr>
          <w:rFonts w:ascii="Arial" w:eastAsiaTheme="minorEastAsia" w:hAnsi="Arial" w:cs="Arial"/>
          <w:b/>
          <w:bCs/>
          <w:kern w:val="24"/>
          <w:lang w:val="en-US"/>
        </w:rPr>
        <w:t xml:space="preserve"> hiPSC-derived RPE cells. </w:t>
      </w:r>
      <w:r w:rsidRPr="00000748">
        <w:rPr>
          <w:rFonts w:ascii="Arial" w:eastAsiaTheme="minorEastAsia" w:hAnsi="Arial" w:cs="Arial"/>
          <w:kern w:val="24"/>
          <w:lang w:val="en-US"/>
        </w:rPr>
        <w:t xml:space="preserve">Bar graphs showing the percentage of cells (%) of G1-, S-, and G2/M-phase in drug-treated H9 hESC- and patient </w:t>
      </w:r>
      <w:r w:rsidRPr="00000748">
        <w:rPr>
          <w:rFonts w:ascii="Arial" w:eastAsiaTheme="minorEastAsia" w:hAnsi="Arial" w:cs="Arial"/>
          <w:i/>
          <w:iCs/>
          <w:kern w:val="24"/>
          <w:lang w:val="en-US"/>
        </w:rPr>
        <w:t>RB1</w:t>
      </w:r>
      <w:r w:rsidRPr="00000748">
        <w:rPr>
          <w:rFonts w:ascii="Arial" w:eastAsiaTheme="minorEastAsia" w:hAnsi="Arial" w:cs="Arial"/>
          <w:kern w:val="24"/>
          <w:vertAlign w:val="superscript"/>
          <w:lang w:val="en-US"/>
        </w:rPr>
        <w:t>+/+</w:t>
      </w:r>
      <w:r w:rsidRPr="00000748">
        <w:rPr>
          <w:rFonts w:ascii="Arial" w:eastAsiaTheme="minorEastAsia" w:hAnsi="Arial" w:cs="Arial"/>
          <w:kern w:val="24"/>
          <w:lang w:val="en-US"/>
        </w:rPr>
        <w:t xml:space="preserve"> hiPSC-derived RPE cells (Melphalan, </w:t>
      </w:r>
      <w:r>
        <w:rPr>
          <w:rFonts w:ascii="Arial" w:eastAsiaTheme="minorEastAsia" w:hAnsi="Arial" w:cs="Arial"/>
          <w:b/>
          <w:bCs/>
          <w:kern w:val="24"/>
          <w:lang w:val="en-US"/>
        </w:rPr>
        <w:t>a</w:t>
      </w:r>
      <w:r w:rsidRPr="00000748">
        <w:rPr>
          <w:rFonts w:ascii="Arial" w:eastAsiaTheme="minorEastAsia" w:hAnsi="Arial" w:cs="Arial"/>
          <w:kern w:val="24"/>
          <w:lang w:val="en-US"/>
        </w:rPr>
        <w:t xml:space="preserve">, </w:t>
      </w:r>
      <w:r>
        <w:rPr>
          <w:rFonts w:ascii="Arial" w:eastAsiaTheme="minorEastAsia" w:hAnsi="Arial" w:cs="Arial"/>
          <w:b/>
          <w:bCs/>
          <w:kern w:val="24"/>
          <w:lang w:val="en-US"/>
        </w:rPr>
        <w:t>d</w:t>
      </w:r>
      <w:r w:rsidRPr="00000748">
        <w:rPr>
          <w:rFonts w:ascii="Arial" w:eastAsiaTheme="minorEastAsia" w:hAnsi="Arial" w:cs="Arial"/>
          <w:kern w:val="24"/>
          <w:lang w:val="en-US"/>
        </w:rPr>
        <w:t xml:space="preserve">; 16, 32 µM, Topotecan, </w:t>
      </w:r>
      <w:r>
        <w:rPr>
          <w:rFonts w:ascii="Arial" w:eastAsiaTheme="minorEastAsia" w:hAnsi="Arial" w:cs="Arial"/>
          <w:b/>
          <w:bCs/>
          <w:kern w:val="24"/>
          <w:lang w:val="en-US"/>
        </w:rPr>
        <w:t>b</w:t>
      </w:r>
      <w:r w:rsidRPr="00000748">
        <w:rPr>
          <w:rFonts w:ascii="Arial" w:eastAsiaTheme="minorEastAsia" w:hAnsi="Arial" w:cs="Arial"/>
          <w:b/>
          <w:bCs/>
          <w:kern w:val="24"/>
          <w:lang w:val="en-US"/>
        </w:rPr>
        <w:t xml:space="preserve">, </w:t>
      </w:r>
      <w:r>
        <w:rPr>
          <w:rFonts w:ascii="Arial" w:eastAsiaTheme="minorEastAsia" w:hAnsi="Arial" w:cs="Arial"/>
          <w:b/>
          <w:bCs/>
          <w:kern w:val="24"/>
          <w:lang w:val="en-US"/>
        </w:rPr>
        <w:t>e</w:t>
      </w:r>
      <w:r w:rsidRPr="00000748">
        <w:rPr>
          <w:rFonts w:ascii="Arial" w:eastAsiaTheme="minorEastAsia" w:hAnsi="Arial" w:cs="Arial"/>
          <w:kern w:val="24"/>
          <w:lang w:val="en-US"/>
        </w:rPr>
        <w:t xml:space="preserve">; 10, 15 µM, TW-37, </w:t>
      </w:r>
      <w:r>
        <w:rPr>
          <w:rFonts w:ascii="Arial" w:eastAsiaTheme="minorEastAsia" w:hAnsi="Arial" w:cs="Arial"/>
          <w:b/>
          <w:bCs/>
          <w:kern w:val="24"/>
          <w:lang w:val="en-US"/>
        </w:rPr>
        <w:t>c</w:t>
      </w:r>
      <w:r w:rsidRPr="00000748">
        <w:rPr>
          <w:rFonts w:ascii="Arial" w:eastAsiaTheme="minorEastAsia" w:hAnsi="Arial" w:cs="Arial"/>
          <w:b/>
          <w:bCs/>
          <w:kern w:val="24"/>
          <w:lang w:val="en-US"/>
        </w:rPr>
        <w:t xml:space="preserve">, </w:t>
      </w:r>
      <w:r>
        <w:rPr>
          <w:rFonts w:ascii="Arial" w:eastAsiaTheme="minorEastAsia" w:hAnsi="Arial" w:cs="Arial"/>
          <w:b/>
          <w:bCs/>
          <w:kern w:val="24"/>
          <w:lang w:val="en-US"/>
        </w:rPr>
        <w:t>f</w:t>
      </w:r>
      <w:r w:rsidRPr="00000748">
        <w:rPr>
          <w:rFonts w:ascii="Arial" w:eastAsiaTheme="minorEastAsia" w:hAnsi="Arial" w:cs="Arial"/>
          <w:kern w:val="24"/>
          <w:lang w:val="en-US"/>
        </w:rPr>
        <w:t xml:space="preserve">; 0.5, 1 µM alongside vehicle-only sample; 0.1% DMSO). Data presented as mean </w:t>
      </w:r>
      <w:r w:rsidRPr="00000748">
        <w:rPr>
          <w:rFonts w:ascii="Arial" w:hAnsi="Arial" w:cs="Arial"/>
          <w:lang w:val="en-US"/>
        </w:rPr>
        <w:t>± SEM</w:t>
      </w:r>
      <w:r w:rsidRPr="00000748">
        <w:rPr>
          <w:rFonts w:ascii="Arial" w:eastAsiaTheme="minorEastAsia" w:hAnsi="Arial" w:cs="Arial"/>
          <w:kern w:val="24"/>
          <w:lang w:val="en-US"/>
        </w:rPr>
        <w:t xml:space="preserve"> (n = 3 biological replicates).</w:t>
      </w:r>
    </w:p>
    <w:p w14:paraId="09C62402" w14:textId="77777777" w:rsidR="004E4E78" w:rsidRPr="00000748" w:rsidRDefault="004E4E78" w:rsidP="004E4E78">
      <w:pPr>
        <w:spacing w:line="480" w:lineRule="auto"/>
        <w:jc w:val="both"/>
        <w:rPr>
          <w:rFonts w:ascii="Arial" w:eastAsiaTheme="minorEastAsia" w:hAnsi="Arial" w:cs="Arial"/>
          <w:kern w:val="24"/>
          <w:lang w:val="en-US"/>
        </w:rPr>
      </w:pPr>
    </w:p>
    <w:p w14:paraId="01A238E2" w14:textId="77777777" w:rsidR="004E4E78" w:rsidRPr="00000748" w:rsidRDefault="004E4E78" w:rsidP="004E4E78">
      <w:pPr>
        <w:spacing w:line="480" w:lineRule="auto"/>
        <w:jc w:val="both"/>
        <w:rPr>
          <w:rFonts w:ascii="Arial" w:eastAsiaTheme="minorEastAsia" w:hAnsi="Arial" w:cs="Arial"/>
          <w:kern w:val="24"/>
          <w:lang w:val="en-US"/>
        </w:rPr>
      </w:pPr>
      <w:r w:rsidRPr="00000748">
        <w:rPr>
          <w:rFonts w:ascii="Arial" w:eastAsiaTheme="minorEastAsia" w:hAnsi="Arial" w:cs="Arial"/>
          <w:b/>
          <w:bCs/>
          <w:kern w:val="24"/>
          <w:lang w:val="en-US"/>
        </w:rPr>
        <w:t>Table S1.</w:t>
      </w:r>
      <w:r w:rsidRPr="00000748">
        <w:rPr>
          <w:rFonts w:ascii="Arial" w:eastAsiaTheme="minorEastAsia" w:hAnsi="Arial" w:cs="Arial"/>
          <w:kern w:val="24"/>
          <w:lang w:val="en-US"/>
        </w:rPr>
        <w:t xml:space="preserve"> List of primary antibodies used for immunofluorescence analysis.</w:t>
      </w:r>
    </w:p>
    <w:p w14:paraId="2E2D92ED" w14:textId="77777777" w:rsidR="004E4E78" w:rsidRPr="00000748" w:rsidRDefault="004E4E78" w:rsidP="004E4E78">
      <w:pPr>
        <w:spacing w:line="480" w:lineRule="auto"/>
        <w:jc w:val="both"/>
        <w:rPr>
          <w:rFonts w:ascii="Arial" w:eastAsiaTheme="minorEastAsia" w:hAnsi="Arial" w:cs="Arial"/>
          <w:kern w:val="24"/>
          <w:lang w:val="en-US"/>
        </w:rPr>
      </w:pPr>
    </w:p>
    <w:p w14:paraId="256A6A43" w14:textId="77777777" w:rsidR="004E4E78" w:rsidRDefault="004E4E78" w:rsidP="004E4E78">
      <w:pPr>
        <w:spacing w:line="480" w:lineRule="auto"/>
        <w:jc w:val="both"/>
        <w:rPr>
          <w:rFonts w:ascii="Arial" w:eastAsiaTheme="minorEastAsia" w:hAnsi="Arial" w:cs="Arial"/>
          <w:kern w:val="24"/>
          <w:lang w:val="en-US"/>
        </w:rPr>
      </w:pPr>
      <w:r w:rsidRPr="00000748">
        <w:rPr>
          <w:rFonts w:ascii="Arial" w:eastAsiaTheme="minorEastAsia" w:hAnsi="Arial" w:cs="Arial"/>
          <w:b/>
          <w:bCs/>
          <w:kern w:val="24"/>
          <w:lang w:val="en-US"/>
        </w:rPr>
        <w:t>Table S2.</w:t>
      </w:r>
      <w:r w:rsidRPr="00000748">
        <w:rPr>
          <w:rFonts w:ascii="Arial" w:eastAsiaTheme="minorEastAsia" w:hAnsi="Arial" w:cs="Arial"/>
          <w:kern w:val="24"/>
          <w:lang w:val="en-US"/>
        </w:rPr>
        <w:t xml:space="preserve"> List of secondary antibodies used for immunofluorescence analysis.</w:t>
      </w:r>
    </w:p>
    <w:p w14:paraId="0F11BBF8" w14:textId="77777777" w:rsidR="004E4E78" w:rsidRPr="00000748" w:rsidRDefault="004E4E78" w:rsidP="004E4E78">
      <w:pPr>
        <w:spacing w:line="480" w:lineRule="auto"/>
        <w:jc w:val="both"/>
        <w:rPr>
          <w:rFonts w:ascii="Arial" w:eastAsiaTheme="minorEastAsia" w:hAnsi="Arial" w:cs="Arial"/>
          <w:kern w:val="24"/>
          <w:lang w:val="en-US"/>
        </w:rPr>
      </w:pPr>
    </w:p>
    <w:p w14:paraId="6508C74B" w14:textId="77777777" w:rsidR="004E4E78" w:rsidRPr="00000748" w:rsidRDefault="004E4E78" w:rsidP="004E4E78">
      <w:pPr>
        <w:spacing w:line="480" w:lineRule="auto"/>
        <w:jc w:val="both"/>
        <w:rPr>
          <w:rFonts w:ascii="Arial" w:eastAsiaTheme="minorEastAsia" w:hAnsi="Arial" w:cs="Arial"/>
          <w:kern w:val="24"/>
          <w:lang w:val="en-US"/>
        </w:rPr>
      </w:pPr>
      <w:r w:rsidRPr="00000748">
        <w:rPr>
          <w:rFonts w:ascii="Arial" w:hAnsi="Arial" w:cs="Arial"/>
          <w:b/>
          <w:bCs/>
          <w:lang w:val="en-US"/>
        </w:rPr>
        <w:t xml:space="preserve">Table S3. </w:t>
      </w:r>
      <w:r w:rsidRPr="00000748">
        <w:rPr>
          <w:rFonts w:ascii="Arial" w:hAnsi="Arial" w:cs="Arial"/>
          <w:lang w:val="en-US"/>
        </w:rPr>
        <w:t>Forward, reverse primers and expected product sizes used for screened genes.</w:t>
      </w:r>
    </w:p>
    <w:p w14:paraId="633C83A3" w14:textId="77777777" w:rsidR="004E4E78" w:rsidRPr="00000748" w:rsidRDefault="004E4E78" w:rsidP="004E4E78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2392E879" w14:textId="77777777" w:rsidR="004E4E78" w:rsidRPr="00000748" w:rsidRDefault="004E4E78" w:rsidP="004E4E78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</w:p>
    <w:p w14:paraId="15DA9B62" w14:textId="77777777" w:rsidR="009D7F60" w:rsidRDefault="00EC1274"/>
    <w:sectPr w:rsidR="009D7F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a2MLMwMTAwMTIxMLVU0lEKTi0uzszPAykwrAUA1jyWtywAAAA="/>
  </w:docVars>
  <w:rsids>
    <w:rsidRoot w:val="004E4E78"/>
    <w:rsid w:val="001F3207"/>
    <w:rsid w:val="002822E2"/>
    <w:rsid w:val="004E4E78"/>
    <w:rsid w:val="007A467C"/>
    <w:rsid w:val="00834BB4"/>
    <w:rsid w:val="009F1A72"/>
    <w:rsid w:val="00B17765"/>
    <w:rsid w:val="00EC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CF437"/>
  <w15:chartTrackingRefBased/>
  <w15:docId w15:val="{2380D417-1450-427D-A32F-975ACF17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E78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Cerna Chavez (PGR)</dc:creator>
  <cp:keywords/>
  <dc:description/>
  <cp:lastModifiedBy>Rodrigo Cerna Chavez (PGR)</cp:lastModifiedBy>
  <cp:revision>2</cp:revision>
  <dcterms:created xsi:type="dcterms:W3CDTF">2022-07-27T09:13:00Z</dcterms:created>
  <dcterms:modified xsi:type="dcterms:W3CDTF">2022-07-27T09:17:00Z</dcterms:modified>
</cp:coreProperties>
</file>