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5188" w:type="pct"/>
        <w:tblLook w:val="04A0" w:firstRow="1" w:lastRow="0" w:firstColumn="1" w:lastColumn="0" w:noHBand="0" w:noVBand="1"/>
      </w:tblPr>
      <w:tblGrid>
        <w:gridCol w:w="2315"/>
        <w:gridCol w:w="14"/>
        <w:gridCol w:w="4674"/>
        <w:gridCol w:w="378"/>
        <w:gridCol w:w="1875"/>
        <w:gridCol w:w="109"/>
      </w:tblGrid>
      <w:tr w:rsidR="00BB79A9" w:rsidRPr="00A17662" w:rsidTr="00097BCA">
        <w:trPr>
          <w:trHeight w:val="151"/>
        </w:trPr>
        <w:tc>
          <w:tcPr>
            <w:tcW w:w="5000" w:type="pct"/>
            <w:gridSpan w:val="6"/>
            <w:tcBorders>
              <w:top w:val="nil"/>
              <w:left w:val="nil"/>
              <w:bottom w:val="single" w:sz="4" w:space="0" w:color="auto"/>
              <w:right w:val="nil"/>
            </w:tcBorders>
            <w:shd w:val="clear" w:color="auto" w:fill="auto"/>
            <w:vAlign w:val="center"/>
          </w:tcPr>
          <w:p w:rsidR="00BB79A9" w:rsidRPr="00A17662" w:rsidRDefault="00BB79A9" w:rsidP="00097BCA">
            <w:pPr>
              <w:spacing w:line="276" w:lineRule="auto"/>
              <w:rPr>
                <w:b/>
                <w:sz w:val="22"/>
                <w:szCs w:val="22"/>
              </w:rPr>
            </w:pPr>
            <w:r w:rsidRPr="00A17662">
              <w:rPr>
                <w:b/>
                <w:sz w:val="22"/>
                <w:szCs w:val="22"/>
              </w:rPr>
              <w:t>Appendix A</w:t>
            </w:r>
          </w:p>
        </w:tc>
      </w:tr>
      <w:tr w:rsidR="00BB79A9" w:rsidRPr="00A17662" w:rsidTr="00097BCA">
        <w:trPr>
          <w:trHeight w:val="151"/>
        </w:trPr>
        <w:tc>
          <w:tcPr>
            <w:tcW w:w="5000" w:type="pct"/>
            <w:gridSpan w:val="6"/>
            <w:tcBorders>
              <w:left w:val="nil"/>
              <w:bottom w:val="single" w:sz="4" w:space="0" w:color="auto"/>
              <w:right w:val="nil"/>
            </w:tcBorders>
            <w:shd w:val="clear" w:color="auto" w:fill="E7E6E6" w:themeFill="background2"/>
          </w:tcPr>
          <w:p w:rsidR="00BB79A9" w:rsidRPr="00A17662" w:rsidRDefault="00BB79A9" w:rsidP="00097BCA">
            <w:pPr>
              <w:jc w:val="center"/>
              <w:rPr>
                <w:rFonts w:ascii="Garamond" w:hAnsi="Garamond"/>
                <w:b/>
                <w:sz w:val="22"/>
                <w:szCs w:val="22"/>
              </w:rPr>
            </w:pPr>
            <w:r w:rsidRPr="00A17662">
              <w:rPr>
                <w:rFonts w:ascii="Garamond" w:hAnsi="Garamond"/>
                <w:b/>
                <w:sz w:val="22"/>
                <w:szCs w:val="22"/>
              </w:rPr>
              <w:t>Dependent Variable</w:t>
            </w:r>
          </w:p>
        </w:tc>
      </w:tr>
      <w:tr w:rsidR="00BB79A9" w:rsidRPr="00A17662" w:rsidTr="00097BCA">
        <w:trPr>
          <w:gridAfter w:val="1"/>
          <w:wAfter w:w="58" w:type="pct"/>
          <w:trHeight w:val="151"/>
        </w:trPr>
        <w:tc>
          <w:tcPr>
            <w:tcW w:w="1235" w:type="pct"/>
            <w:tcBorders>
              <w:left w:val="nil"/>
              <w:bottom w:val="single" w:sz="4" w:space="0" w:color="auto"/>
              <w:right w:val="nil"/>
            </w:tcBorders>
            <w:shd w:val="clear" w:color="auto" w:fill="auto"/>
            <w:vAlign w:val="center"/>
          </w:tcPr>
          <w:p w:rsidR="00BB79A9" w:rsidRPr="00A17662" w:rsidRDefault="00BB79A9" w:rsidP="00097BCA">
            <w:pPr>
              <w:jc w:val="left"/>
              <w:rPr>
                <w:rFonts w:ascii="Garamond" w:hAnsi="Garamond"/>
                <w:bCs/>
                <w:sz w:val="22"/>
                <w:szCs w:val="22"/>
              </w:rPr>
            </w:pPr>
            <w:r w:rsidRPr="00A17662">
              <w:rPr>
                <w:rFonts w:ascii="Garamond" w:hAnsi="Garamond"/>
                <w:b/>
                <w:sz w:val="22"/>
                <w:szCs w:val="22"/>
              </w:rPr>
              <w:t>Variables</w:t>
            </w:r>
          </w:p>
        </w:tc>
        <w:tc>
          <w:tcPr>
            <w:tcW w:w="2706" w:type="pct"/>
            <w:gridSpan w:val="3"/>
            <w:tcBorders>
              <w:left w:val="nil"/>
              <w:bottom w:val="single" w:sz="4" w:space="0" w:color="auto"/>
              <w:right w:val="nil"/>
            </w:tcBorders>
            <w:shd w:val="clear" w:color="auto" w:fill="auto"/>
            <w:vAlign w:val="center"/>
          </w:tcPr>
          <w:p w:rsidR="00BB79A9" w:rsidRPr="00A17662" w:rsidRDefault="00BB79A9" w:rsidP="00097BCA">
            <w:pPr>
              <w:jc w:val="center"/>
              <w:rPr>
                <w:rFonts w:ascii="Garamond" w:hAnsi="Garamond"/>
                <w:b/>
                <w:sz w:val="22"/>
                <w:szCs w:val="22"/>
              </w:rPr>
            </w:pPr>
            <w:r w:rsidRPr="00A17662">
              <w:rPr>
                <w:rFonts w:ascii="Garamond" w:hAnsi="Garamond"/>
                <w:b/>
                <w:sz w:val="22"/>
                <w:szCs w:val="22"/>
              </w:rPr>
              <w:t>Definition</w:t>
            </w:r>
          </w:p>
        </w:tc>
        <w:tc>
          <w:tcPr>
            <w:tcW w:w="1001" w:type="pct"/>
            <w:tcBorders>
              <w:left w:val="nil"/>
              <w:bottom w:val="single" w:sz="4" w:space="0" w:color="auto"/>
              <w:right w:val="nil"/>
            </w:tcBorders>
            <w:shd w:val="clear" w:color="auto" w:fill="auto"/>
            <w:vAlign w:val="center"/>
          </w:tcPr>
          <w:p w:rsidR="00BB79A9" w:rsidRPr="00A17662" w:rsidRDefault="00BB79A9" w:rsidP="00097BCA">
            <w:pPr>
              <w:jc w:val="center"/>
              <w:rPr>
                <w:rFonts w:ascii="Garamond" w:hAnsi="Garamond"/>
                <w:b/>
                <w:sz w:val="22"/>
                <w:szCs w:val="22"/>
              </w:rPr>
            </w:pPr>
            <w:r w:rsidRPr="00A17662">
              <w:rPr>
                <w:rFonts w:ascii="Garamond" w:hAnsi="Garamond"/>
                <w:b/>
                <w:sz w:val="22"/>
                <w:szCs w:val="22"/>
              </w:rPr>
              <w:t>Relevant Studies/ Source</w:t>
            </w:r>
          </w:p>
        </w:tc>
      </w:tr>
      <w:tr w:rsidR="00BB79A9" w:rsidRPr="00A17662" w:rsidTr="00097BCA">
        <w:trPr>
          <w:gridAfter w:val="1"/>
          <w:wAfter w:w="58" w:type="pct"/>
          <w:trHeight w:val="488"/>
        </w:trPr>
        <w:tc>
          <w:tcPr>
            <w:tcW w:w="1235" w:type="pct"/>
            <w:tcBorders>
              <w:left w:val="nil"/>
              <w:bottom w:val="nil"/>
              <w:right w:val="nil"/>
            </w:tcBorders>
            <w:shd w:val="clear" w:color="auto" w:fill="auto"/>
            <w:vAlign w:val="center"/>
          </w:tcPr>
          <w:p w:rsidR="00BB79A9" w:rsidRPr="00A17662" w:rsidRDefault="00BB79A9" w:rsidP="00097BCA">
            <w:pPr>
              <w:jc w:val="left"/>
              <w:rPr>
                <w:rFonts w:ascii="Garamond" w:hAnsi="Garamond"/>
                <w:i/>
                <w:iCs/>
                <w:sz w:val="22"/>
                <w:szCs w:val="22"/>
              </w:rPr>
            </w:pPr>
            <w:r w:rsidRPr="00A17662">
              <w:rPr>
                <w:rFonts w:ascii="Garamond" w:hAnsi="Garamond"/>
                <w:i/>
                <w:iCs/>
                <w:sz w:val="22"/>
                <w:szCs w:val="22"/>
              </w:rPr>
              <w:t>Environment</w:t>
            </w:r>
          </w:p>
        </w:tc>
        <w:tc>
          <w:tcPr>
            <w:tcW w:w="2706" w:type="pct"/>
            <w:gridSpan w:val="3"/>
            <w:tcBorders>
              <w:left w:val="nil"/>
              <w:bottom w:val="nil"/>
              <w:right w:val="nil"/>
            </w:tcBorders>
            <w:shd w:val="clear" w:color="auto" w:fill="auto"/>
            <w:vAlign w:val="center"/>
          </w:tcPr>
          <w:p w:rsidR="00BB79A9" w:rsidRPr="00A17662" w:rsidRDefault="00BB79A9" w:rsidP="00097BCA">
            <w:pPr>
              <w:rPr>
                <w:rFonts w:ascii="Garamond" w:hAnsi="Garamond"/>
                <w:bCs/>
                <w:sz w:val="22"/>
                <w:szCs w:val="22"/>
              </w:rPr>
            </w:pPr>
            <w:r w:rsidRPr="00A17662">
              <w:rPr>
                <w:rFonts w:ascii="Garamond" w:hAnsi="Garamond"/>
                <w:color w:val="000000" w:themeColor="text1"/>
                <w:sz w:val="22"/>
                <w:szCs w:val="22"/>
              </w:rPr>
              <w:t>The environmental disclosure score given by Bloomberg.</w:t>
            </w:r>
          </w:p>
        </w:tc>
        <w:tc>
          <w:tcPr>
            <w:tcW w:w="1001" w:type="pct"/>
            <w:tcBorders>
              <w:left w:val="nil"/>
              <w:bottom w:val="nil"/>
              <w:right w:val="nil"/>
            </w:tcBorders>
            <w:shd w:val="clear" w:color="auto" w:fill="auto"/>
            <w:vAlign w:val="center"/>
          </w:tcPr>
          <w:p w:rsidR="00BB79A9" w:rsidRPr="00A17662" w:rsidRDefault="00BB79A9" w:rsidP="00097BCA">
            <w:pPr>
              <w:jc w:val="center"/>
              <w:rPr>
                <w:rFonts w:ascii="Garamond" w:hAnsi="Garamond"/>
                <w:bCs/>
                <w:sz w:val="22"/>
                <w:szCs w:val="22"/>
              </w:rPr>
            </w:pPr>
            <w:r w:rsidRPr="00A17662">
              <w:rPr>
                <w:rFonts w:ascii="Garamond" w:hAnsi="Garamond"/>
                <w:bCs/>
                <w:sz w:val="22"/>
                <w:szCs w:val="22"/>
              </w:rPr>
              <w:t>Bloomberg</w:t>
            </w:r>
          </w:p>
        </w:tc>
      </w:tr>
      <w:tr w:rsidR="00BB79A9" w:rsidRPr="00A17662" w:rsidTr="00097BCA">
        <w:trPr>
          <w:gridAfter w:val="1"/>
          <w:wAfter w:w="58" w:type="pct"/>
          <w:trHeight w:val="488"/>
        </w:trPr>
        <w:tc>
          <w:tcPr>
            <w:tcW w:w="1235" w:type="pct"/>
            <w:tcBorders>
              <w:top w:val="nil"/>
              <w:left w:val="nil"/>
              <w:bottom w:val="nil"/>
              <w:right w:val="nil"/>
            </w:tcBorders>
            <w:shd w:val="clear" w:color="auto" w:fill="auto"/>
            <w:vAlign w:val="center"/>
          </w:tcPr>
          <w:p w:rsidR="00BB79A9" w:rsidRPr="00A17662" w:rsidRDefault="00BB79A9" w:rsidP="00097BCA">
            <w:pPr>
              <w:jc w:val="left"/>
              <w:rPr>
                <w:rFonts w:ascii="Garamond" w:hAnsi="Garamond"/>
                <w:i/>
                <w:iCs/>
                <w:sz w:val="22"/>
                <w:szCs w:val="22"/>
              </w:rPr>
            </w:pPr>
            <w:r w:rsidRPr="00A17662">
              <w:rPr>
                <w:rFonts w:ascii="Garamond" w:hAnsi="Garamond"/>
                <w:i/>
                <w:iCs/>
                <w:sz w:val="22"/>
                <w:szCs w:val="22"/>
              </w:rPr>
              <w:t>Tobin’s Q</w:t>
            </w:r>
          </w:p>
        </w:tc>
        <w:tc>
          <w:tcPr>
            <w:tcW w:w="2706" w:type="pct"/>
            <w:gridSpan w:val="3"/>
            <w:tcBorders>
              <w:top w:val="nil"/>
              <w:left w:val="nil"/>
              <w:bottom w:val="nil"/>
              <w:right w:val="nil"/>
            </w:tcBorders>
            <w:shd w:val="clear" w:color="auto" w:fill="auto"/>
            <w:vAlign w:val="center"/>
          </w:tcPr>
          <w:p w:rsidR="00BB79A9" w:rsidRPr="00A17662" w:rsidRDefault="00BB79A9" w:rsidP="00097BCA">
            <w:pPr>
              <w:rPr>
                <w:rFonts w:ascii="Garamond" w:hAnsi="Garamond"/>
                <w:color w:val="000000" w:themeColor="text1"/>
                <w:sz w:val="22"/>
                <w:szCs w:val="22"/>
              </w:rPr>
            </w:pPr>
            <w:r w:rsidRPr="00A17662">
              <w:rPr>
                <w:rFonts w:ascii="Garamond" w:hAnsi="Garamond"/>
                <w:bCs/>
                <w:sz w:val="22"/>
                <w:szCs w:val="22"/>
              </w:rPr>
              <w:t>Market cap+ total liabilities+ preferred equity +minority interest/ total assets</w:t>
            </w:r>
          </w:p>
        </w:tc>
        <w:tc>
          <w:tcPr>
            <w:tcW w:w="1001" w:type="pct"/>
            <w:tcBorders>
              <w:top w:val="nil"/>
              <w:left w:val="nil"/>
              <w:bottom w:val="nil"/>
              <w:right w:val="nil"/>
            </w:tcBorders>
            <w:shd w:val="clear" w:color="auto" w:fill="auto"/>
            <w:vAlign w:val="center"/>
          </w:tcPr>
          <w:p w:rsidR="00BB79A9" w:rsidRPr="00A17662" w:rsidRDefault="00BB79A9" w:rsidP="00097BCA">
            <w:pPr>
              <w:jc w:val="center"/>
              <w:rPr>
                <w:rFonts w:ascii="Garamond" w:hAnsi="Garamond"/>
                <w:bCs/>
                <w:sz w:val="22"/>
                <w:szCs w:val="22"/>
              </w:rPr>
            </w:pPr>
            <w:r w:rsidRPr="00A17662">
              <w:rPr>
                <w:rFonts w:ascii="Garamond" w:hAnsi="Garamond"/>
                <w:bCs/>
                <w:sz w:val="22"/>
                <w:szCs w:val="22"/>
              </w:rPr>
              <w:t>Bloomberg</w:t>
            </w:r>
          </w:p>
        </w:tc>
      </w:tr>
      <w:tr w:rsidR="00BB79A9" w:rsidRPr="00A17662" w:rsidTr="00097BCA">
        <w:trPr>
          <w:trHeight w:val="151"/>
        </w:trPr>
        <w:tc>
          <w:tcPr>
            <w:tcW w:w="5000" w:type="pct"/>
            <w:gridSpan w:val="6"/>
            <w:tcBorders>
              <w:left w:val="nil"/>
              <w:bottom w:val="single" w:sz="4" w:space="0" w:color="auto"/>
              <w:right w:val="nil"/>
            </w:tcBorders>
            <w:shd w:val="clear" w:color="auto" w:fill="E7E6E6" w:themeFill="background2"/>
          </w:tcPr>
          <w:p w:rsidR="00BB79A9" w:rsidRPr="00A17662" w:rsidRDefault="00BB79A9" w:rsidP="00097BCA">
            <w:pPr>
              <w:jc w:val="center"/>
              <w:rPr>
                <w:rFonts w:ascii="Garamond" w:hAnsi="Garamond"/>
                <w:b/>
                <w:sz w:val="22"/>
                <w:szCs w:val="22"/>
              </w:rPr>
            </w:pPr>
            <w:r w:rsidRPr="00A17662">
              <w:rPr>
                <w:rFonts w:ascii="Garamond" w:hAnsi="Garamond"/>
                <w:b/>
                <w:sz w:val="22"/>
                <w:szCs w:val="22"/>
              </w:rPr>
              <w:t>Focus Independent variables</w:t>
            </w:r>
          </w:p>
        </w:tc>
      </w:tr>
      <w:tr w:rsidR="00BB79A9" w:rsidRPr="00A17662" w:rsidTr="00097BCA">
        <w:trPr>
          <w:trHeight w:val="159"/>
        </w:trPr>
        <w:tc>
          <w:tcPr>
            <w:tcW w:w="1243" w:type="pct"/>
            <w:gridSpan w:val="2"/>
            <w:tcBorders>
              <w:left w:val="nil"/>
              <w:bottom w:val="single" w:sz="4" w:space="0" w:color="auto"/>
              <w:right w:val="nil"/>
            </w:tcBorders>
            <w:vAlign w:val="center"/>
          </w:tcPr>
          <w:p w:rsidR="00BB79A9" w:rsidRPr="00A17662" w:rsidRDefault="00BB79A9" w:rsidP="00097BCA">
            <w:pPr>
              <w:spacing w:line="240" w:lineRule="atLeast"/>
              <w:jc w:val="left"/>
              <w:rPr>
                <w:rFonts w:ascii="Garamond" w:hAnsi="Garamond"/>
                <w:b/>
                <w:sz w:val="22"/>
                <w:szCs w:val="22"/>
              </w:rPr>
            </w:pPr>
            <w:r w:rsidRPr="00A17662">
              <w:rPr>
                <w:rFonts w:ascii="Garamond" w:hAnsi="Garamond"/>
                <w:b/>
                <w:sz w:val="22"/>
                <w:szCs w:val="22"/>
              </w:rPr>
              <w:t>Variables</w:t>
            </w:r>
          </w:p>
        </w:tc>
        <w:tc>
          <w:tcPr>
            <w:tcW w:w="2496" w:type="pct"/>
            <w:tcBorders>
              <w:left w:val="nil"/>
              <w:bottom w:val="single" w:sz="4" w:space="0" w:color="auto"/>
              <w:right w:val="nil"/>
            </w:tcBorders>
            <w:vAlign w:val="center"/>
          </w:tcPr>
          <w:p w:rsidR="00BB79A9" w:rsidRPr="00A17662" w:rsidRDefault="00BB79A9" w:rsidP="00097BCA">
            <w:pPr>
              <w:spacing w:line="240" w:lineRule="atLeast"/>
              <w:jc w:val="center"/>
              <w:rPr>
                <w:rFonts w:ascii="Garamond" w:hAnsi="Garamond"/>
                <w:b/>
                <w:sz w:val="22"/>
                <w:szCs w:val="22"/>
              </w:rPr>
            </w:pPr>
            <w:r w:rsidRPr="00A17662">
              <w:rPr>
                <w:rFonts w:ascii="Garamond" w:hAnsi="Garamond"/>
                <w:b/>
                <w:sz w:val="22"/>
                <w:szCs w:val="22"/>
              </w:rPr>
              <w:t>Definition</w:t>
            </w:r>
          </w:p>
        </w:tc>
        <w:tc>
          <w:tcPr>
            <w:tcW w:w="1261" w:type="pct"/>
            <w:gridSpan w:val="3"/>
            <w:tcBorders>
              <w:left w:val="nil"/>
              <w:bottom w:val="single" w:sz="4" w:space="0" w:color="auto"/>
              <w:right w:val="nil"/>
            </w:tcBorders>
            <w:vAlign w:val="center"/>
          </w:tcPr>
          <w:p w:rsidR="00BB79A9" w:rsidRPr="00A17662" w:rsidRDefault="00BB79A9" w:rsidP="00097BCA">
            <w:pPr>
              <w:spacing w:line="240" w:lineRule="atLeast"/>
              <w:jc w:val="center"/>
              <w:rPr>
                <w:rFonts w:ascii="Garamond" w:hAnsi="Garamond"/>
                <w:b/>
                <w:sz w:val="22"/>
                <w:szCs w:val="22"/>
              </w:rPr>
            </w:pPr>
            <w:r w:rsidRPr="00A17662">
              <w:rPr>
                <w:rFonts w:ascii="Garamond" w:hAnsi="Garamond"/>
                <w:b/>
                <w:sz w:val="22"/>
                <w:szCs w:val="22"/>
              </w:rPr>
              <w:t>Relevant Studies/ Source</w:t>
            </w:r>
          </w:p>
        </w:tc>
      </w:tr>
      <w:tr w:rsidR="00BB79A9" w:rsidRPr="00A17662" w:rsidTr="00097BCA">
        <w:trPr>
          <w:trHeight w:val="757"/>
        </w:trPr>
        <w:tc>
          <w:tcPr>
            <w:tcW w:w="1243" w:type="pct"/>
            <w:gridSpan w:val="2"/>
            <w:tcBorders>
              <w:top w:val="single" w:sz="4" w:space="0" w:color="auto"/>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Fin</w:t>
            </w:r>
          </w:p>
        </w:tc>
        <w:tc>
          <w:tcPr>
            <w:tcW w:w="2496" w:type="pct"/>
            <w:tcBorders>
              <w:top w:val="single" w:sz="4" w:space="0" w:color="auto"/>
              <w:left w:val="nil"/>
              <w:bottom w:val="nil"/>
              <w:right w:val="nil"/>
            </w:tcBorders>
            <w:vAlign w:val="center"/>
          </w:tcPr>
          <w:p w:rsidR="00BB79A9" w:rsidRPr="00A17662" w:rsidRDefault="00BB79A9" w:rsidP="00097BCA">
            <w:pPr>
              <w:rPr>
                <w:rFonts w:ascii="Garamond" w:hAnsi="Garamond"/>
                <w:color w:val="000000" w:themeColor="text1"/>
                <w:sz w:val="22"/>
                <w:szCs w:val="22"/>
              </w:rPr>
            </w:pPr>
            <w:r w:rsidRPr="00A17662">
              <w:rPr>
                <w:rFonts w:ascii="Garamond" w:hAnsi="Garamond"/>
                <w:color w:val="000000" w:themeColor="text1"/>
                <w:sz w:val="22"/>
                <w:szCs w:val="22"/>
              </w:rPr>
              <w:t>This is a dummy variable where "1" indicates FinTech firms and "0" indicates counterparts' firms.</w:t>
            </w:r>
          </w:p>
        </w:tc>
        <w:tc>
          <w:tcPr>
            <w:tcW w:w="1261" w:type="pct"/>
            <w:gridSpan w:val="3"/>
            <w:tcBorders>
              <w:top w:val="single" w:sz="4" w:space="0" w:color="auto"/>
              <w:left w:val="nil"/>
              <w:bottom w:val="nil"/>
              <w:right w:val="nil"/>
            </w:tcBorders>
            <w:vAlign w:val="center"/>
          </w:tcPr>
          <w:p w:rsidR="00BB79A9" w:rsidRPr="00A17662" w:rsidRDefault="00BB79A9" w:rsidP="00097BCA">
            <w:pPr>
              <w:jc w:val="center"/>
              <w:rPr>
                <w:iCs/>
                <w:color w:val="000000" w:themeColor="text1"/>
                <w:sz w:val="22"/>
                <w:szCs w:val="22"/>
              </w:rPr>
            </w:pPr>
            <w:r w:rsidRPr="00A17662">
              <w:rPr>
                <w:rFonts w:ascii="Garamond" w:hAnsi="Garamond"/>
                <w:bCs/>
                <w:sz w:val="22"/>
                <w:szCs w:val="22"/>
              </w:rPr>
              <w:fldChar w:fldCharType="begin" w:fldLock="1"/>
            </w:r>
            <w:r w:rsidRPr="00A17662">
              <w:rPr>
                <w:rFonts w:ascii="Garamond" w:hAnsi="Garamond"/>
                <w:bCs/>
                <w:sz w:val="22"/>
                <w:szCs w:val="22"/>
              </w:rPr>
              <w:instrText>ADDIN CSL_CITATION {"citationItems":[{"id":"ITEM-1","itemData":{"author":[{"dropping-particle":"","family":"Najaf","given":"Khakan","non-dropping-particle":"","parse-names":false,"suffix":""},{"dropping-particle":"","family":"Liew","given":"Chee Yoong","non-dropping-particle":"","parse-names":false,"suffix":""},{"dropping-particle":"","family":"Schinckus","given":"Christophe","non-dropping-particle":"","parse-names":false,"suffix":""}],"container-title":"Journal of Managerial Finance","id":"ITEM-1","issued":{"date-parts":[["2020"]]},"title":"VaR and Market Value of Fintech Companies: An Analysis and Evidence from Global Data","type":"article-journal"},"uris":["http://www.mendeley.com/documents/?uuid=cb06030d-a4bc-451d-a0f8-b4788c7885f7","http://www.mendeley.com/documents/?uuid=cc41802c-6ca6-4ceb-959f-26893e03910b"]}],"mendeley":{"formattedCitation":"(Najaf, Liew, and Schinckus 2020)","manualFormatting":"Najaf et al., (2020)","plainTextFormattedCitation":"(Najaf, Liew, and Schinckus 2020)","previouslyFormattedCitation":"(Najaf, Liew, and Schinckus 2020)"},"properties":{"noteIndex":0},"schema":"https://github.com/citation-style-language/schema/raw/master/csl-citation.json"}</w:instrText>
            </w:r>
            <w:r w:rsidRPr="00A17662">
              <w:rPr>
                <w:rFonts w:ascii="Garamond" w:hAnsi="Garamond"/>
                <w:bCs/>
                <w:sz w:val="22"/>
                <w:szCs w:val="22"/>
              </w:rPr>
              <w:fldChar w:fldCharType="separate"/>
            </w:r>
            <w:r w:rsidRPr="00A17662">
              <w:rPr>
                <w:rFonts w:ascii="Garamond" w:hAnsi="Garamond"/>
                <w:bCs/>
                <w:noProof/>
                <w:sz w:val="22"/>
                <w:szCs w:val="22"/>
              </w:rPr>
              <w:t>Najaf et al., (2020)</w:t>
            </w:r>
            <w:r w:rsidRPr="00A17662">
              <w:rPr>
                <w:rFonts w:ascii="Garamond" w:hAnsi="Garamond"/>
                <w:bCs/>
                <w:sz w:val="22"/>
                <w:szCs w:val="22"/>
              </w:rPr>
              <w:fldChar w:fldCharType="end"/>
            </w:r>
          </w:p>
        </w:tc>
      </w:tr>
      <w:tr w:rsidR="00BB79A9" w:rsidRPr="00A17662" w:rsidTr="00097BCA">
        <w:trPr>
          <w:trHeight w:val="561"/>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COVID</w:t>
            </w:r>
          </w:p>
        </w:tc>
        <w:tc>
          <w:tcPr>
            <w:tcW w:w="2496" w:type="pct"/>
            <w:tcBorders>
              <w:top w:val="nil"/>
              <w:left w:val="nil"/>
              <w:bottom w:val="nil"/>
              <w:right w:val="nil"/>
            </w:tcBorders>
            <w:vAlign w:val="center"/>
          </w:tcPr>
          <w:p w:rsidR="00BB79A9" w:rsidRPr="00A17662" w:rsidRDefault="00BB79A9" w:rsidP="00097BCA">
            <w:pPr>
              <w:rPr>
                <w:rFonts w:ascii="Garamond" w:hAnsi="Garamond"/>
                <w:color w:val="000000" w:themeColor="text1"/>
                <w:sz w:val="22"/>
                <w:szCs w:val="22"/>
              </w:rPr>
            </w:pPr>
            <w:r w:rsidRPr="00A17662">
              <w:rPr>
                <w:rFonts w:ascii="Garamond" w:hAnsi="Garamond"/>
                <w:color w:val="000000" w:themeColor="text1"/>
                <w:sz w:val="22"/>
                <w:szCs w:val="22"/>
              </w:rPr>
              <w:t>This is a dummy variable where "1" indicates COVID period of year 2020 and 2021 and "0" rest of study period.</w:t>
            </w:r>
          </w:p>
        </w:tc>
        <w:tc>
          <w:tcPr>
            <w:tcW w:w="1261" w:type="pct"/>
            <w:gridSpan w:val="3"/>
            <w:tcBorders>
              <w:top w:val="nil"/>
              <w:left w:val="nil"/>
              <w:bottom w:val="nil"/>
              <w:right w:val="nil"/>
            </w:tcBorders>
            <w:vAlign w:val="center"/>
          </w:tcPr>
          <w:p w:rsidR="00BB79A9" w:rsidRPr="00A17662" w:rsidRDefault="00BB79A9" w:rsidP="00097BCA">
            <w:pPr>
              <w:jc w:val="center"/>
              <w:rPr>
                <w:iCs/>
                <w:color w:val="000000" w:themeColor="text1"/>
                <w:sz w:val="22"/>
                <w:szCs w:val="22"/>
              </w:rPr>
            </w:pPr>
            <w:r w:rsidRPr="00A17662">
              <w:rPr>
                <w:rFonts w:ascii="Garamond" w:hAnsi="Garamond"/>
                <w:bCs/>
                <w:color w:val="FF0000"/>
                <w:sz w:val="22"/>
                <w:szCs w:val="22"/>
              </w:rPr>
              <w:t>XX</w:t>
            </w:r>
          </w:p>
        </w:tc>
      </w:tr>
      <w:tr w:rsidR="00BB79A9" w:rsidRPr="00A17662" w:rsidTr="00097BCA">
        <w:trPr>
          <w:trHeight w:val="480"/>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Fin*COVID</w:t>
            </w:r>
          </w:p>
        </w:tc>
        <w:tc>
          <w:tcPr>
            <w:tcW w:w="2496" w:type="pct"/>
            <w:tcBorders>
              <w:top w:val="nil"/>
              <w:left w:val="nil"/>
              <w:bottom w:val="nil"/>
              <w:right w:val="nil"/>
            </w:tcBorders>
            <w:vAlign w:val="center"/>
          </w:tcPr>
          <w:p w:rsidR="00BB79A9" w:rsidRPr="00A17662" w:rsidRDefault="00BB79A9" w:rsidP="00097BCA">
            <w:pPr>
              <w:rPr>
                <w:rFonts w:ascii="Garamond" w:hAnsi="Garamond"/>
                <w:color w:val="000000" w:themeColor="text1"/>
                <w:sz w:val="22"/>
                <w:szCs w:val="22"/>
              </w:rPr>
            </w:pPr>
            <w:r w:rsidRPr="00A17662">
              <w:rPr>
                <w:rFonts w:ascii="Garamond" w:hAnsi="Garamond"/>
                <w:color w:val="000000" w:themeColor="text1"/>
                <w:sz w:val="22"/>
                <w:szCs w:val="22"/>
              </w:rPr>
              <w:t>Interaction variable of Fin and COVID.</w:t>
            </w:r>
          </w:p>
        </w:tc>
        <w:tc>
          <w:tcPr>
            <w:tcW w:w="1261" w:type="pct"/>
            <w:gridSpan w:val="3"/>
            <w:tcBorders>
              <w:top w:val="nil"/>
              <w:left w:val="nil"/>
              <w:bottom w:val="nil"/>
              <w:right w:val="nil"/>
            </w:tcBorders>
            <w:vAlign w:val="center"/>
          </w:tcPr>
          <w:p w:rsidR="00BB79A9" w:rsidRPr="00A17662" w:rsidRDefault="00BB79A9" w:rsidP="00097BCA">
            <w:pPr>
              <w:jc w:val="center"/>
              <w:rPr>
                <w:iCs/>
                <w:color w:val="000000" w:themeColor="text1"/>
                <w:sz w:val="22"/>
                <w:szCs w:val="22"/>
              </w:rPr>
            </w:pPr>
            <w:r w:rsidRPr="00A17662">
              <w:rPr>
                <w:rFonts w:ascii="Garamond" w:hAnsi="Garamond"/>
                <w:bCs/>
                <w:sz w:val="22"/>
                <w:szCs w:val="22"/>
              </w:rPr>
              <w:t>This study</w:t>
            </w:r>
          </w:p>
        </w:tc>
      </w:tr>
      <w:tr w:rsidR="00BB79A9" w:rsidRPr="00A17662" w:rsidTr="00097BCA">
        <w:trPr>
          <w:trHeight w:val="84"/>
        </w:trPr>
        <w:tc>
          <w:tcPr>
            <w:tcW w:w="1243" w:type="pct"/>
            <w:gridSpan w:val="2"/>
            <w:tcBorders>
              <w:top w:val="nil"/>
              <w:left w:val="nil"/>
              <w:bottom w:val="single" w:sz="4" w:space="0" w:color="auto"/>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Fin*COVID*Environment</w:t>
            </w:r>
          </w:p>
        </w:tc>
        <w:tc>
          <w:tcPr>
            <w:tcW w:w="2496" w:type="pct"/>
            <w:tcBorders>
              <w:top w:val="nil"/>
              <w:left w:val="nil"/>
              <w:bottom w:val="single" w:sz="4" w:space="0" w:color="auto"/>
              <w:right w:val="nil"/>
            </w:tcBorders>
            <w:vAlign w:val="center"/>
          </w:tcPr>
          <w:p w:rsidR="00BB79A9" w:rsidRPr="00A17662" w:rsidRDefault="00BB79A9" w:rsidP="00097BCA">
            <w:pPr>
              <w:rPr>
                <w:rFonts w:ascii="Garamond" w:hAnsi="Garamond"/>
                <w:iCs/>
                <w:sz w:val="22"/>
                <w:szCs w:val="22"/>
              </w:rPr>
            </w:pPr>
            <w:r w:rsidRPr="00A17662">
              <w:rPr>
                <w:rFonts w:ascii="Garamond" w:hAnsi="Garamond"/>
                <w:color w:val="000000" w:themeColor="text1"/>
                <w:sz w:val="22"/>
                <w:szCs w:val="22"/>
              </w:rPr>
              <w:t>Interaction variable of Fin, COVID and environment.</w:t>
            </w:r>
          </w:p>
        </w:tc>
        <w:tc>
          <w:tcPr>
            <w:tcW w:w="1261" w:type="pct"/>
            <w:gridSpan w:val="3"/>
            <w:tcBorders>
              <w:top w:val="nil"/>
              <w:left w:val="nil"/>
              <w:bottom w:val="single" w:sz="4" w:space="0" w:color="auto"/>
              <w:right w:val="nil"/>
            </w:tcBorders>
            <w:vAlign w:val="center"/>
          </w:tcPr>
          <w:p w:rsidR="00BB79A9" w:rsidRPr="00A17662" w:rsidRDefault="00BB79A9" w:rsidP="00097BCA">
            <w:pPr>
              <w:jc w:val="center"/>
              <w:rPr>
                <w:rFonts w:ascii="Garamond" w:hAnsi="Garamond"/>
                <w:iCs/>
                <w:sz w:val="22"/>
                <w:szCs w:val="22"/>
              </w:rPr>
            </w:pPr>
            <w:r w:rsidRPr="00A17662">
              <w:rPr>
                <w:rFonts w:ascii="Garamond" w:hAnsi="Garamond"/>
                <w:bCs/>
                <w:sz w:val="22"/>
                <w:szCs w:val="22"/>
              </w:rPr>
              <w:t>This study</w:t>
            </w:r>
          </w:p>
        </w:tc>
      </w:tr>
      <w:tr w:rsidR="00BB79A9" w:rsidRPr="00A17662" w:rsidTr="00097BCA">
        <w:trPr>
          <w:trHeight w:val="257"/>
        </w:trPr>
        <w:tc>
          <w:tcPr>
            <w:tcW w:w="5000" w:type="pct"/>
            <w:gridSpan w:val="6"/>
            <w:tcBorders>
              <w:top w:val="single" w:sz="4" w:space="0" w:color="auto"/>
              <w:left w:val="nil"/>
              <w:bottom w:val="single" w:sz="4" w:space="0" w:color="auto"/>
              <w:right w:val="nil"/>
            </w:tcBorders>
            <w:shd w:val="clear" w:color="auto" w:fill="E7E6E6" w:themeFill="background2"/>
          </w:tcPr>
          <w:p w:rsidR="00BB79A9" w:rsidRPr="00A17662" w:rsidRDefault="00BB79A9" w:rsidP="00097BCA">
            <w:pPr>
              <w:jc w:val="center"/>
              <w:rPr>
                <w:rFonts w:ascii="Garamond" w:hAnsi="Garamond"/>
                <w:b/>
                <w:sz w:val="22"/>
                <w:szCs w:val="22"/>
              </w:rPr>
            </w:pPr>
            <w:r w:rsidRPr="00A17662">
              <w:rPr>
                <w:rFonts w:ascii="Garamond" w:hAnsi="Garamond"/>
                <w:b/>
                <w:sz w:val="22"/>
                <w:szCs w:val="22"/>
              </w:rPr>
              <w:t>Firm-level Control variables</w:t>
            </w:r>
          </w:p>
        </w:tc>
      </w:tr>
      <w:tr w:rsidR="00BB79A9" w:rsidRPr="00A17662" w:rsidTr="00097BCA">
        <w:trPr>
          <w:trHeight w:val="317"/>
        </w:trPr>
        <w:tc>
          <w:tcPr>
            <w:tcW w:w="1243" w:type="pct"/>
            <w:gridSpan w:val="2"/>
            <w:tcBorders>
              <w:top w:val="single" w:sz="4" w:space="0" w:color="auto"/>
              <w:left w:val="nil"/>
              <w:bottom w:val="single" w:sz="4" w:space="0" w:color="auto"/>
              <w:right w:val="nil"/>
            </w:tcBorders>
            <w:vAlign w:val="center"/>
          </w:tcPr>
          <w:p w:rsidR="00BB79A9" w:rsidRPr="00A17662" w:rsidRDefault="00BB79A9" w:rsidP="00097BCA">
            <w:pPr>
              <w:jc w:val="left"/>
              <w:rPr>
                <w:rFonts w:ascii="Garamond" w:hAnsi="Garamond"/>
                <w:i/>
                <w:iCs/>
                <w:sz w:val="22"/>
                <w:szCs w:val="22"/>
              </w:rPr>
            </w:pPr>
            <w:r w:rsidRPr="00A17662">
              <w:rPr>
                <w:rFonts w:ascii="Garamond" w:hAnsi="Garamond"/>
                <w:b/>
                <w:sz w:val="22"/>
                <w:szCs w:val="22"/>
              </w:rPr>
              <w:t>Variables</w:t>
            </w:r>
          </w:p>
        </w:tc>
        <w:tc>
          <w:tcPr>
            <w:tcW w:w="2496" w:type="pct"/>
            <w:tcBorders>
              <w:top w:val="single" w:sz="4" w:space="0" w:color="auto"/>
              <w:left w:val="nil"/>
              <w:bottom w:val="single" w:sz="4" w:space="0" w:color="auto"/>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b/>
                <w:sz w:val="22"/>
                <w:szCs w:val="22"/>
              </w:rPr>
              <w:t>Definitions</w:t>
            </w:r>
          </w:p>
        </w:tc>
        <w:tc>
          <w:tcPr>
            <w:tcW w:w="1261" w:type="pct"/>
            <w:gridSpan w:val="3"/>
            <w:tcBorders>
              <w:top w:val="single" w:sz="4" w:space="0" w:color="auto"/>
              <w:left w:val="nil"/>
              <w:bottom w:val="single" w:sz="4" w:space="0" w:color="auto"/>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b/>
                <w:sz w:val="22"/>
                <w:szCs w:val="22"/>
              </w:rPr>
              <w:t>Relevant Studies</w:t>
            </w:r>
          </w:p>
        </w:tc>
      </w:tr>
      <w:tr w:rsidR="00BB79A9" w:rsidRPr="00A17662" w:rsidTr="00097BCA">
        <w:trPr>
          <w:trHeight w:val="173"/>
        </w:trPr>
        <w:tc>
          <w:tcPr>
            <w:tcW w:w="1243" w:type="pct"/>
            <w:gridSpan w:val="2"/>
            <w:tcBorders>
              <w:top w:val="single" w:sz="4" w:space="0" w:color="auto"/>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color w:val="000000" w:themeColor="text1"/>
                <w:sz w:val="21"/>
                <w:szCs w:val="21"/>
              </w:rPr>
              <w:t>Leverage</w:t>
            </w:r>
          </w:p>
        </w:tc>
        <w:tc>
          <w:tcPr>
            <w:tcW w:w="2496" w:type="pct"/>
            <w:tcBorders>
              <w:top w:val="single" w:sz="4" w:space="0" w:color="auto"/>
              <w:left w:val="nil"/>
              <w:bottom w:val="nil"/>
              <w:right w:val="nil"/>
            </w:tcBorders>
            <w:vAlign w:val="center"/>
          </w:tcPr>
          <w:p w:rsidR="00BB79A9" w:rsidRPr="00A17662" w:rsidRDefault="00BB79A9" w:rsidP="00097BCA">
            <w:pPr>
              <w:spacing w:before="120"/>
              <w:rPr>
                <w:rFonts w:ascii="Garamond" w:hAnsi="Garamond"/>
                <w:sz w:val="22"/>
                <w:szCs w:val="22"/>
              </w:rPr>
            </w:pPr>
            <w:r w:rsidRPr="00A17662">
              <w:rPr>
                <w:rFonts w:ascii="Garamond" w:hAnsi="Garamond"/>
                <w:sz w:val="22"/>
                <w:szCs w:val="22"/>
              </w:rPr>
              <w:t>Total debt by total assets</w:t>
            </w:r>
          </w:p>
        </w:tc>
        <w:tc>
          <w:tcPr>
            <w:tcW w:w="1261" w:type="pct"/>
            <w:gridSpan w:val="3"/>
            <w:tcBorders>
              <w:top w:val="single" w:sz="4" w:space="0" w:color="auto"/>
              <w:left w:val="nil"/>
              <w:bottom w:val="nil"/>
              <w:right w:val="nil"/>
            </w:tcBorders>
            <w:vAlign w:val="center"/>
          </w:tcPr>
          <w:p w:rsidR="00BB79A9" w:rsidRPr="00A17662" w:rsidRDefault="00BB79A9" w:rsidP="00097BCA">
            <w:pPr>
              <w:jc w:val="center"/>
              <w:rPr>
                <w:rFonts w:ascii="Garamond" w:hAnsi="Garamond"/>
                <w:iCs/>
                <w:sz w:val="22"/>
                <w:szCs w:val="22"/>
              </w:rPr>
            </w:pPr>
            <w:r w:rsidRPr="00A17662">
              <w:rPr>
                <w:rFonts w:ascii="Garamond" w:hAnsi="Garamond"/>
                <w:iCs/>
                <w:sz w:val="22"/>
                <w:szCs w:val="22"/>
              </w:rPr>
              <w:fldChar w:fldCharType="begin" w:fldLock="1"/>
            </w:r>
            <w:r w:rsidRPr="00A17662">
              <w:rPr>
                <w:rFonts w:ascii="Garamond" w:hAnsi="Garamond"/>
                <w:iCs/>
                <w:sz w:val="22"/>
                <w:szCs w:val="22"/>
                <w:lang w:val="fr-FR"/>
              </w:rPr>
              <w:instrText>ADDIN CSL_CITATION {"citationItems":[{"id":"ITEM-1","itemData":{"author":[{"dropping-particle":"","family":"Ali","given":"Salah A","non-dropping-particle":"","parse-names":false,"suffix":""},{"dropping-particle":"","family":"Yassin","given":"Mohamed","non-dropping-particle":"","parse-names":false,"suffix":""},{"dropping-particle":"","family":"AbuRaya","given":"Rania","non-dropping-particle":"","parse-names":false,"suffix":""}],"container-title":"International Journal of Customer Relationship Marketing and Management (IJCRMM)","id":"ITEM-1","issue":"4","issued":{"date-parts":[["2020"]]},"page":"70-89","publisher":"IGI Global","title":"The Impact of Firm Characteristics on Corporate Financial Performance in Emerging Markets: Evidence From Egypt","type":"article-journal","volume":"11"},"uris":["http://www.mendeley.com/documents/?uuid=7c7238eb-c708-4b6f-a6fe-2468295c7dc1","http://www.mendeley.com/documents/?uuid=ca62fb10-9f39-44fb-8d10-b5658620673d"]}],"mendeley":{"formattedCitation":"(Ali, Yassin, and AbuRaya 2020)","manualFormatting":"Ali et al., (2020)","plainTextFormattedCitation":"(Ali, Yassin, and AbuRaya 2020)","previouslyFormattedCitation":"(Ali, Yassin, and AbuRaya 2020)"},"properties":{"noteIndex":0},"schema":"https://github.com/citation-style-language/schema/raw/master/csl-citation.json"}</w:instrText>
            </w:r>
            <w:r w:rsidRPr="00A17662">
              <w:rPr>
                <w:rFonts w:ascii="Garamond" w:hAnsi="Garamond"/>
                <w:iCs/>
                <w:sz w:val="22"/>
                <w:szCs w:val="22"/>
              </w:rPr>
              <w:fldChar w:fldCharType="separate"/>
            </w:r>
            <w:r w:rsidRPr="00A17662">
              <w:rPr>
                <w:rFonts w:ascii="Garamond" w:hAnsi="Garamond"/>
                <w:iCs/>
                <w:noProof/>
                <w:sz w:val="22"/>
                <w:szCs w:val="22"/>
                <w:lang w:val="fr-FR"/>
              </w:rPr>
              <w:t>Ali et al., (2020)</w:t>
            </w:r>
            <w:r w:rsidRPr="00A17662">
              <w:rPr>
                <w:rFonts w:ascii="Garamond" w:hAnsi="Garamond"/>
                <w:iCs/>
                <w:sz w:val="22"/>
                <w:szCs w:val="22"/>
              </w:rPr>
              <w:fldChar w:fldCharType="end"/>
            </w:r>
          </w:p>
        </w:tc>
      </w:tr>
      <w:tr w:rsidR="00BB79A9" w:rsidRPr="00A17662" w:rsidTr="00097BCA">
        <w:trPr>
          <w:trHeight w:val="336"/>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ROA</w:t>
            </w:r>
          </w:p>
        </w:tc>
        <w:tc>
          <w:tcPr>
            <w:tcW w:w="2496" w:type="pct"/>
            <w:tcBorders>
              <w:top w:val="nil"/>
              <w:left w:val="nil"/>
              <w:bottom w:val="nil"/>
              <w:right w:val="nil"/>
            </w:tcBorders>
            <w:vAlign w:val="center"/>
          </w:tcPr>
          <w:p w:rsidR="00BB79A9" w:rsidRPr="00A17662" w:rsidRDefault="00BB79A9" w:rsidP="00097BCA">
            <w:pPr>
              <w:spacing w:before="120"/>
              <w:rPr>
                <w:rFonts w:ascii="Garamond" w:hAnsi="Garamond"/>
                <w:sz w:val="22"/>
                <w:szCs w:val="22"/>
              </w:rPr>
            </w:pPr>
            <w:r w:rsidRPr="00A17662">
              <w:rPr>
                <w:rFonts w:ascii="Garamond" w:hAnsi="Garamond"/>
                <w:sz w:val="22"/>
                <w:szCs w:val="22"/>
              </w:rPr>
              <w:t>Return on total assets</w:t>
            </w:r>
          </w:p>
        </w:tc>
        <w:tc>
          <w:tcPr>
            <w:tcW w:w="1261" w:type="pct"/>
            <w:gridSpan w:val="3"/>
            <w:tcBorders>
              <w:top w:val="nil"/>
              <w:left w:val="nil"/>
              <w:bottom w:val="nil"/>
              <w:right w:val="nil"/>
            </w:tcBorders>
            <w:vAlign w:val="center"/>
          </w:tcPr>
          <w:p w:rsidR="00BB79A9" w:rsidRPr="00A17662" w:rsidRDefault="00BB79A9" w:rsidP="00097BCA">
            <w:pPr>
              <w:jc w:val="center"/>
              <w:rPr>
                <w:rFonts w:ascii="Garamond" w:hAnsi="Garamond"/>
                <w:iCs/>
                <w:sz w:val="22"/>
                <w:szCs w:val="22"/>
              </w:rPr>
            </w:pPr>
            <w:r w:rsidRPr="00A17662">
              <w:rPr>
                <w:rFonts w:ascii="Garamond" w:hAnsi="Garamond"/>
                <w:sz w:val="22"/>
                <w:szCs w:val="22"/>
              </w:rPr>
              <w:fldChar w:fldCharType="begin" w:fldLock="1"/>
            </w:r>
            <w:r w:rsidRPr="00A17662">
              <w:rPr>
                <w:rFonts w:ascii="Garamond" w:hAnsi="Garamond"/>
                <w:sz w:val="22"/>
                <w:szCs w:val="22"/>
              </w:rPr>
              <w:instrText>ADDIN CSL_CITATION {"citationItems":[{"id":"ITEM-1","itemData":{"ISSN":"1582-2559","author":[{"dropping-particle":"","family":"HassanOMER","given":"Waddah Kamal","non-dropping-particle":"","parse-names":false,"suffix":""},{"dropping-particle":"","family":"Aljaaidi","given":"Khaled Salmen","non-dropping-particle":"","parse-names":false,"suffix":""},{"dropping-particle":"","family":"Habtoor","given":"Omer Saeed","non-dropping-particle":"","parse-names":false,"suffix":""}],"container-title":"Quality-Access to Success","id":"ITEM-1","issue":"178","issued":{"date-parts":[["2020"]]},"title":"Board Quality, Audit Quality and Economic Firm Value: The Case of Manufactured Saudi's Listed Companies.","type":"article-journal","volume":"21"},"uris":["http://www.mendeley.com/documents/?uuid=ce8a2908-6261-4929-82db-f7be4bf41d14","http://www.mendeley.com/documents/?uuid=d25348ed-7c60-4309-854b-f393bcfd2cb7"]}],"mendeley":{"formattedCitation":"(HassanOMER, Aljaaidi, and Habtoor 2020)","manualFormatting":"Hassan et al., (2020)","plainTextFormattedCitation":"(HassanOMER, Aljaaidi, and Habtoor 2020)","previouslyFormattedCitation":"(HassanOMER, Aljaaidi, and Habtoor 2020)"},"properties":{"noteIndex":0},"schema":"https://github.com/citation-style-language/schema/raw/master/csl-citation.json"}</w:instrText>
            </w:r>
            <w:r w:rsidRPr="00A17662">
              <w:rPr>
                <w:rFonts w:ascii="Garamond" w:hAnsi="Garamond"/>
                <w:sz w:val="22"/>
                <w:szCs w:val="22"/>
              </w:rPr>
              <w:fldChar w:fldCharType="separate"/>
            </w:r>
            <w:r w:rsidRPr="00A17662">
              <w:rPr>
                <w:rFonts w:ascii="Garamond" w:hAnsi="Garamond"/>
                <w:noProof/>
                <w:sz w:val="22"/>
                <w:szCs w:val="22"/>
              </w:rPr>
              <w:t>Hassan et al., (2020)</w:t>
            </w:r>
            <w:r w:rsidRPr="00A17662">
              <w:rPr>
                <w:rFonts w:ascii="Garamond" w:hAnsi="Garamond"/>
                <w:sz w:val="22"/>
                <w:szCs w:val="22"/>
              </w:rPr>
              <w:fldChar w:fldCharType="end"/>
            </w:r>
          </w:p>
        </w:tc>
      </w:tr>
      <w:tr w:rsidR="00BB79A9" w:rsidRPr="00A17662" w:rsidTr="00097BCA">
        <w:trPr>
          <w:trHeight w:val="111"/>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Capital Exp.</w:t>
            </w:r>
          </w:p>
        </w:tc>
        <w:tc>
          <w:tcPr>
            <w:tcW w:w="2496" w:type="pct"/>
            <w:tcBorders>
              <w:top w:val="nil"/>
              <w:left w:val="nil"/>
              <w:bottom w:val="nil"/>
              <w:right w:val="nil"/>
            </w:tcBorders>
            <w:vAlign w:val="center"/>
          </w:tcPr>
          <w:p w:rsidR="00BB79A9" w:rsidRPr="00A17662" w:rsidRDefault="00BB79A9" w:rsidP="00097BCA">
            <w:pPr>
              <w:rPr>
                <w:rFonts w:ascii="Garamond" w:hAnsi="Garamond"/>
                <w:sz w:val="22"/>
                <w:szCs w:val="22"/>
              </w:rPr>
            </w:pPr>
            <w:r w:rsidRPr="00A17662">
              <w:rPr>
                <w:rFonts w:ascii="Garamond" w:hAnsi="Garamond"/>
                <w:sz w:val="22"/>
                <w:szCs w:val="22"/>
              </w:rPr>
              <w:t>Expenditure pertaining to capital</w:t>
            </w:r>
          </w:p>
        </w:tc>
        <w:tc>
          <w:tcPr>
            <w:tcW w:w="1261" w:type="pct"/>
            <w:gridSpan w:val="3"/>
            <w:tcBorders>
              <w:top w:val="nil"/>
              <w:left w:val="nil"/>
              <w:bottom w:val="nil"/>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sz w:val="22"/>
                <w:szCs w:val="22"/>
              </w:rPr>
              <w:fldChar w:fldCharType="begin" w:fldLock="1"/>
            </w:r>
            <w:r w:rsidRPr="00A17662">
              <w:rPr>
                <w:rFonts w:ascii="Garamond" w:hAnsi="Garamond"/>
                <w:sz w:val="22"/>
                <w:szCs w:val="22"/>
              </w:rPr>
              <w:instrText>ADDIN CSL_CITATION {"citationItems":[{"id":"ITEM-1","itemData":{"DOI":"10.1002/csr.1496","ISSN":"15353966","abstract":"Corporate social responsibility (CSR) disclosures have gained great attention in both the media and the academic community for many decades. In this paper, we shed light on three aspects of CSR disclosures, namely the determinants, measure and impact on firm value. Using a sample of 61 firms listed on the ADX for the period 2010–2014 and computing an eight-item index, our results are conclusive and show that listing history, governmental sector, board size, financial leverage and firm size have a positive impact on CSR disclosures. By contrast, firm profitability, industrial sector and ownership concentration have no impact on the extent of CSR disclosures. Finally, CSR disclosures have no impact on firm value as proxied by market-to-book ratio. Our results remain unchanged using additional robustness checks. Our study highlights the three aspects of social disclosures (i.e. determinants, measure and impact) in an emerging stock market (ADX). Our findings will help investors when assessing firm value and policy makers when issuing CSR disclosure rules.","author":[{"dropping-particle":"","family":"Kolsi","given":"Mohamed Chakib","non-dropping-particle":"","parse-names":false,"suffix":""},{"dropping-particle":"","family":"Attayah","given":"Osama F.","non-dropping-particle":"","parse-names":false,"suffix":""}],"container-title":"Corporate Social Responsibility and Environmental Management","id":"ITEM-1","issue":"5","issued":{"date-parts":[["2018"]]},"page":"807-818","title":"Environmental policy disclosures and sustainable development: Determinants, measure and impact on firm value for ADX listed companies","type":"article-journal","volume":"25"},"uris":["http://www.mendeley.com/documents/?uuid=25557cfb-d644-49c0-9a5c-2466649b9999","http://www.mendeley.com/documents/?uuid=985453a9-0855-4281-99bb-c415cd82d336"]}],"mendeley":{"formattedCitation":"(Mohamed Chakib Kolsi and Attayah 2018)","manualFormatting":"Kolsi &amp; Attayah, (2018)","plainTextFormattedCitation":"(Mohamed Chakib Kolsi and Attayah 2018)","previouslyFormattedCitation":"(Mohamed Chakib Kolsi and Attayah 2018)"},"properties":{"noteIndex":0},"schema":"https://github.com/citation-style-language/schema/raw/master/csl-citation.json"}</w:instrText>
            </w:r>
            <w:r w:rsidRPr="00A17662">
              <w:rPr>
                <w:rFonts w:ascii="Garamond" w:hAnsi="Garamond"/>
                <w:sz w:val="22"/>
                <w:szCs w:val="22"/>
              </w:rPr>
              <w:fldChar w:fldCharType="separate"/>
            </w:r>
            <w:r w:rsidRPr="00A17662">
              <w:rPr>
                <w:rFonts w:ascii="Garamond" w:hAnsi="Garamond"/>
                <w:noProof/>
                <w:sz w:val="22"/>
                <w:szCs w:val="22"/>
              </w:rPr>
              <w:t>Kolsi &amp; Attayah, (2018)</w:t>
            </w:r>
            <w:r w:rsidRPr="00A17662">
              <w:rPr>
                <w:rFonts w:ascii="Garamond" w:hAnsi="Garamond"/>
                <w:sz w:val="22"/>
                <w:szCs w:val="22"/>
              </w:rPr>
              <w:fldChar w:fldCharType="end"/>
            </w:r>
          </w:p>
        </w:tc>
      </w:tr>
      <w:tr w:rsidR="00BB79A9" w:rsidRPr="00A17662" w:rsidTr="00097BCA">
        <w:trPr>
          <w:trHeight w:val="327"/>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Growth</w:t>
            </w:r>
          </w:p>
        </w:tc>
        <w:tc>
          <w:tcPr>
            <w:tcW w:w="2496" w:type="pct"/>
            <w:tcBorders>
              <w:top w:val="nil"/>
              <w:left w:val="nil"/>
              <w:bottom w:val="nil"/>
              <w:right w:val="nil"/>
            </w:tcBorders>
          </w:tcPr>
          <w:p w:rsidR="00BB79A9" w:rsidRPr="00A17662" w:rsidRDefault="00BB79A9" w:rsidP="00097BCA">
            <w:pPr>
              <w:spacing w:before="120"/>
              <w:rPr>
                <w:rFonts w:ascii="Garamond" w:hAnsi="Garamond"/>
                <w:sz w:val="22"/>
                <w:szCs w:val="22"/>
              </w:rPr>
            </w:pPr>
            <w:r w:rsidRPr="00A17662">
              <w:rPr>
                <w:rFonts w:ascii="Garamond" w:hAnsi="Garamond"/>
                <w:sz w:val="22"/>
                <w:szCs w:val="22"/>
              </w:rPr>
              <w:t>Percentage change in total sales</w:t>
            </w:r>
          </w:p>
        </w:tc>
        <w:tc>
          <w:tcPr>
            <w:tcW w:w="1261" w:type="pct"/>
            <w:gridSpan w:val="3"/>
            <w:tcBorders>
              <w:top w:val="nil"/>
              <w:left w:val="nil"/>
              <w:bottom w:val="nil"/>
              <w:right w:val="nil"/>
            </w:tcBorders>
            <w:vAlign w:val="center"/>
          </w:tcPr>
          <w:p w:rsidR="00BB79A9" w:rsidRPr="00A17662" w:rsidRDefault="00BB79A9" w:rsidP="00097BCA">
            <w:pPr>
              <w:jc w:val="center"/>
              <w:rPr>
                <w:rFonts w:ascii="Garamond" w:hAnsi="Garamond"/>
                <w:iCs/>
                <w:sz w:val="22"/>
                <w:szCs w:val="22"/>
              </w:rPr>
            </w:pPr>
            <w:r w:rsidRPr="00A17662">
              <w:rPr>
                <w:rFonts w:ascii="Garamond" w:hAnsi="Garamond"/>
                <w:iCs/>
                <w:sz w:val="22"/>
                <w:szCs w:val="22"/>
              </w:rPr>
              <w:fldChar w:fldCharType="begin" w:fldLock="1"/>
            </w:r>
            <w:r w:rsidRPr="00A17662">
              <w:rPr>
                <w:rFonts w:ascii="Garamond" w:hAnsi="Garamond"/>
                <w:iCs/>
                <w:sz w:val="22"/>
                <w:szCs w:val="22"/>
              </w:rPr>
              <w:instrText>ADDIN CSL_CITATION {"citationItems":[{"id":"ITEM-1","itemData":{"ISSN":"2332-2039","author":[{"dropping-particle":"","family":"Tran","given":"Nam Hoai","non-dropping-particle":"","parse-names":false,"suffix":""},{"dropping-particle":"","family":"Le","given":"Chi Dat","non-dropping-particle":"","parse-names":false,"suffix":""}],"container-title":"Cogent Economics &amp; Finance","id":"ITEM-1","issue":"1","issued":{"date-parts":[["2020"]]},"page":"1732640","publisher":"Cogent OA","title":"Ownership concentration, corporate risk-taking and performance: Evidence from Vietnamese listed firms","type":"article-journal","volume":"8"},"uris":["http://www.mendeley.com/documents/?uuid=11a9aa6e-9168-442f-a616-47431ab83a69","http://www.mendeley.com/documents/?uuid=2b756747-212d-45b6-acdc-081f36daa06d"]}],"mendeley":{"formattedCitation":"(Tran and Le 2020)","manualFormatting":"Tran &amp; Le (2020)","plainTextFormattedCitation":"(Tran and Le 2020)","previouslyFormattedCitation":"(Tran and Le 2020)"},"properties":{"noteIndex":0},"schema":"https://github.com/citation-style-language/schema/raw/master/csl-citation.json"}</w:instrText>
            </w:r>
            <w:r w:rsidRPr="00A17662">
              <w:rPr>
                <w:rFonts w:ascii="Garamond" w:hAnsi="Garamond"/>
                <w:iCs/>
                <w:sz w:val="22"/>
                <w:szCs w:val="22"/>
              </w:rPr>
              <w:fldChar w:fldCharType="separate"/>
            </w:r>
            <w:r w:rsidRPr="00A17662">
              <w:rPr>
                <w:rFonts w:ascii="Garamond" w:hAnsi="Garamond"/>
                <w:iCs/>
                <w:noProof/>
                <w:sz w:val="22"/>
                <w:szCs w:val="22"/>
              </w:rPr>
              <w:t>Tran &amp; Le (2020)</w:t>
            </w:r>
            <w:r w:rsidRPr="00A17662">
              <w:rPr>
                <w:rFonts w:ascii="Garamond" w:hAnsi="Garamond"/>
                <w:iCs/>
                <w:sz w:val="22"/>
                <w:szCs w:val="22"/>
              </w:rPr>
              <w:fldChar w:fldCharType="end"/>
            </w:r>
          </w:p>
        </w:tc>
      </w:tr>
      <w:tr w:rsidR="00BB79A9" w:rsidRPr="00A17662" w:rsidTr="00097BCA">
        <w:trPr>
          <w:trHeight w:val="416"/>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Big4</w:t>
            </w:r>
          </w:p>
        </w:tc>
        <w:tc>
          <w:tcPr>
            <w:tcW w:w="2496" w:type="pct"/>
            <w:tcBorders>
              <w:top w:val="nil"/>
              <w:left w:val="nil"/>
              <w:bottom w:val="nil"/>
              <w:right w:val="nil"/>
            </w:tcBorders>
          </w:tcPr>
          <w:p w:rsidR="00BB79A9" w:rsidRPr="00A17662" w:rsidRDefault="00BB79A9" w:rsidP="00097BCA">
            <w:pPr>
              <w:rPr>
                <w:rFonts w:ascii="Garamond" w:hAnsi="Garamond"/>
                <w:sz w:val="22"/>
                <w:szCs w:val="22"/>
              </w:rPr>
            </w:pPr>
            <w:r w:rsidRPr="00A17662">
              <w:rPr>
                <w:rFonts w:ascii="Garamond" w:hAnsi="Garamond"/>
                <w:sz w:val="22"/>
                <w:szCs w:val="22"/>
              </w:rPr>
              <w:t>“1” if big4 auditor and “0” otherwise.</w:t>
            </w:r>
          </w:p>
        </w:tc>
        <w:tc>
          <w:tcPr>
            <w:tcW w:w="1261" w:type="pct"/>
            <w:gridSpan w:val="3"/>
            <w:tcBorders>
              <w:top w:val="nil"/>
              <w:left w:val="nil"/>
              <w:bottom w:val="nil"/>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sz w:val="22"/>
                <w:szCs w:val="22"/>
              </w:rPr>
              <w:fldChar w:fldCharType="begin" w:fldLock="1"/>
            </w:r>
            <w:r w:rsidRPr="00A17662">
              <w:rPr>
                <w:rFonts w:ascii="Garamond" w:hAnsi="Garamond"/>
                <w:sz w:val="22"/>
                <w:szCs w:val="22"/>
              </w:rPr>
              <w:instrText>ADDIN CSL_CITATION {"citationItems":[{"id":"ITEM-1","itemData":{"ISSN":"1582-2559","author":[{"dropping-particle":"","family":"HassanOMER","given":"Waddah Kamal","non-dropping-particle":"","parse-names":false,"suffix":""},{"dropping-particle":"","family":"Aljaaidi","given":"Khaled Salmen","non-dropping-particle":"","parse-names":false,"suffix":""},{"dropping-particle":"","family":"Habtoor","given":"Omer Saeed","non-dropping-particle":"","parse-names":false,"suffix":""}],"container-title":"Quality-Access to Success","id":"ITEM-1","issue":"178","issued":{"date-parts":[["2020"]]},"title":"Board Quality, Audit Quality and Economic Firm Value: The Case of Manufactured Saudi's Listed Companies.","type":"article-journal","volume":"21"},"uris":["http://www.mendeley.com/documents/?uuid=ce8a2908-6261-4929-82db-f7be4bf41d14","http://www.mendeley.com/documents/?uuid=d25348ed-7c60-4309-854b-f393bcfd2cb7"]}],"mendeley":{"formattedCitation":"(HassanOMER, Aljaaidi, and Habtoor 2020)","manualFormatting":"Hassan et al., (2020)","plainTextFormattedCitation":"(HassanOMER, Aljaaidi, and Habtoor 2020)","previouslyFormattedCitation":"(HassanOMER, Aljaaidi, and Habtoor 2020)"},"properties":{"noteIndex":0},"schema":"https://github.com/citation-style-language/schema/raw/master/csl-citation.json"}</w:instrText>
            </w:r>
            <w:r w:rsidRPr="00A17662">
              <w:rPr>
                <w:rFonts w:ascii="Garamond" w:hAnsi="Garamond"/>
                <w:sz w:val="22"/>
                <w:szCs w:val="22"/>
              </w:rPr>
              <w:fldChar w:fldCharType="separate"/>
            </w:r>
            <w:r w:rsidRPr="00A17662">
              <w:rPr>
                <w:rFonts w:ascii="Garamond" w:hAnsi="Garamond"/>
                <w:noProof/>
                <w:sz w:val="22"/>
                <w:szCs w:val="22"/>
              </w:rPr>
              <w:t>Hassan et al., (2020)</w:t>
            </w:r>
            <w:r w:rsidRPr="00A17662">
              <w:rPr>
                <w:rFonts w:ascii="Garamond" w:hAnsi="Garamond"/>
                <w:sz w:val="22"/>
                <w:szCs w:val="22"/>
              </w:rPr>
              <w:fldChar w:fldCharType="end"/>
            </w:r>
          </w:p>
        </w:tc>
      </w:tr>
      <w:tr w:rsidR="00BB79A9" w:rsidRPr="00A17662" w:rsidTr="00097BCA">
        <w:trPr>
          <w:trHeight w:val="416"/>
        </w:trPr>
        <w:tc>
          <w:tcPr>
            <w:tcW w:w="1243" w:type="pct"/>
            <w:gridSpan w:val="2"/>
            <w:tcBorders>
              <w:top w:val="nil"/>
              <w:left w:val="nil"/>
              <w:bottom w:val="nil"/>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Size</w:t>
            </w:r>
          </w:p>
        </w:tc>
        <w:tc>
          <w:tcPr>
            <w:tcW w:w="2496" w:type="pct"/>
            <w:tcBorders>
              <w:top w:val="nil"/>
              <w:left w:val="nil"/>
              <w:bottom w:val="nil"/>
              <w:right w:val="nil"/>
            </w:tcBorders>
            <w:vAlign w:val="center"/>
          </w:tcPr>
          <w:p w:rsidR="00BB79A9" w:rsidRPr="00A17662" w:rsidRDefault="00BB79A9" w:rsidP="00097BCA">
            <w:pPr>
              <w:rPr>
                <w:rFonts w:ascii="Garamond" w:hAnsi="Garamond"/>
                <w:sz w:val="22"/>
                <w:szCs w:val="22"/>
              </w:rPr>
            </w:pPr>
            <w:r w:rsidRPr="00A17662">
              <w:rPr>
                <w:rFonts w:ascii="Garamond" w:hAnsi="Garamond"/>
                <w:sz w:val="22"/>
                <w:szCs w:val="22"/>
              </w:rPr>
              <w:t>Log (total assets)</w:t>
            </w:r>
          </w:p>
        </w:tc>
        <w:tc>
          <w:tcPr>
            <w:tcW w:w="1261" w:type="pct"/>
            <w:gridSpan w:val="3"/>
            <w:tcBorders>
              <w:top w:val="nil"/>
              <w:left w:val="nil"/>
              <w:bottom w:val="nil"/>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sz w:val="22"/>
                <w:szCs w:val="22"/>
              </w:rPr>
              <w:fldChar w:fldCharType="begin" w:fldLock="1"/>
            </w:r>
            <w:r w:rsidRPr="00A17662">
              <w:rPr>
                <w:rFonts w:ascii="Garamond" w:hAnsi="Garamond"/>
                <w:sz w:val="22"/>
                <w:szCs w:val="22"/>
              </w:rPr>
              <w:instrText>ADDIN CSL_CITATION {"citationItems":[{"id":"ITEM-1","itemData":{"author":[{"dropping-particle":"","family":"Najaf","given":"Khakan","non-dropping-particle":"","parse-names":false,"suffix":""},{"dropping-particle":"","family":"Liew","given":"Chee Yoong","non-dropping-particle":"","parse-names":false,"suffix":""},{"dropping-particle":"","family":"Schinckus","given":"Christophe","non-dropping-particle":"","parse-names":false,"suffix":""}],"container-title":"Journal of Managerial Finance","id":"ITEM-1","issued":{"date-parts":[["2020"]]},"title":"VaR and Market Value of Fintech Companies: An Analysis and Evidence from Global Data","type":"article-journal"},"uris":["http://www.mendeley.com/documents/?uuid=cb06030d-a4bc-451d-a0f8-b4788c7885f7","http://www.mendeley.com/documents/?uuid=cc41802c-6ca6-4ceb-959f-26893e03910b"]}],"mendeley":{"formattedCitation":"(Najaf, Liew, and Schinckus 2020)","manualFormatting":"Najaf,  Schinckus &amp; Liew (2020)","plainTextFormattedCitation":"(Najaf, Liew, and Schinckus 2020)","previouslyFormattedCitation":"(Najaf, Liew, and Schinckus 2020)"},"properties":{"noteIndex":0},"schema":"https://github.com/citation-style-language/schema/raw/master/csl-citation.json"}</w:instrText>
            </w:r>
            <w:r w:rsidRPr="00A17662">
              <w:rPr>
                <w:rFonts w:ascii="Garamond" w:hAnsi="Garamond"/>
                <w:sz w:val="22"/>
                <w:szCs w:val="22"/>
              </w:rPr>
              <w:fldChar w:fldCharType="separate"/>
            </w:r>
            <w:r w:rsidRPr="00A17662">
              <w:rPr>
                <w:rFonts w:ascii="Garamond" w:hAnsi="Garamond"/>
                <w:noProof/>
                <w:sz w:val="22"/>
                <w:szCs w:val="22"/>
              </w:rPr>
              <w:t>Najaf,  Schinckus &amp; Liew (2020)</w:t>
            </w:r>
            <w:r w:rsidRPr="00A17662">
              <w:rPr>
                <w:rFonts w:ascii="Garamond" w:hAnsi="Garamond"/>
                <w:sz w:val="22"/>
                <w:szCs w:val="22"/>
              </w:rPr>
              <w:fldChar w:fldCharType="end"/>
            </w:r>
          </w:p>
        </w:tc>
      </w:tr>
      <w:tr w:rsidR="00BB79A9" w:rsidRPr="00A17662" w:rsidTr="00097BCA">
        <w:trPr>
          <w:trHeight w:val="62"/>
        </w:trPr>
        <w:tc>
          <w:tcPr>
            <w:tcW w:w="5000" w:type="pct"/>
            <w:gridSpan w:val="6"/>
            <w:tcBorders>
              <w:top w:val="single" w:sz="4" w:space="0" w:color="auto"/>
              <w:left w:val="nil"/>
              <w:bottom w:val="single" w:sz="4" w:space="0" w:color="auto"/>
              <w:right w:val="nil"/>
            </w:tcBorders>
            <w:shd w:val="clear" w:color="auto" w:fill="E7E6E6" w:themeFill="background2"/>
            <w:vAlign w:val="center"/>
          </w:tcPr>
          <w:p w:rsidR="00BB79A9" w:rsidRPr="00A17662" w:rsidRDefault="00BB79A9" w:rsidP="00097BCA">
            <w:pPr>
              <w:jc w:val="center"/>
              <w:rPr>
                <w:rFonts w:ascii="Garamond" w:hAnsi="Garamond"/>
                <w:sz w:val="22"/>
                <w:szCs w:val="22"/>
              </w:rPr>
            </w:pPr>
            <w:r w:rsidRPr="00A17662">
              <w:rPr>
                <w:rFonts w:ascii="Garamond" w:hAnsi="Garamond"/>
                <w:b/>
                <w:sz w:val="22"/>
                <w:szCs w:val="22"/>
              </w:rPr>
              <w:t>Fixed effect control variable</w:t>
            </w:r>
          </w:p>
        </w:tc>
      </w:tr>
      <w:tr w:rsidR="00BB79A9" w:rsidRPr="00A17662" w:rsidTr="00097BCA">
        <w:trPr>
          <w:trHeight w:val="416"/>
        </w:trPr>
        <w:tc>
          <w:tcPr>
            <w:tcW w:w="1243" w:type="pct"/>
            <w:gridSpan w:val="2"/>
            <w:tcBorders>
              <w:top w:val="single" w:sz="4" w:space="0" w:color="auto"/>
              <w:left w:val="nil"/>
              <w:bottom w:val="single" w:sz="4" w:space="0" w:color="auto"/>
              <w:right w:val="nil"/>
            </w:tcBorders>
            <w:vAlign w:val="center"/>
          </w:tcPr>
          <w:p w:rsidR="00BB79A9" w:rsidRPr="00A17662" w:rsidRDefault="00BB79A9" w:rsidP="00097BCA">
            <w:pPr>
              <w:rPr>
                <w:rFonts w:ascii="Garamond" w:hAnsi="Garamond"/>
                <w:i/>
                <w:iCs/>
                <w:sz w:val="22"/>
                <w:szCs w:val="22"/>
              </w:rPr>
            </w:pPr>
            <w:r w:rsidRPr="00A17662">
              <w:rPr>
                <w:rFonts w:ascii="Garamond" w:hAnsi="Garamond"/>
                <w:b/>
                <w:sz w:val="22"/>
                <w:szCs w:val="22"/>
              </w:rPr>
              <w:t>Variable</w:t>
            </w:r>
          </w:p>
        </w:tc>
        <w:tc>
          <w:tcPr>
            <w:tcW w:w="2496" w:type="pct"/>
            <w:tcBorders>
              <w:top w:val="single" w:sz="4" w:space="0" w:color="auto"/>
              <w:left w:val="nil"/>
              <w:bottom w:val="single" w:sz="4" w:space="0" w:color="auto"/>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b/>
                <w:sz w:val="22"/>
                <w:szCs w:val="22"/>
              </w:rPr>
              <w:t>Definition</w:t>
            </w:r>
          </w:p>
        </w:tc>
        <w:tc>
          <w:tcPr>
            <w:tcW w:w="1261" w:type="pct"/>
            <w:gridSpan w:val="3"/>
            <w:tcBorders>
              <w:top w:val="single" w:sz="4" w:space="0" w:color="auto"/>
              <w:left w:val="nil"/>
              <w:bottom w:val="single" w:sz="4" w:space="0" w:color="auto"/>
              <w:right w:val="nil"/>
            </w:tcBorders>
            <w:vAlign w:val="center"/>
          </w:tcPr>
          <w:p w:rsidR="00BB79A9" w:rsidRPr="00A17662" w:rsidRDefault="00BB79A9" w:rsidP="00097BCA">
            <w:pPr>
              <w:jc w:val="center"/>
              <w:rPr>
                <w:rFonts w:ascii="Garamond" w:hAnsi="Garamond"/>
                <w:sz w:val="22"/>
                <w:szCs w:val="22"/>
              </w:rPr>
            </w:pPr>
            <w:r w:rsidRPr="00A17662">
              <w:rPr>
                <w:rFonts w:ascii="Garamond" w:hAnsi="Garamond"/>
                <w:b/>
                <w:sz w:val="22"/>
                <w:szCs w:val="22"/>
              </w:rPr>
              <w:t>Relevant Studies</w:t>
            </w:r>
          </w:p>
        </w:tc>
      </w:tr>
      <w:tr w:rsidR="00BB79A9" w:rsidRPr="001707AB" w:rsidTr="00097BCA">
        <w:trPr>
          <w:trHeight w:val="635"/>
        </w:trPr>
        <w:tc>
          <w:tcPr>
            <w:tcW w:w="1243" w:type="pct"/>
            <w:gridSpan w:val="2"/>
            <w:tcBorders>
              <w:top w:val="single" w:sz="4" w:space="0" w:color="auto"/>
              <w:left w:val="nil"/>
              <w:bottom w:val="single" w:sz="4" w:space="0" w:color="auto"/>
              <w:right w:val="nil"/>
            </w:tcBorders>
            <w:vAlign w:val="center"/>
          </w:tcPr>
          <w:p w:rsidR="00BB79A9" w:rsidRPr="00A17662" w:rsidRDefault="00BB79A9" w:rsidP="00097BCA">
            <w:pPr>
              <w:rPr>
                <w:rFonts w:ascii="Garamond" w:hAnsi="Garamond"/>
                <w:i/>
                <w:iCs/>
                <w:sz w:val="22"/>
                <w:szCs w:val="22"/>
              </w:rPr>
            </w:pPr>
            <w:r w:rsidRPr="00A17662">
              <w:rPr>
                <w:rFonts w:ascii="Garamond" w:hAnsi="Garamond"/>
                <w:i/>
                <w:iCs/>
                <w:sz w:val="22"/>
                <w:szCs w:val="22"/>
              </w:rPr>
              <w:t>Y.E.</w:t>
            </w:r>
          </w:p>
        </w:tc>
        <w:tc>
          <w:tcPr>
            <w:tcW w:w="2496" w:type="pct"/>
            <w:tcBorders>
              <w:top w:val="single" w:sz="4" w:space="0" w:color="auto"/>
              <w:left w:val="nil"/>
              <w:bottom w:val="single" w:sz="4" w:space="0" w:color="auto"/>
              <w:right w:val="nil"/>
            </w:tcBorders>
            <w:vAlign w:val="center"/>
          </w:tcPr>
          <w:p w:rsidR="00BB79A9" w:rsidRPr="00A17662" w:rsidRDefault="00BB79A9" w:rsidP="00097BCA">
            <w:pPr>
              <w:rPr>
                <w:rFonts w:ascii="Garamond" w:hAnsi="Garamond"/>
                <w:sz w:val="22"/>
                <w:szCs w:val="22"/>
              </w:rPr>
            </w:pPr>
            <w:r w:rsidRPr="00A17662">
              <w:rPr>
                <w:rFonts w:ascii="Garamond" w:hAnsi="Garamond"/>
                <w:sz w:val="22"/>
                <w:szCs w:val="22"/>
              </w:rPr>
              <w:t xml:space="preserve">1 (0) for observations from quarter </w:t>
            </w:r>
            <w:r w:rsidRPr="00A17662">
              <w:rPr>
                <w:rFonts w:ascii="Garamond" w:hAnsi="Garamond"/>
                <w:i/>
                <w:iCs/>
                <w:sz w:val="22"/>
                <w:szCs w:val="22"/>
              </w:rPr>
              <w:t>t</w:t>
            </w:r>
            <w:r w:rsidRPr="00A17662">
              <w:rPr>
                <w:rFonts w:ascii="Garamond" w:hAnsi="Garamond"/>
                <w:sz w:val="22"/>
                <w:szCs w:val="22"/>
              </w:rPr>
              <w:t xml:space="preserve"> and 0 for other observations.</w:t>
            </w:r>
          </w:p>
        </w:tc>
        <w:tc>
          <w:tcPr>
            <w:tcW w:w="1261" w:type="pct"/>
            <w:gridSpan w:val="3"/>
            <w:tcBorders>
              <w:top w:val="single" w:sz="4" w:space="0" w:color="auto"/>
              <w:left w:val="nil"/>
              <w:bottom w:val="single" w:sz="4" w:space="0" w:color="auto"/>
              <w:right w:val="nil"/>
            </w:tcBorders>
            <w:vAlign w:val="center"/>
          </w:tcPr>
          <w:p w:rsidR="00BB79A9" w:rsidRPr="001707AB" w:rsidRDefault="00BB79A9" w:rsidP="00097BCA">
            <w:pPr>
              <w:jc w:val="center"/>
              <w:rPr>
                <w:rFonts w:ascii="Garamond" w:hAnsi="Garamond"/>
                <w:sz w:val="22"/>
                <w:szCs w:val="22"/>
              </w:rPr>
            </w:pPr>
            <w:r w:rsidRPr="00A17662">
              <w:rPr>
                <w:rFonts w:ascii="Garamond" w:hAnsi="Garamond"/>
                <w:sz w:val="22"/>
                <w:szCs w:val="22"/>
              </w:rPr>
              <w:fldChar w:fldCharType="begin" w:fldLock="1"/>
            </w:r>
            <w:r w:rsidRPr="00A17662">
              <w:rPr>
                <w:rFonts w:ascii="Garamond" w:hAnsi="Garamond"/>
                <w:sz w:val="22"/>
                <w:szCs w:val="22"/>
              </w:rPr>
              <w:instrText>ADDIN CSL_CITATION {"citationItems":[{"id":"ITEM-1","itemData":{"ISSN":"0001-4826","author":[{"dropping-particle":"","family":"Dickinson","given":"Victoria","non-dropping-particle":"","parse-names":false,"suffix":""}],"container-title":"The Accounting Review","id":"ITEM-1","issue":"6","issued":{"date-parts":[["2011"]]},"page":"1969-1994","publisher":"American Accounting Assocation","title":"Cash flow patterns as a proxy for firm life cycle","type":"article-journal","volume":"86"},"uris":["http://www.mendeley.com/documents/?uuid=94a5fbad-6cc8-4097-a0f4-76b0ce629e82","http://www.mendeley.com/documents/?uuid=efb5c142-2a8b-4326-b9fe-f270dea03e69"]}],"mendeley":{"formattedCitation":"(Dickinson 2011)","manualFormatting":"Dickinson (2011)","plainTextFormattedCitation":"(Dickinson 2011)","previouslyFormattedCitation":"(Dickinson 2011)"},"properties":{"noteIndex":0},"schema":"https://github.com/citation-style-language/schema/raw/master/csl-citation.json"}</w:instrText>
            </w:r>
            <w:r w:rsidRPr="00A17662">
              <w:rPr>
                <w:rFonts w:ascii="Garamond" w:hAnsi="Garamond"/>
                <w:sz w:val="22"/>
                <w:szCs w:val="22"/>
              </w:rPr>
              <w:fldChar w:fldCharType="separate"/>
            </w:r>
            <w:r w:rsidRPr="00A17662">
              <w:rPr>
                <w:rFonts w:ascii="Garamond" w:hAnsi="Garamond"/>
                <w:noProof/>
                <w:sz w:val="22"/>
                <w:szCs w:val="22"/>
              </w:rPr>
              <w:t>Dickinson (2011)</w:t>
            </w:r>
            <w:r w:rsidRPr="00A17662">
              <w:rPr>
                <w:rFonts w:ascii="Garamond" w:hAnsi="Garamond"/>
                <w:sz w:val="22"/>
                <w:szCs w:val="22"/>
              </w:rPr>
              <w:fldChar w:fldCharType="end"/>
            </w:r>
          </w:p>
        </w:tc>
      </w:tr>
    </w:tbl>
    <w:p w:rsidR="00BB79A9" w:rsidRDefault="00BB79A9" w:rsidP="00BB79A9"/>
    <w:p w:rsidR="00BB79A9" w:rsidRDefault="00BB79A9" w:rsidP="00BB79A9">
      <w:pPr>
        <w:jc w:val="left"/>
      </w:pPr>
    </w:p>
    <w:p w:rsidR="00BB79A9" w:rsidRDefault="00BB79A9">
      <w:bookmarkStart w:id="0" w:name="_GoBack"/>
      <w:bookmarkEnd w:id="0"/>
    </w:p>
    <w:sectPr w:rsidR="00BB79A9" w:rsidSect="00E308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A9"/>
    <w:rsid w:val="00755780"/>
    <w:rsid w:val="00BB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940E"/>
  <w15:chartTrackingRefBased/>
  <w15:docId w15:val="{365B8A40-FFEE-418B-AD28-2969D292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9A9"/>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79A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1797</Words>
  <Characters>10247</Characters>
  <Application>Microsoft Office Word</Application>
  <DocSecurity>0</DocSecurity>
  <Lines>85</Lines>
  <Paragraphs>24</Paragraphs>
  <ScaleCrop>false</ScaleCrop>
  <Company>Springer Nature IT</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2022-08-30T12:33:00Z</dcterms:created>
  <dcterms:modified xsi:type="dcterms:W3CDTF">2022-08-30T12:33:00Z</dcterms:modified>
</cp:coreProperties>
</file>