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6"/>
          <w:szCs w:val="36"/>
        </w:rPr>
      </w:pPr>
      <w:r>
        <w:rPr>
          <w:sz w:val="36"/>
          <w:szCs w:val="36"/>
        </w:rPr>
        <w:t>Supplementary Materials for</w:t>
      </w:r>
    </w:p>
    <w:p/>
    <w:p>
      <w:pPr>
        <w:jc w:val="center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Lactoferrin Feeding Deficiency during Lactation Increase</w:t>
      </w:r>
      <w:r>
        <w:rPr>
          <w:rFonts w:hint="eastAsia" w:eastAsia="宋体"/>
          <w:b/>
          <w:bCs/>
          <w:sz w:val="28"/>
          <w:szCs w:val="28"/>
          <w:lang w:eastAsia="zh-CN"/>
        </w:rPr>
        <w:t>s</w:t>
      </w:r>
      <w:r>
        <w:rPr>
          <w:rFonts w:hint="eastAsia"/>
          <w:b/>
          <w:bCs/>
          <w:sz w:val="28"/>
          <w:szCs w:val="28"/>
        </w:rPr>
        <w:t xml:space="preserve"> the Risk of Depression in Adult Mice by Affecting Microbiota-Gut-Brain Axis</w:t>
      </w:r>
    </w:p>
    <w:p>
      <w:pPr>
        <w:jc w:val="center"/>
        <w:rPr>
          <w:sz w:val="28"/>
          <w:szCs w:val="28"/>
        </w:rPr>
      </w:pPr>
    </w:p>
    <w:p/>
    <w:p>
      <w:pPr>
        <w:rPr>
          <w:b/>
        </w:rPr>
      </w:pPr>
    </w:p>
    <w:p>
      <w:pPr>
        <w:ind w:left="720"/>
      </w:pPr>
    </w:p>
    <w:p>
      <w:pPr>
        <w:ind w:left="720"/>
        <w:rPr>
          <w:rFonts w:eastAsia="宋体"/>
          <w:lang w:eastAsia="zh-CN"/>
        </w:rPr>
      </w:pPr>
    </w:p>
    <w:p>
      <w:pPr>
        <w:ind w:left="720"/>
        <w:rPr>
          <w:rFonts w:eastAsia="宋体"/>
          <w:lang w:eastAsia="zh-CN"/>
        </w:rPr>
      </w:pPr>
    </w:p>
    <w:p>
      <w:pPr>
        <w:pStyle w:val="101"/>
      </w:pPr>
      <w:r>
        <w:br w:type="page"/>
      </w:r>
      <w:bookmarkStart w:id="0" w:name="Tables"/>
      <w:bookmarkEnd w:id="0"/>
      <w:bookmarkStart w:id="1" w:name="MaterialsMethods"/>
      <w:bookmarkEnd w:id="1"/>
    </w:p>
    <w:p>
      <w:pPr>
        <w:pStyle w:val="104"/>
        <w:rPr>
          <w:rFonts w:eastAsia="宋体"/>
          <w:lang w:eastAsia="zh-CN"/>
        </w:rPr>
      </w:pPr>
      <w:r>
        <w:rPr>
          <w:rFonts w:eastAsia="宋体"/>
          <w:lang w:eastAsia="zh-CN"/>
        </w:rPr>
        <w:drawing>
          <wp:inline distT="0" distB="0" distL="114300" distR="114300">
            <wp:extent cx="5941060" cy="5247640"/>
            <wp:effectExtent l="0" t="0" r="2540" b="635"/>
            <wp:docPr id="3" name="图片 3" descr="Fig.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.A1"/>
                    <pic:cNvPicPr>
                      <a:picLocks noChangeAspect="1"/>
                    </pic:cNvPicPr>
                  </pic:nvPicPr>
                  <pic:blipFill>
                    <a:blip r:embed="rId7"/>
                    <a:srcRect t="6569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524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1"/>
        <w:jc w:val="both"/>
        <w:rPr>
          <w:rFonts w:hint="eastAsia" w:eastAsia="等线"/>
          <w:lang w:eastAsia="zh-CN"/>
        </w:rPr>
      </w:pPr>
      <w:r>
        <w:t>Fig. 1.</w:t>
      </w:r>
      <w:r>
        <w:rPr>
          <w:rFonts w:hint="eastAsia" w:eastAsia="宋体"/>
          <w:lang w:eastAsia="zh-CN"/>
        </w:rPr>
        <w:t xml:space="preserve"> </w:t>
      </w:r>
      <w:r>
        <w:rPr>
          <w:rFonts w:eastAsia="等线"/>
          <w:b w:val="0"/>
          <w:bCs w:val="0"/>
          <w:kern w:val="2"/>
          <w:lang w:eastAsia="zh-CN" w:bidi="ar"/>
        </w:rPr>
        <w:t>(</w:t>
      </w:r>
      <w:r>
        <w:rPr>
          <w:rFonts w:hint="eastAsia" w:eastAsia="等线"/>
          <w:b w:val="0"/>
          <w:bCs w:val="0"/>
          <w:kern w:val="2"/>
          <w:lang w:eastAsia="zh-CN" w:bidi="ar"/>
        </w:rPr>
        <w:t>A</w:t>
      </w:r>
      <w:r>
        <w:rPr>
          <w:rFonts w:eastAsia="等线"/>
          <w:b w:val="0"/>
          <w:bCs w:val="0"/>
          <w:kern w:val="2"/>
          <w:lang w:eastAsia="zh-CN" w:bidi="ar"/>
        </w:rPr>
        <w:t>). KEGG pathway enrichment analysis of immune related differential genes in 18-day-old mice small intestinal</w:t>
      </w:r>
      <w:r>
        <w:rPr>
          <w:rFonts w:hint="eastAsia" w:eastAsia="等线"/>
          <w:b w:val="0"/>
          <w:bCs w:val="0"/>
          <w:kern w:val="2"/>
          <w:lang w:val="en-US" w:eastAsia="zh-CN" w:bidi="ar"/>
        </w:rPr>
        <w:t xml:space="preserve"> (P value＜0.05)</w:t>
      </w:r>
      <w:r>
        <w:rPr>
          <w:rFonts w:eastAsia="等线"/>
          <w:b w:val="0"/>
          <w:bCs w:val="0"/>
          <w:kern w:val="2"/>
          <w:lang w:eastAsia="zh-CN" w:bidi="ar"/>
        </w:rPr>
        <w:t>. (</w:t>
      </w:r>
      <w:r>
        <w:rPr>
          <w:rFonts w:hint="eastAsia" w:eastAsia="等线"/>
          <w:b w:val="0"/>
          <w:bCs w:val="0"/>
          <w:kern w:val="2"/>
          <w:lang w:eastAsia="zh-CN" w:bidi="ar"/>
        </w:rPr>
        <w:t>B</w:t>
      </w:r>
      <w:r>
        <w:rPr>
          <w:rFonts w:eastAsia="等线"/>
          <w:b w:val="0"/>
          <w:bCs w:val="0"/>
          <w:kern w:val="2"/>
          <w:lang w:eastAsia="zh-CN" w:bidi="ar"/>
        </w:rPr>
        <w:t>).</w:t>
      </w:r>
      <w:r>
        <w:rPr>
          <w:rFonts w:hint="eastAsia" w:eastAsia="等线"/>
          <w:b w:val="0"/>
          <w:bCs w:val="0"/>
          <w:kern w:val="2"/>
          <w:lang w:eastAsia="zh-CN" w:bidi="ar"/>
        </w:rPr>
        <w:t xml:space="preserve">The abundance of </w:t>
      </w:r>
      <w:r>
        <w:rPr>
          <w:rFonts w:hint="eastAsia" w:eastAsia="等线"/>
          <w:b w:val="0"/>
          <w:bCs w:val="0"/>
          <w:i/>
          <w:iCs/>
          <w:kern w:val="2"/>
          <w:lang w:eastAsia="zh-CN" w:bidi="ar"/>
        </w:rPr>
        <w:t>Bifidobacterium</w:t>
      </w:r>
      <w:r>
        <w:rPr>
          <w:rFonts w:hint="eastAsia" w:eastAsia="等线"/>
          <w:b w:val="0"/>
          <w:bCs w:val="0"/>
          <w:kern w:val="2"/>
          <w:lang w:eastAsia="zh-CN" w:bidi="ar"/>
        </w:rPr>
        <w:t xml:space="preserve"> in CUMS mice.</w:t>
      </w:r>
      <w:r>
        <w:rPr>
          <w:rFonts w:eastAsia="等线"/>
          <w:b w:val="0"/>
          <w:bCs w:val="0"/>
          <w:kern w:val="2"/>
          <w:lang w:eastAsia="zh-CN" w:bidi="ar"/>
        </w:rPr>
        <w:t xml:space="preserve"> (</w:t>
      </w:r>
      <w:r>
        <w:rPr>
          <w:rFonts w:hint="eastAsia" w:eastAsia="等线"/>
          <w:b w:val="0"/>
          <w:bCs w:val="0"/>
          <w:kern w:val="2"/>
          <w:lang w:eastAsia="zh-CN" w:bidi="ar"/>
        </w:rPr>
        <w:t>C</w:t>
      </w:r>
      <w:r>
        <w:rPr>
          <w:rFonts w:eastAsia="等线"/>
          <w:b w:val="0"/>
          <w:bCs w:val="0"/>
          <w:kern w:val="2"/>
          <w:lang w:eastAsia="zh-CN" w:bidi="ar"/>
        </w:rPr>
        <w:t>)</w:t>
      </w:r>
      <w:r>
        <w:rPr>
          <w:rFonts w:hint="eastAsia" w:eastAsia="等线"/>
          <w:b w:val="0"/>
          <w:bCs w:val="0"/>
          <w:kern w:val="2"/>
          <w:lang w:eastAsia="zh-CN" w:bidi="ar"/>
        </w:rPr>
        <w:t>.</w:t>
      </w:r>
      <w:r>
        <w:rPr>
          <w:rFonts w:eastAsia="等线"/>
          <w:b w:val="0"/>
          <w:bCs w:val="0"/>
          <w:kern w:val="2"/>
          <w:lang w:eastAsia="zh-CN" w:bidi="ar"/>
        </w:rPr>
        <w:t xml:space="preserve"> </w:t>
      </w:r>
      <w:r>
        <w:rPr>
          <w:rFonts w:hint="eastAsia" w:eastAsia="等线"/>
          <w:b w:val="0"/>
          <w:bCs w:val="0"/>
          <w:kern w:val="2"/>
          <w:lang w:eastAsia="zh-CN" w:bidi="ar"/>
        </w:rPr>
        <w:t>Expression of Cldn2</w:t>
      </w:r>
      <w:r>
        <w:rPr>
          <w:rFonts w:eastAsia="等线"/>
          <w:b w:val="0"/>
          <w:bCs w:val="0"/>
          <w:kern w:val="2"/>
          <w:shd w:val="clear" w:color="auto" w:fill="FFFFFF"/>
          <w:lang w:eastAsia="zh-CN" w:bidi="ar"/>
        </w:rPr>
        <w:t xml:space="preserve"> in </w:t>
      </w:r>
      <w:r>
        <w:rPr>
          <w:rFonts w:hint="eastAsia" w:eastAsia="等线"/>
          <w:b w:val="0"/>
          <w:bCs w:val="0"/>
          <w:kern w:val="2"/>
          <w:shd w:val="clear" w:color="auto" w:fill="FFFFFF"/>
          <w:lang w:eastAsia="zh-CN" w:bidi="ar"/>
        </w:rPr>
        <w:t xml:space="preserve">the hippocampus </w:t>
      </w:r>
      <w:r>
        <w:rPr>
          <w:rFonts w:eastAsia="等线"/>
          <w:b w:val="0"/>
          <w:bCs w:val="0"/>
          <w:kern w:val="2"/>
          <w:lang w:eastAsia="zh-CN" w:bidi="ar"/>
        </w:rPr>
        <w:t>RNAseq</w:t>
      </w:r>
      <w:r>
        <w:rPr>
          <w:rFonts w:hint="eastAsia" w:eastAsia="等线"/>
          <w:b w:val="0"/>
          <w:bCs w:val="0"/>
          <w:kern w:val="2"/>
          <w:lang w:eastAsia="zh-CN" w:bidi="ar"/>
        </w:rPr>
        <w:t xml:space="preserve"> of </w:t>
      </w:r>
      <w:r>
        <w:rPr>
          <w:rFonts w:eastAsia="等线"/>
          <w:b w:val="0"/>
          <w:bCs w:val="0"/>
          <w:kern w:val="2"/>
          <w:lang w:eastAsia="zh-CN" w:bidi="ar"/>
        </w:rPr>
        <w:t>18-day-old mice.</w:t>
      </w:r>
      <w:r>
        <w:rPr>
          <w:rFonts w:hint="eastAsia" w:eastAsia="等线"/>
          <w:b w:val="0"/>
          <w:bCs w:val="0"/>
          <w:kern w:val="2"/>
          <w:lang w:eastAsia="zh-CN" w:bidi="ar"/>
        </w:rPr>
        <w:t xml:space="preserve"> </w:t>
      </w:r>
      <w:r>
        <w:rPr>
          <w:rFonts w:eastAsia="等线"/>
          <w:b w:val="0"/>
          <w:bCs w:val="0"/>
          <w:kern w:val="2"/>
          <w:lang w:eastAsia="zh-CN" w:bidi="ar"/>
        </w:rPr>
        <w:t>(</w:t>
      </w:r>
      <w:r>
        <w:rPr>
          <w:rFonts w:hint="eastAsia" w:eastAsia="等线"/>
          <w:b w:val="0"/>
          <w:bCs w:val="0"/>
          <w:kern w:val="2"/>
          <w:lang w:eastAsia="zh-CN" w:bidi="ar"/>
        </w:rPr>
        <w:t>D</w:t>
      </w:r>
      <w:r>
        <w:rPr>
          <w:rFonts w:eastAsia="等线"/>
          <w:b w:val="0"/>
          <w:bCs w:val="0"/>
          <w:kern w:val="2"/>
          <w:lang w:eastAsia="zh-CN" w:bidi="ar"/>
        </w:rPr>
        <w:t>)</w:t>
      </w:r>
      <w:r>
        <w:rPr>
          <w:rFonts w:hint="eastAsia" w:eastAsia="等线"/>
          <w:b w:val="0"/>
          <w:bCs w:val="0"/>
          <w:kern w:val="2"/>
          <w:lang w:eastAsia="zh-CN" w:bidi="ar"/>
        </w:rPr>
        <w:t>.</w:t>
      </w:r>
      <w:r>
        <w:rPr>
          <w:rFonts w:eastAsia="等线"/>
          <w:b w:val="0"/>
          <w:bCs w:val="0"/>
          <w:kern w:val="2"/>
          <w:lang w:eastAsia="zh-CN" w:bidi="ar"/>
        </w:rPr>
        <w:t xml:space="preserve"> Expression of genes encode FKBP5 in 18-day-old small intestinal RNAseq. </w:t>
      </w:r>
      <w:r>
        <w:rPr>
          <w:rFonts w:hint="eastAsia" w:eastAsia="等线"/>
          <w:b w:val="0"/>
          <w:bCs w:val="0"/>
          <w:kern w:val="2"/>
          <w:lang w:val="en-US" w:eastAsia="zh-CN" w:bidi="ar"/>
        </w:rPr>
        <w:t xml:space="preserve">(E). </w:t>
      </w:r>
      <w:r>
        <w:rPr>
          <w:rFonts w:eastAsia="等线"/>
          <w:b w:val="0"/>
          <w:bCs w:val="0"/>
          <w:kern w:val="2"/>
          <w:lang w:eastAsia="zh-CN" w:bidi="ar"/>
        </w:rPr>
        <w:t>Expression of genes encode HSP70 in 18-day-old small intestinal RNAseq</w:t>
      </w:r>
      <w:r>
        <w:rPr>
          <w:rFonts w:hint="eastAsia" w:eastAsia="等线"/>
          <w:b w:val="0"/>
          <w:bCs w:val="0"/>
          <w:lang w:val="en-US" w:eastAsia="zh-CN"/>
        </w:rPr>
        <w:t>.</w:t>
      </w:r>
    </w:p>
    <w:p>
      <w:pPr>
        <w:rPr>
          <w:rFonts w:eastAsia="等线"/>
          <w:b w:val="0"/>
          <w:bCs w:val="0"/>
          <w:kern w:val="2"/>
          <w:sz w:val="21"/>
          <w:szCs w:val="21"/>
          <w:lang w:eastAsia="zh-CN" w:bidi="ar"/>
        </w:rPr>
      </w:pPr>
      <w:r>
        <w:br w:type="page"/>
      </w:r>
      <w:r>
        <w:drawing>
          <wp:inline distT="0" distB="0" distL="114300" distR="114300">
            <wp:extent cx="5942330" cy="6240780"/>
            <wp:effectExtent l="0" t="0" r="1270" b="7620"/>
            <wp:docPr id="2" name="图片 2" descr="Fig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A2"/>
                    <pic:cNvPicPr>
                      <a:picLocks noChangeAspect="1"/>
                    </pic:cNvPicPr>
                  </pic:nvPicPr>
                  <pic:blipFill>
                    <a:blip r:embed="rId8"/>
                    <a:srcRect t="5699"/>
                    <a:stretch>
                      <a:fillRect/>
                    </a:stretch>
                  </pic:blipFill>
                  <pic:spPr>
                    <a:xfrm>
                      <a:off x="0" y="0"/>
                      <a:ext cx="5942330" cy="624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</w:rPr>
        <w:t>Fig. 2</w:t>
      </w:r>
      <w:r>
        <w:rPr>
          <w:rFonts w:hint="eastAsia" w:eastAsia="宋体"/>
          <w:lang w:eastAsia="zh-CN"/>
        </w:rPr>
        <w:t xml:space="preserve">. </w:t>
      </w:r>
      <w:r>
        <w:rPr>
          <w:rFonts w:eastAsia="等线"/>
          <w:b w:val="0"/>
          <w:bCs w:val="0"/>
          <w:kern w:val="2"/>
          <w:sz w:val="21"/>
          <w:szCs w:val="21"/>
          <w:lang w:eastAsia="zh-CN" w:bidi="ar"/>
        </w:rPr>
        <w:t>(</w:t>
      </w:r>
      <w:r>
        <w:rPr>
          <w:rFonts w:hint="eastAsia" w:eastAsia="等线"/>
          <w:b w:val="0"/>
          <w:bCs w:val="0"/>
          <w:kern w:val="2"/>
          <w:sz w:val="21"/>
          <w:szCs w:val="21"/>
          <w:lang w:eastAsia="zh-CN" w:bidi="ar"/>
        </w:rPr>
        <w:t>A</w:t>
      </w:r>
      <w:r>
        <w:rPr>
          <w:rFonts w:eastAsia="等线"/>
          <w:b w:val="0"/>
          <w:bCs w:val="0"/>
          <w:kern w:val="2"/>
          <w:sz w:val="21"/>
          <w:szCs w:val="21"/>
          <w:lang w:eastAsia="zh-CN" w:bidi="ar"/>
        </w:rPr>
        <w:t xml:space="preserve">). Linear discriminant analysis (LDA &gt;3) scores derived from LEfSe analysis at genus level </w:t>
      </w:r>
      <w:r>
        <w:rPr>
          <w:rFonts w:hint="eastAsia" w:eastAsia="等线"/>
          <w:b w:val="0"/>
          <w:bCs w:val="0"/>
          <w:kern w:val="2"/>
          <w:sz w:val="21"/>
          <w:szCs w:val="21"/>
          <w:lang w:eastAsia="zh-CN" w:bidi="ar"/>
        </w:rPr>
        <w:t>to show t</w:t>
      </w:r>
      <w:r>
        <w:rPr>
          <w:rFonts w:hint="eastAsia" w:eastAsia="宋体"/>
          <w:b w:val="0"/>
          <w:bCs w:val="0"/>
          <w:sz w:val="21"/>
          <w:szCs w:val="21"/>
          <w:lang w:eastAsia="zh-CN"/>
        </w:rPr>
        <w:t xml:space="preserve">he different bacteria between DSS model male mice and health adult male mice that drink normal milk during lactation </w:t>
      </w:r>
      <w:r>
        <w:rPr>
          <w:rFonts w:eastAsia="等线"/>
          <w:b w:val="0"/>
          <w:bCs w:val="0"/>
          <w:kern w:val="2"/>
          <w:sz w:val="21"/>
          <w:szCs w:val="21"/>
          <w:lang w:eastAsia="zh-CN" w:bidi="ar"/>
        </w:rPr>
        <w:t>(mDWT-WT vs mWT-WT</w:t>
      </w:r>
      <w:r>
        <w:rPr>
          <w:rFonts w:hint="eastAsia" w:eastAsia="宋体"/>
          <w:b w:val="0"/>
          <w:bCs w:val="0"/>
          <w:sz w:val="21"/>
          <w:szCs w:val="21"/>
          <w:lang w:eastAsia="zh-CN"/>
        </w:rPr>
        <w:t>)</w:t>
      </w:r>
      <w:r>
        <w:rPr>
          <w:rFonts w:eastAsia="等线"/>
          <w:b w:val="0"/>
          <w:bCs w:val="0"/>
          <w:kern w:val="2"/>
          <w:sz w:val="21"/>
          <w:szCs w:val="21"/>
          <w:lang w:eastAsia="zh-CN" w:bidi="ar"/>
        </w:rPr>
        <w:t>. (</w:t>
      </w:r>
      <w:r>
        <w:rPr>
          <w:rFonts w:hint="eastAsia" w:eastAsia="等线"/>
          <w:b w:val="0"/>
          <w:bCs w:val="0"/>
          <w:kern w:val="2"/>
          <w:sz w:val="21"/>
          <w:szCs w:val="21"/>
          <w:lang w:eastAsia="zh-CN" w:bidi="ar"/>
        </w:rPr>
        <w:t>B</w:t>
      </w:r>
      <w:r>
        <w:rPr>
          <w:rFonts w:eastAsia="等线"/>
          <w:b w:val="0"/>
          <w:bCs w:val="0"/>
          <w:kern w:val="2"/>
          <w:sz w:val="21"/>
          <w:szCs w:val="21"/>
          <w:lang w:eastAsia="zh-CN" w:bidi="ar"/>
        </w:rPr>
        <w:t xml:space="preserve">) . Linear discriminant analysis (LDA &gt;3) scores derived from LEfSe analysis at genus level </w:t>
      </w:r>
      <w:r>
        <w:rPr>
          <w:rFonts w:hint="eastAsia" w:eastAsia="等线"/>
          <w:b w:val="0"/>
          <w:bCs w:val="0"/>
          <w:kern w:val="2"/>
          <w:sz w:val="21"/>
          <w:szCs w:val="21"/>
          <w:lang w:eastAsia="zh-CN" w:bidi="ar"/>
        </w:rPr>
        <w:t>to show t</w:t>
      </w:r>
      <w:r>
        <w:rPr>
          <w:rFonts w:hint="eastAsia" w:eastAsia="宋体"/>
          <w:b w:val="0"/>
          <w:bCs w:val="0"/>
          <w:sz w:val="21"/>
          <w:szCs w:val="21"/>
          <w:lang w:eastAsia="zh-CN"/>
        </w:rPr>
        <w:t>he different bacteria between DSS model male mice and health adult male mice that drink LF-free milk during lactation (</w:t>
      </w:r>
      <w:r>
        <w:rPr>
          <w:rFonts w:eastAsia="等线"/>
          <w:b w:val="0"/>
          <w:bCs w:val="0"/>
          <w:kern w:val="2"/>
          <w:sz w:val="21"/>
          <w:szCs w:val="21"/>
          <w:lang w:eastAsia="zh-CN" w:bidi="ar"/>
        </w:rPr>
        <w:t xml:space="preserve">mDKO-WT vs mKO-WT </w:t>
      </w:r>
      <w:r>
        <w:rPr>
          <w:rFonts w:hint="eastAsia" w:eastAsia="等线"/>
          <w:b w:val="0"/>
          <w:bCs w:val="0"/>
          <w:kern w:val="2"/>
          <w:sz w:val="21"/>
          <w:szCs w:val="21"/>
          <w:lang w:eastAsia="zh-CN" w:bidi="ar"/>
        </w:rPr>
        <w:t xml:space="preserve">) </w:t>
      </w:r>
      <w:r>
        <w:rPr>
          <w:rFonts w:eastAsia="等线"/>
          <w:b w:val="0"/>
          <w:bCs w:val="0"/>
          <w:kern w:val="2"/>
          <w:sz w:val="21"/>
          <w:szCs w:val="21"/>
          <w:lang w:eastAsia="zh-CN" w:bidi="ar"/>
        </w:rPr>
        <w:t>(</w:t>
      </w:r>
      <w:r>
        <w:rPr>
          <w:rFonts w:hint="eastAsia" w:eastAsia="等线"/>
          <w:b w:val="0"/>
          <w:bCs w:val="0"/>
          <w:kern w:val="2"/>
          <w:sz w:val="21"/>
          <w:szCs w:val="21"/>
          <w:lang w:eastAsia="zh-CN" w:bidi="ar"/>
        </w:rPr>
        <w:t>C</w:t>
      </w:r>
      <w:r>
        <w:rPr>
          <w:rFonts w:eastAsia="等线"/>
          <w:b w:val="0"/>
          <w:bCs w:val="0"/>
          <w:kern w:val="2"/>
          <w:sz w:val="21"/>
          <w:szCs w:val="21"/>
          <w:lang w:eastAsia="zh-CN" w:bidi="ar"/>
        </w:rPr>
        <w:t xml:space="preserve">).Linear discriminant analysis (LDA &gt;3) scores derived from LEfSe analysis at genus level </w:t>
      </w:r>
      <w:r>
        <w:rPr>
          <w:rFonts w:hint="eastAsia" w:eastAsia="等线"/>
          <w:b w:val="0"/>
          <w:bCs w:val="0"/>
          <w:kern w:val="2"/>
          <w:sz w:val="21"/>
          <w:szCs w:val="21"/>
          <w:lang w:eastAsia="zh-CN" w:bidi="ar"/>
        </w:rPr>
        <w:t>to show t</w:t>
      </w:r>
      <w:r>
        <w:rPr>
          <w:rFonts w:hint="eastAsia" w:eastAsia="宋体"/>
          <w:b w:val="0"/>
          <w:bCs w:val="0"/>
          <w:sz w:val="21"/>
          <w:szCs w:val="21"/>
          <w:lang w:eastAsia="zh-CN"/>
        </w:rPr>
        <w:t>he different bacteria between DSS model female mice and health adult female mice that drink normal milk during lactation (</w:t>
      </w:r>
      <w:r>
        <w:rPr>
          <w:rFonts w:eastAsia="等线"/>
          <w:b w:val="0"/>
          <w:bCs w:val="0"/>
          <w:kern w:val="2"/>
          <w:sz w:val="21"/>
          <w:szCs w:val="21"/>
          <w:lang w:eastAsia="zh-CN" w:bidi="ar"/>
        </w:rPr>
        <w:t xml:space="preserve">fDWT-WT vs fWT-WT </w:t>
      </w:r>
      <w:r>
        <w:rPr>
          <w:rFonts w:hint="eastAsia" w:eastAsia="等线"/>
          <w:b w:val="0"/>
          <w:bCs w:val="0"/>
          <w:kern w:val="2"/>
          <w:sz w:val="21"/>
          <w:szCs w:val="21"/>
          <w:lang w:eastAsia="zh-CN" w:bidi="ar"/>
        </w:rPr>
        <w:t xml:space="preserve">). </w:t>
      </w:r>
      <w:r>
        <w:rPr>
          <w:rFonts w:eastAsia="等线"/>
          <w:b w:val="0"/>
          <w:bCs w:val="0"/>
          <w:kern w:val="2"/>
          <w:sz w:val="21"/>
          <w:szCs w:val="21"/>
          <w:lang w:eastAsia="zh-CN" w:bidi="ar"/>
        </w:rPr>
        <w:t>(</w:t>
      </w:r>
      <w:r>
        <w:rPr>
          <w:rFonts w:hint="eastAsia" w:eastAsia="等线"/>
          <w:b w:val="0"/>
          <w:bCs w:val="0"/>
          <w:kern w:val="2"/>
          <w:sz w:val="21"/>
          <w:szCs w:val="21"/>
          <w:lang w:eastAsia="zh-CN" w:bidi="ar"/>
        </w:rPr>
        <w:t>D</w:t>
      </w:r>
      <w:r>
        <w:rPr>
          <w:rFonts w:eastAsia="等线"/>
          <w:b w:val="0"/>
          <w:bCs w:val="0"/>
          <w:kern w:val="2"/>
          <w:sz w:val="21"/>
          <w:szCs w:val="21"/>
          <w:lang w:eastAsia="zh-CN" w:bidi="ar"/>
        </w:rPr>
        <w:t xml:space="preserve">). Linear discriminant analysis (LDA &gt;3) scores derived from LEfSe analysis at genus level </w:t>
      </w:r>
      <w:r>
        <w:rPr>
          <w:rFonts w:hint="eastAsia" w:eastAsia="等线"/>
          <w:b w:val="0"/>
          <w:bCs w:val="0"/>
          <w:kern w:val="2"/>
          <w:sz w:val="21"/>
          <w:szCs w:val="21"/>
          <w:lang w:eastAsia="zh-CN" w:bidi="ar"/>
        </w:rPr>
        <w:t>to show t</w:t>
      </w:r>
      <w:r>
        <w:rPr>
          <w:rFonts w:hint="eastAsia" w:eastAsia="宋体"/>
          <w:b w:val="0"/>
          <w:bCs w:val="0"/>
          <w:sz w:val="21"/>
          <w:szCs w:val="21"/>
          <w:lang w:eastAsia="zh-CN"/>
        </w:rPr>
        <w:t>he different bacteria between DSS model female mice and health adult female mice that drink LF-free milk during lactation (</w:t>
      </w:r>
      <w:r>
        <w:rPr>
          <w:rFonts w:eastAsia="等线"/>
          <w:b w:val="0"/>
          <w:bCs w:val="0"/>
          <w:kern w:val="2"/>
          <w:sz w:val="21"/>
          <w:szCs w:val="21"/>
          <w:lang w:eastAsia="zh-CN" w:bidi="ar"/>
        </w:rPr>
        <w:t>fDKO-WT vs fKO-WT</w:t>
      </w:r>
      <w:r>
        <w:rPr>
          <w:rFonts w:hint="eastAsia" w:eastAsia="等线"/>
          <w:b w:val="0"/>
          <w:bCs w:val="0"/>
          <w:kern w:val="2"/>
          <w:sz w:val="21"/>
          <w:szCs w:val="21"/>
          <w:lang w:eastAsia="zh-CN" w:bidi="ar"/>
        </w:rPr>
        <w:t>)</w:t>
      </w:r>
      <w:r>
        <w:rPr>
          <w:rFonts w:eastAsia="等线"/>
          <w:b w:val="0"/>
          <w:bCs w:val="0"/>
          <w:kern w:val="2"/>
          <w:sz w:val="21"/>
          <w:szCs w:val="21"/>
          <w:lang w:eastAsia="zh-CN" w:bidi="ar"/>
        </w:rPr>
        <w:t>.</w:t>
      </w:r>
    </w:p>
    <w:p>
      <w:pPr>
        <w:rPr>
          <w:rFonts w:eastAsia="等线"/>
          <w:kern w:val="2"/>
          <w:sz w:val="21"/>
          <w:szCs w:val="21"/>
          <w:lang w:eastAsia="zh-CN" w:bidi="ar"/>
        </w:rPr>
      </w:pPr>
      <w:r>
        <w:rPr>
          <w:rFonts w:eastAsia="等线"/>
          <w:kern w:val="2"/>
          <w:sz w:val="21"/>
          <w:szCs w:val="21"/>
          <w:lang w:eastAsia="zh-CN" w:bidi="ar"/>
        </w:rPr>
        <w:br w:type="page"/>
      </w:r>
    </w:p>
    <w:p>
      <w:pPr>
        <w:pStyle w:val="101"/>
        <w:jc w:val="both"/>
        <w:rPr>
          <w:rFonts w:eastAsia="等线"/>
          <w:b w:val="0"/>
          <w:bCs w:val="0"/>
          <w:kern w:val="2"/>
          <w:sz w:val="21"/>
          <w:szCs w:val="21"/>
          <w:lang w:eastAsia="zh-CN" w:bidi="ar"/>
        </w:rPr>
      </w:pPr>
    </w:p>
    <w:p>
      <w:pPr>
        <w:pStyle w:val="104"/>
        <w:rPr>
          <w:rFonts w:eastAsia="宋体"/>
          <w:b/>
          <w:bCs/>
          <w:lang w:eastAsia="zh-CN"/>
        </w:rPr>
      </w:pPr>
      <w:r>
        <w:rPr>
          <w:b/>
          <w:bCs/>
        </w:rPr>
        <w:t>Table</w:t>
      </w:r>
      <w:r>
        <w:rPr>
          <w:rFonts w:hint="eastAsia" w:eastAsia="宋体"/>
          <w:b/>
          <w:bCs/>
          <w:lang w:eastAsia="zh-CN"/>
        </w:rPr>
        <w:t>.</w:t>
      </w:r>
      <w:r>
        <w:rPr>
          <w:b/>
          <w:bCs/>
        </w:rPr>
        <w:t xml:space="preserve"> </w:t>
      </w:r>
      <w:r>
        <w:rPr>
          <w:rFonts w:hint="eastAsia" w:eastAsia="宋体"/>
          <w:b/>
          <w:bCs/>
          <w:lang w:val="en-US" w:eastAsia="zh-CN"/>
        </w:rPr>
        <w:t>1</w:t>
      </w:r>
      <w:r>
        <w:rPr>
          <w:b/>
          <w:bCs/>
        </w:rPr>
        <w:t>.</w:t>
      </w:r>
      <w:r>
        <w:rPr>
          <w:rFonts w:hint="eastAsia" w:eastAsia="宋体"/>
          <w:b/>
          <w:bCs/>
          <w:lang w:eastAsia="zh-CN"/>
        </w:rPr>
        <w:t xml:space="preserve"> Chronic unpredictable mild stress schedule</w:t>
      </w:r>
    </w:p>
    <w:p>
      <w:pPr>
        <w:pStyle w:val="104"/>
        <w:rPr>
          <w:b/>
          <w:bCs/>
        </w:rPr>
      </w:pPr>
    </w:p>
    <w:tbl>
      <w:tblPr>
        <w:tblStyle w:val="145"/>
        <w:tblpPr w:leftFromText="180" w:rightFromText="180" w:vertAnchor="text" w:horzAnchor="margin" w:tblpY="-13"/>
        <w:tblW w:w="0" w:type="auto"/>
        <w:tblInd w:w="0" w:type="dxa"/>
        <w:tblBorders>
          <w:top w:val="none" w:color="666666" w:sz="4" w:space="0"/>
          <w:left w:val="none" w:color="auto" w:sz="6" w:space="0"/>
          <w:bottom w:val="single" w:color="auto" w:sz="4" w:space="0"/>
          <w:right w:val="none" w:color="auto" w:sz="6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5443"/>
        <w:gridCol w:w="1270"/>
      </w:tblGrid>
      <w:tr>
        <w:tblPrEx>
          <w:tblBorders>
            <w:top w:val="none" w:color="666666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8522" w:type="dxa"/>
            <w:gridSpan w:val="3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 Bold"/>
                <w:b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eastAsia="MinionPro" w:cs="Times New Roman"/>
                <w:b/>
                <w:bCs/>
                <w:color w:val="00000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 Bold"/>
                <w:b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Table</w:t>
            </w:r>
            <w:r>
              <w:rPr>
                <w:rFonts w:hint="eastAsia" w:cs="Times New Roman Bold"/>
                <w:b/>
                <w:bCs/>
                <w:color w:val="000000"/>
                <w:kern w:val="2"/>
                <w:szCs w:val="24"/>
                <w:shd w:val="clear" w:color="auto" w:fill="FFFFFF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cs="Times New Roman Bold"/>
                <w:b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 xml:space="preserve"> </w:t>
            </w:r>
            <w:r>
              <w:rPr>
                <w:rFonts w:hint="eastAsia" w:cs="Times New Roman Bold"/>
                <w:b/>
                <w:bCs/>
                <w:color w:val="000000"/>
                <w:kern w:val="2"/>
                <w:szCs w:val="24"/>
                <w:shd w:val="clear" w:color="auto" w:fill="FFFFFF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cs="Times New Roman Bold"/>
                <w:b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 xml:space="preserve"> Chronic unpredictable mild stress schedule</w:t>
            </w:r>
          </w:p>
        </w:tc>
      </w:tr>
      <w:tr>
        <w:tblPrEx>
          <w:tblBorders>
            <w:top w:val="none" w:color="666666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180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 Bold"/>
                <w:b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 Bold"/>
                <w:b w:val="0"/>
                <w:bCs w:val="0"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Stressors</w:t>
            </w:r>
          </w:p>
        </w:tc>
        <w:tc>
          <w:tcPr>
            <w:tcW w:w="544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Times New Roman Bold"/>
                <w:b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hint="default" w:cs="Times New Roman Bold"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Details</w:t>
            </w:r>
          </w:p>
        </w:tc>
        <w:tc>
          <w:tcPr>
            <w:tcW w:w="127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Times New Roman Bold"/>
                <w:b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hint="default" w:cs="Times New Roman Bold"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Days</w:t>
            </w:r>
          </w:p>
        </w:tc>
      </w:tr>
      <w:tr>
        <w:tblPrEx>
          <w:tblBorders>
            <w:top w:val="none" w:color="666666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 w:hRule="atLeast"/>
        </w:trPr>
        <w:tc>
          <w:tcPr>
            <w:tcW w:w="1809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 Bold"/>
                <w:b w:val="0"/>
                <w:bCs w:val="0"/>
                <w:color w:val="000000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 Bold"/>
                <w:b w:val="0"/>
                <w:bCs w:val="0"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Swimming</w:t>
            </w:r>
          </w:p>
        </w:tc>
        <w:tc>
          <w:tcPr>
            <w:tcW w:w="5443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eastAsia="宋体"/>
                <w:szCs w:val="24"/>
              </w:rPr>
            </w:pPr>
            <w:r>
              <w:rPr>
                <w:rFonts w:hint="default" w:cs="Times New Roman Bold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 xml:space="preserve">Mice were placed for </w:t>
            </w:r>
            <w:r>
              <w:rPr>
                <w:rFonts w:hint="default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6</w:t>
            </w:r>
            <w:r>
              <w:rPr>
                <w:rFonts w:hint="default" w:cs="Times New Roman Bold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 xml:space="preserve"> min in a cylindrical clear plastic tank (30cm high * 10cm diameter) filled with water (23±1</w:t>
            </w:r>
            <w:r>
              <w:rPr>
                <w:rFonts w:hint="default" w:cs="Cambria Math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℃) to a depth of 20cm. Immediately after the swim, mice were removed from the tank and towel-dried before being placed back in home cages.</w:t>
            </w:r>
          </w:p>
        </w:tc>
        <w:tc>
          <w:tcPr>
            <w:tcW w:w="127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Times New Roman Bold"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hint="default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1</w:t>
            </w:r>
            <w:r>
              <w:rPr>
                <w:rFonts w:hint="default" w:cs="Times New Roman Bold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, 8, 15, 22</w:t>
            </w:r>
          </w:p>
        </w:tc>
      </w:tr>
      <w:tr>
        <w:tblPrEx>
          <w:tblBorders>
            <w:top w:val="none" w:color="666666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 Bold"/>
                <w:b w:val="0"/>
                <w:bCs w:val="0"/>
                <w:color w:val="000000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 Bold"/>
                <w:b w:val="0"/>
                <w:bCs w:val="0"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Food deprivation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cs="Times New Roman Bold"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hint="default" w:cs="Times New Roman Bold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Mice were subjected to 24h of food deprivation. Food was provided immediately after the end of the fasting period.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cs="Times New Roman Bold"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hint="default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2</w:t>
            </w:r>
            <w:r>
              <w:rPr>
                <w:rFonts w:hint="default" w:cs="Times New Roman Bold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, 12, 18, 23</w:t>
            </w:r>
          </w:p>
        </w:tc>
      </w:tr>
      <w:tr>
        <w:tblPrEx>
          <w:tblBorders>
            <w:top w:val="none" w:color="666666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 Bold"/>
                <w:b w:val="0"/>
                <w:bCs w:val="0"/>
                <w:color w:val="000000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 Bold"/>
                <w:b w:val="0"/>
                <w:bCs w:val="0"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Restraint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cs="Times New Roman Bold"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hint="default" w:cs="Times New Roman Bold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Mice were individually restraint for 4h inside 50 ml centrifuge tubes with proper holes for ventilation.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cs="Times New Roman Bold"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hint="default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3</w:t>
            </w:r>
            <w:r>
              <w:rPr>
                <w:rFonts w:hint="default" w:cs="Times New Roman Bold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, 14, 21, 25</w:t>
            </w:r>
          </w:p>
        </w:tc>
      </w:tr>
      <w:tr>
        <w:tblPrEx>
          <w:tblBorders>
            <w:top w:val="none" w:color="666666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微软雅黑" w:cs="微软雅黑"/>
                <w:b w:val="0"/>
                <w:bCs w:val="0"/>
                <w:color w:val="000000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 Bold"/>
                <w:b w:val="0"/>
                <w:bCs w:val="0"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Cage tilting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cs="Times New Roman Bold"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hint="default" w:cs="Times New Roman Bold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Cage tilting (45°) along the vertical axis for 24h.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cs="Times New Roman Bold"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hint="default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4</w:t>
            </w:r>
            <w:r>
              <w:rPr>
                <w:rFonts w:hint="default" w:cs="Times New Roman Bold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, 9, 17, 24</w:t>
            </w:r>
          </w:p>
        </w:tc>
      </w:tr>
      <w:tr>
        <w:tblPrEx>
          <w:tblBorders>
            <w:top w:val="none" w:color="666666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 Bold"/>
                <w:b w:val="0"/>
                <w:bCs w:val="0"/>
                <w:color w:val="000000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 Bold"/>
                <w:b w:val="0"/>
                <w:bCs w:val="0"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Wet cage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cs="Times New Roman Bold"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hint="default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2</w:t>
            </w:r>
            <w:r>
              <w:rPr>
                <w:rFonts w:hint="default" w:cs="Times New Roman Bold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 xml:space="preserve">00ml water in 100g bedding for 24h. </w:t>
            </w:r>
            <w:r>
              <w:rPr>
                <w:rFonts w:hint="default" w:cs="Cambria Math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Immediately after the swim, mice were removed from the tank and towel-dried before being placed back in home cages.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cs="Times New Roman Bold"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hint="default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5</w:t>
            </w:r>
            <w:r>
              <w:rPr>
                <w:rFonts w:hint="default" w:cs="Times New Roman Bold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, 11, 19, 26</w:t>
            </w:r>
          </w:p>
        </w:tc>
      </w:tr>
      <w:tr>
        <w:tblPrEx>
          <w:tblBorders>
            <w:top w:val="none" w:color="666666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 Bold"/>
                <w:b w:val="0"/>
                <w:bCs w:val="0"/>
                <w:color w:val="000000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 Bold"/>
                <w:b w:val="0"/>
                <w:bCs w:val="0"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Water deprivation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cs="Times New Roman Bold"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hint="default" w:cs="Times New Roman Bold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Mice were subjected to 24h of water deprivation. water was provided immediately after the end of the fasting period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cs="Times New Roman Bold"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hint="default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6</w:t>
            </w:r>
            <w:r>
              <w:rPr>
                <w:rFonts w:hint="default" w:cs="Times New Roman Bold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, 10, 16, 28</w:t>
            </w:r>
          </w:p>
        </w:tc>
      </w:tr>
      <w:tr>
        <w:tblPrEx>
          <w:tblBorders>
            <w:top w:val="none" w:color="666666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 Bold"/>
                <w:b w:val="0"/>
                <w:bCs w:val="0"/>
                <w:color w:val="000000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cs="Times New Roman Bold"/>
                <w:b w:val="0"/>
                <w:bCs w:val="0"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Tail clamping</w:t>
            </w:r>
          </w:p>
        </w:tc>
        <w:tc>
          <w:tcPr>
            <w:tcW w:w="544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cs="Times New Roman Bold"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hint="default" w:cs="Times New Roman Bold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Tail pinch 1cm apart from the end of the tail for 6min.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cs="Times New Roman Bold"/>
                <w:bCs/>
                <w:color w:val="000000"/>
                <w:szCs w:val="24"/>
                <w:shd w:val="clear" w:color="auto" w:fill="FFFFFF"/>
              </w:rPr>
            </w:pPr>
            <w:r>
              <w:rPr>
                <w:rFonts w:hint="default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7</w:t>
            </w:r>
            <w:r>
              <w:rPr>
                <w:rFonts w:hint="default" w:cs="Times New Roman Bold"/>
                <w:bCs/>
                <w:color w:val="000000"/>
                <w:kern w:val="2"/>
                <w:szCs w:val="24"/>
                <w:shd w:val="clear" w:color="auto" w:fill="FFFFFF"/>
                <w:lang w:eastAsia="zh-CN" w:bidi="ar"/>
              </w:rPr>
              <w:t>, 13, 20, 27</w:t>
            </w:r>
          </w:p>
        </w:tc>
      </w:tr>
    </w:tbl>
    <w:p>
      <w:pPr>
        <w:tabs>
          <w:tab w:val="left" w:pos="702"/>
        </w:tabs>
        <w:bidi w:val="0"/>
        <w:jc w:val="left"/>
        <w:outlineLvl w:val="1"/>
        <w:rPr>
          <w:rFonts w:hint="eastAsia"/>
          <w:lang w:val="en-US" w:eastAsia="zh-CN"/>
        </w:rPr>
        <w:sectPr>
          <w:headerReference r:id="rId3" w:type="default"/>
          <w:footerReference r:id="rId4" w:type="default"/>
          <w:pgSz w:w="12240" w:h="15840"/>
          <w:pgMar w:top="1440" w:right="1440" w:bottom="1440" w:left="1440" w:header="720" w:footer="720" w:gutter="0"/>
          <w:pgNumType w:start="1"/>
          <w:cols w:space="720" w:num="1"/>
          <w:docGrid w:linePitch="360" w:charSpace="0"/>
        </w:sectPr>
      </w:pPr>
    </w:p>
    <w:tbl>
      <w:tblPr>
        <w:tblStyle w:val="88"/>
        <w:tblW w:w="14601" w:type="dxa"/>
        <w:tblInd w:w="-85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1200"/>
        <w:gridCol w:w="1426"/>
        <w:gridCol w:w="1701"/>
        <w:gridCol w:w="2551"/>
        <w:gridCol w:w="1985"/>
        <w:gridCol w:w="1524"/>
        <w:gridCol w:w="1594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4601" w:type="dxa"/>
            <w:gridSpan w:val="9"/>
            <w:tcBorders>
              <w:top w:val="nil"/>
              <w:left w:val="nil"/>
              <w:bottom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bookmarkStart w:id="2" w:name="_GoBack"/>
            <w:bookmarkEnd w:id="2"/>
            <w:r>
              <w:rPr>
                <w:rFonts w:hint="default" w:eastAsia="等线"/>
                <w:b/>
                <w:bCs/>
                <w:color w:val="000000"/>
                <w:szCs w:val="24"/>
                <w:lang w:eastAsia="zh-CN"/>
              </w:rPr>
              <w:t>Table</w:t>
            </w:r>
            <w:r>
              <w:rPr>
                <w:rFonts w:hint="eastAsia" w:eastAsia="等线"/>
                <w:b/>
                <w:bCs/>
                <w:color w:val="000000"/>
                <w:szCs w:val="24"/>
                <w:lang w:eastAsia="zh-CN"/>
              </w:rPr>
              <w:t>.</w:t>
            </w:r>
            <w:r>
              <w:rPr>
                <w:rFonts w:hint="default" w:eastAsia="等线"/>
                <w:b/>
                <w:bCs/>
                <w:color w:val="000000"/>
                <w:szCs w:val="24"/>
                <w:lang w:eastAsia="zh-CN"/>
              </w:rPr>
              <w:t xml:space="preserve"> </w:t>
            </w:r>
            <w:r>
              <w:rPr>
                <w:rFonts w:hint="eastAsia" w:eastAsia="等线"/>
                <w:b/>
                <w:bCs/>
                <w:color w:val="000000"/>
                <w:szCs w:val="24"/>
                <w:lang w:val="en-US" w:eastAsia="zh-CN"/>
              </w:rPr>
              <w:t>2</w:t>
            </w:r>
            <w:r>
              <w:rPr>
                <w:rFonts w:hint="default" w:eastAsia="等线"/>
                <w:b/>
                <w:bCs/>
                <w:color w:val="000000"/>
                <w:szCs w:val="24"/>
                <w:lang w:eastAsia="zh-CN"/>
              </w:rPr>
              <w:t xml:space="preserve"> The summary of gut microbiota results in our study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2119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solid" w:color="C0C0C0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b/>
                <w:bCs/>
                <w:color w:val="000000"/>
                <w:sz w:val="20"/>
                <w:szCs w:val="20"/>
                <w:lang w:eastAsia="zh-CN"/>
              </w:rPr>
              <w:t>ko-wt vs wt-wt</w:t>
            </w:r>
          </w:p>
        </w:tc>
        <w:tc>
          <w:tcPr>
            <w:tcW w:w="31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CFFCC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CUMS</w:t>
            </w:r>
          </w:p>
        </w:tc>
        <w:tc>
          <w:tcPr>
            <w:tcW w:w="25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CFFFF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18 day</w:t>
            </w:r>
          </w:p>
        </w:tc>
        <w:tc>
          <w:tcPr>
            <w:tcW w:w="35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CC99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9 week</w:t>
            </w:r>
          </w:p>
        </w:tc>
        <w:tc>
          <w:tcPr>
            <w:tcW w:w="32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CC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DSS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2119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CFFCC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male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CFFCC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 xml:space="preserve">female </w:t>
            </w:r>
          </w:p>
        </w:tc>
        <w:tc>
          <w:tcPr>
            <w:tcW w:w="25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CFFFF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CC99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male</w:t>
            </w:r>
          </w:p>
        </w:tc>
        <w:tc>
          <w:tcPr>
            <w:tcW w:w="1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CC99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female</w:t>
            </w:r>
          </w:p>
        </w:tc>
        <w:tc>
          <w:tcPr>
            <w:tcW w:w="15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CC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male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CC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female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91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solid" w:color="C0C0C0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α diversity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Chao index</w:t>
            </w:r>
          </w:p>
        </w:tc>
        <w:tc>
          <w:tcPr>
            <w:tcW w:w="14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solid" w:color="CCFFCC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_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CFFCC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↓</w:t>
            </w:r>
          </w:p>
        </w:tc>
        <w:tc>
          <w:tcPr>
            <w:tcW w:w="25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CFFFF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_</w:t>
            </w:r>
          </w:p>
        </w:tc>
        <w:tc>
          <w:tcPr>
            <w:tcW w:w="1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CC99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_</w:t>
            </w:r>
          </w:p>
        </w:tc>
        <w:tc>
          <w:tcPr>
            <w:tcW w:w="1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CC99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_</w:t>
            </w:r>
          </w:p>
        </w:tc>
        <w:tc>
          <w:tcPr>
            <w:tcW w:w="15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CC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_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CC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91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Shannon index</w:t>
            </w:r>
          </w:p>
        </w:tc>
        <w:tc>
          <w:tcPr>
            <w:tcW w:w="14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solid" w:color="CCFFCC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_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CFFCC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_</w:t>
            </w:r>
          </w:p>
        </w:tc>
        <w:tc>
          <w:tcPr>
            <w:tcW w:w="25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CFFFF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↑</w:t>
            </w:r>
          </w:p>
        </w:tc>
        <w:tc>
          <w:tcPr>
            <w:tcW w:w="1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CC99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_</w:t>
            </w:r>
          </w:p>
        </w:tc>
        <w:tc>
          <w:tcPr>
            <w:tcW w:w="1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CC99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_</w:t>
            </w:r>
          </w:p>
        </w:tc>
        <w:tc>
          <w:tcPr>
            <w:tcW w:w="15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CC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_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CC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9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β diversity</w:t>
            </w:r>
          </w:p>
        </w:tc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PCOA</w:t>
            </w:r>
          </w:p>
        </w:tc>
        <w:tc>
          <w:tcPr>
            <w:tcW w:w="14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solid" w:color="CCFFCC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**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CFFCC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ns</w:t>
            </w:r>
          </w:p>
        </w:tc>
        <w:tc>
          <w:tcPr>
            <w:tcW w:w="25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CFFFF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*</w:t>
            </w:r>
          </w:p>
        </w:tc>
        <w:tc>
          <w:tcPr>
            <w:tcW w:w="19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CC99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ns</w:t>
            </w:r>
          </w:p>
        </w:tc>
        <w:tc>
          <w:tcPr>
            <w:tcW w:w="15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CC99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ns</w:t>
            </w:r>
          </w:p>
        </w:tc>
        <w:tc>
          <w:tcPr>
            <w:tcW w:w="15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CC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**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CC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2119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solid" w:color="C0C0C0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Phylum level</w:t>
            </w:r>
          </w:p>
        </w:tc>
        <w:tc>
          <w:tcPr>
            <w:tcW w:w="1426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shd w:val="solid" w:color="CCFFCC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ns</w:t>
            </w:r>
          </w:p>
        </w:tc>
        <w:tc>
          <w:tcPr>
            <w:tcW w:w="1701" w:type="dxa"/>
            <w:tcBorders>
              <w:top w:val="single" w:color="auto" w:sz="6" w:space="0"/>
              <w:left w:val="nil"/>
              <w:right w:val="nil"/>
            </w:tcBorders>
            <w:shd w:val="solid" w:color="CCFFCC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Desulfobacterota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Actinobacteria</w:t>
            </w:r>
          </w:p>
        </w:tc>
        <w:tc>
          <w:tcPr>
            <w:tcW w:w="2551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solid" w:color="CCFFFF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ns</w:t>
            </w:r>
          </w:p>
        </w:tc>
        <w:tc>
          <w:tcPr>
            <w:tcW w:w="1985" w:type="dxa"/>
            <w:tcBorders>
              <w:top w:val="single" w:color="auto" w:sz="6" w:space="0"/>
              <w:left w:val="single" w:color="auto" w:sz="6" w:space="0"/>
              <w:right w:val="nil"/>
            </w:tcBorders>
            <w:shd w:val="solid" w:color="FFCC99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  <w:t>Patescibacteria</w:t>
            </w:r>
          </w:p>
        </w:tc>
        <w:tc>
          <w:tcPr>
            <w:tcW w:w="1524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solid" w:color="FFCC99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ns</w:t>
            </w:r>
          </w:p>
        </w:tc>
        <w:tc>
          <w:tcPr>
            <w:tcW w:w="1594" w:type="dxa"/>
            <w:tcBorders>
              <w:top w:val="single" w:color="auto" w:sz="6" w:space="0"/>
              <w:left w:val="single" w:color="auto" w:sz="6" w:space="0"/>
              <w:right w:val="nil"/>
            </w:tcBorders>
            <w:shd w:val="solid" w:color="FFFFCC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Firmicutes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i/>
                <w:iCs/>
                <w:color w:val="0000FF"/>
                <w:sz w:val="20"/>
                <w:szCs w:val="20"/>
                <w:lang w:val="en-US" w:eastAsia="zh-CN"/>
              </w:rPr>
            </w:pPr>
            <w:r>
              <w:rPr>
                <w:rFonts w:hint="eastAsia" w:eastAsia="等线"/>
                <w:i/>
                <w:iCs/>
                <w:color w:val="0000FF"/>
                <w:sz w:val="20"/>
                <w:szCs w:val="20"/>
                <w:lang w:val="en-US" w:eastAsia="zh-CN"/>
              </w:rPr>
              <w:t>Proteobacteria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solid" w:color="FFFFCC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</w:pPr>
            <w:r>
              <w:rPr>
                <w:rFonts w:hint="eastAsia" w:eastAsia="等线"/>
                <w:i/>
                <w:iCs/>
                <w:color w:val="FF0000"/>
                <w:sz w:val="20"/>
                <w:szCs w:val="20"/>
                <w:lang w:val="en-US" w:eastAsia="zh-CN"/>
              </w:rPr>
              <w:t>Campilobacterota</w:t>
            </w:r>
            <w:r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  <w:t>Desulfobacterota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  <w:t>Cyanobacteria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0" w:hRule="atLeast"/>
        </w:trPr>
        <w:tc>
          <w:tcPr>
            <w:tcW w:w="2119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solid" w:color="C0C0C0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center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  <w:t>Genus level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rPr>
                <w:rFonts w:hint="default" w:eastAsia="等线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26" w:type="dxa"/>
            <w:tcBorders>
              <w:top w:val="nil"/>
              <w:left w:val="single" w:color="auto" w:sz="6" w:space="0"/>
              <w:right w:val="nil"/>
            </w:tcBorders>
            <w:shd w:val="solid" w:color="CCFFCC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Eubacterium_xylanophilum_group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600" w:lineRule="auto"/>
              <w:ind w:left="0" w:right="0"/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600" w:lineRule="auto"/>
              <w:ind w:left="0" w:right="0"/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  <w:t>Alistipes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600" w:lineRule="auto"/>
              <w:ind w:left="0" w:right="0"/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  <w:t>Dubosiella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60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  <w:t>Lactobacill</w:t>
            </w:r>
            <w:r>
              <w:rPr>
                <w:rFonts w:hint="eastAsia" w:eastAsia="等线"/>
                <w:i/>
                <w:iCs/>
                <w:color w:val="0066CC"/>
                <w:sz w:val="20"/>
                <w:szCs w:val="20"/>
                <w:lang w:eastAsia="zh-CN"/>
              </w:rPr>
              <w:t>u</w:t>
            </w:r>
            <w:r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  <w:t>s</w:t>
            </w: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solid" w:color="CCFFCC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60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Bifidobacterium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60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Desulfovibrio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60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Enterorhabdus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60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Arenimonas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60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Lactobacillus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60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  <w:t>Ileibacterium</w:t>
            </w:r>
          </w:p>
        </w:tc>
        <w:tc>
          <w:tcPr>
            <w:tcW w:w="2551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solid" w:color="CCFFFF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Bifidobacterium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Bilophila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Colidextribacter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Eubacterium_xylanophilum_group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Harryflintia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Lachnospiraceae_UCG-006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Muribaculum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Odoribacter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Oscillibacter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Ruminococcus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0070C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70C0"/>
                <w:sz w:val="20"/>
                <w:szCs w:val="20"/>
                <w:lang w:eastAsia="zh-CN"/>
              </w:rPr>
              <w:t>Blautia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0070C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70C0"/>
                <w:sz w:val="20"/>
                <w:szCs w:val="20"/>
                <w:lang w:eastAsia="zh-CN"/>
              </w:rPr>
              <w:t>Desulfovibrio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0070C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70C0"/>
                <w:sz w:val="20"/>
                <w:szCs w:val="20"/>
                <w:lang w:eastAsia="zh-CN"/>
              </w:rPr>
              <w:t>Eubacterium_brachy_group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0070C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70C0"/>
                <w:sz w:val="20"/>
                <w:szCs w:val="20"/>
                <w:lang w:eastAsia="zh-CN"/>
              </w:rPr>
              <w:t>Parabacteroides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0070C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70C0"/>
                <w:sz w:val="20"/>
                <w:szCs w:val="20"/>
                <w:lang w:eastAsia="zh-CN"/>
              </w:rPr>
              <w:t>Romboutsia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70C0"/>
                <w:sz w:val="20"/>
                <w:szCs w:val="20"/>
                <w:lang w:eastAsia="zh-CN"/>
              </w:rPr>
              <w:t>Turicibacter</w:t>
            </w:r>
          </w:p>
        </w:tc>
        <w:tc>
          <w:tcPr>
            <w:tcW w:w="1985" w:type="dxa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shd w:val="solid" w:color="FFCC99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Bifidobacterium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Lysinibacillus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Ileibacterium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Lachnospiraceae_UCG-001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Lactobacillus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  <w:t>Monoglobus</w:t>
            </w:r>
          </w:p>
          <w:p>
            <w:pPr>
              <w:keepNext w:val="0"/>
              <w:keepLines w:val="0"/>
              <w:widowControl w:val="0"/>
              <w:suppressLineNumbers w:val="0"/>
              <w:pBdr>
                <w:right w:val="single" w:color="auto" w:sz="4" w:space="4"/>
              </w:pBdr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  <w:t>Eubacterium_xylanophilum_group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  <w:t>Kurthia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  <w:t>Enterorhabdus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  <w:t>ASF356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70C0"/>
                <w:sz w:val="20"/>
                <w:szCs w:val="20"/>
                <w:lang w:eastAsia="zh-CN"/>
              </w:rPr>
              <w:t>Candidatus_Saccharimonas</w:t>
            </w:r>
          </w:p>
        </w:tc>
        <w:tc>
          <w:tcPr>
            <w:tcW w:w="1524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shd w:val="solid" w:color="FFCC99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Lactococcus taiwanensis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Dubosiella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Eubacterium_brachy_group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Pseudogracilibacillus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  <w:t>Eubacterium_nodatum_group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  <w:t>Staphylococcus</w:t>
            </w:r>
          </w:p>
        </w:tc>
        <w:tc>
          <w:tcPr>
            <w:tcW w:w="1594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solid" w:color="FFFFCC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eastAsia" w:eastAsia="等线"/>
                <w:i/>
                <w:iCs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eastAsia="等线"/>
                <w:i/>
                <w:iCs/>
                <w:color w:val="FF0000"/>
                <w:sz w:val="20"/>
                <w:szCs w:val="20"/>
                <w:lang w:val="en-US" w:eastAsia="zh-CN"/>
              </w:rPr>
              <w:t>Lachnospiraceae_NK4A136_group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Ruminococcus_torques_group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eastAsia="等线"/>
                <w:i/>
                <w:iCs/>
                <w:color w:val="FF0000"/>
                <w:sz w:val="20"/>
                <w:szCs w:val="20"/>
                <w:lang w:val="en-US" w:eastAsia="zh-CN"/>
              </w:rPr>
              <w:t>Odoribacter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Romboutsia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Marvinbryantia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Family_XIII_AD3011_group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eastAsia" w:eastAsia="等线"/>
                <w:i/>
                <w:iCs/>
                <w:color w:val="0066CC"/>
                <w:sz w:val="20"/>
                <w:szCs w:val="20"/>
                <w:lang w:val="en-US" w:eastAsia="zh-CN"/>
              </w:rPr>
            </w:pPr>
            <w:r>
              <w:rPr>
                <w:rFonts w:hint="eastAsia" w:eastAsia="等线"/>
                <w:i/>
                <w:iCs/>
                <w:color w:val="0066CC"/>
                <w:sz w:val="20"/>
                <w:szCs w:val="20"/>
                <w:lang w:val="en-US" w:eastAsia="zh-CN"/>
              </w:rPr>
              <w:t>Leucobacter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eastAsia="等线"/>
                <w:i/>
                <w:iCs/>
                <w:color w:val="0066CC"/>
                <w:sz w:val="20"/>
                <w:szCs w:val="20"/>
                <w:lang w:val="en-US" w:eastAsia="zh-CN"/>
              </w:rPr>
              <w:t>Parvibacter</w:t>
            </w:r>
          </w:p>
        </w:tc>
        <w:tc>
          <w:tcPr>
            <w:tcW w:w="1701" w:type="dxa"/>
            <w:tcBorders>
              <w:top w:val="single" w:color="auto" w:sz="6" w:space="0"/>
              <w:left w:val="nil"/>
              <w:right w:val="single" w:color="auto" w:sz="6" w:space="0"/>
            </w:tcBorders>
            <w:shd w:val="solid" w:color="FFFFCC" w:fill="auto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Escherichia-Shigella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Enterococcus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Clostridium_sensu_stricto_1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eastAsia" w:eastAsia="等线"/>
                <w:i/>
                <w:iCs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eastAsia="等线"/>
                <w:i/>
                <w:iCs/>
                <w:color w:val="FF0000"/>
                <w:sz w:val="20"/>
                <w:szCs w:val="20"/>
                <w:lang w:val="en-US" w:eastAsia="zh-CN"/>
              </w:rPr>
              <w:t>Erysipelatoclostridium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eastAsia" w:eastAsia="等线"/>
                <w:i/>
                <w:iCs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eastAsia="等线"/>
                <w:i/>
                <w:iCs/>
                <w:color w:val="FF0000"/>
                <w:sz w:val="20"/>
                <w:szCs w:val="20"/>
                <w:lang w:val="en-US" w:eastAsia="zh-CN"/>
              </w:rPr>
              <w:t>Colidextribacter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  <w:t>Akkermansia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eastAsia="等线"/>
                <w:i/>
                <w:iCs/>
                <w:color w:val="FF0000"/>
                <w:sz w:val="20"/>
                <w:szCs w:val="20"/>
                <w:lang w:val="en-US" w:eastAsia="zh-CN"/>
              </w:rPr>
              <w:t>Ileibacterium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  <w:t>Alloprevotella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60" w:lineRule="auto"/>
              <w:ind w:left="0" w:right="0"/>
              <w:rPr>
                <w:rFonts w:hint="default" w:eastAsia="等线"/>
                <w:i/>
                <w:iCs/>
                <w:color w:val="FF0000"/>
                <w:sz w:val="20"/>
                <w:szCs w:val="20"/>
                <w:lang w:eastAsia="zh-CN"/>
              </w:rPr>
            </w:pPr>
            <w:r>
              <w:rPr>
                <w:rFonts w:hint="default" w:eastAsia="等线"/>
                <w:i/>
                <w:iCs/>
                <w:color w:val="0066CC"/>
                <w:sz w:val="20"/>
                <w:szCs w:val="20"/>
                <w:lang w:eastAsia="zh-CN"/>
              </w:rPr>
              <w:t>Desulfovibrio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4601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rPr>
                <w:rFonts w:hint="default" w:eastAsia="微软雅黑"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default" w:eastAsia="等线"/>
                <w:color w:val="000000"/>
                <w:szCs w:val="24"/>
                <w:lang w:eastAsia="zh-CN"/>
              </w:rPr>
              <w:t>The red font indicates enrichment in ko-wt mice and the blue font indicates enrichment in wt-wt mice. "_", no change; "↑",up regulate; "↓", down regulate</w:t>
            </w:r>
            <w:r>
              <w:rPr>
                <w:rFonts w:hint="eastAsia" w:eastAsia="等线"/>
                <w:color w:val="000000"/>
                <w:szCs w:val="24"/>
                <w:lang w:eastAsia="zh-CN"/>
              </w:rPr>
              <w:t>.</w:t>
            </w:r>
            <w:r>
              <w:rPr>
                <w:rFonts w:hint="default" w:eastAsia="等线"/>
                <w:color w:val="000000"/>
                <w:szCs w:val="24"/>
                <w:lang w:eastAsia="zh-CN"/>
              </w:rPr>
              <w:t xml:space="preserve"> “ns”,</w:t>
            </w:r>
            <w:r>
              <w:rPr>
                <w:rFonts w:hint="eastAsia" w:eastAsia="等线"/>
                <w:color w:val="000000"/>
                <w:szCs w:val="24"/>
                <w:lang w:eastAsia="zh-CN"/>
              </w:rPr>
              <w:t xml:space="preserve"> no significant difference</w:t>
            </w:r>
            <w:r>
              <w:rPr>
                <w:rFonts w:hint="default" w:eastAsia="微软雅黑"/>
                <w:color w:val="000000"/>
                <w:szCs w:val="24"/>
                <w:lang w:eastAsia="zh-CN"/>
              </w:rPr>
              <w:t>; “*”, p＜0.05;</w:t>
            </w:r>
            <w:r>
              <w:rPr>
                <w:rFonts w:hint="eastAsia" w:eastAsia="微软雅黑"/>
                <w:color w:val="000000"/>
                <w:szCs w:val="24"/>
                <w:lang w:eastAsia="zh-CN"/>
              </w:rPr>
              <w:t xml:space="preserve"> </w:t>
            </w:r>
            <w:r>
              <w:rPr>
                <w:rFonts w:hint="default" w:eastAsia="微软雅黑"/>
                <w:color w:val="000000"/>
                <w:szCs w:val="24"/>
                <w:lang w:eastAsia="zh-CN"/>
              </w:rPr>
              <w:t>“**”</w:t>
            </w:r>
            <w:r>
              <w:rPr>
                <w:rFonts w:hint="eastAsia" w:eastAsia="微软雅黑"/>
                <w:color w:val="000000"/>
                <w:szCs w:val="24"/>
                <w:lang w:eastAsia="zh-CN"/>
              </w:rPr>
              <w:t xml:space="preserve">, </w:t>
            </w:r>
            <w:r>
              <w:rPr>
                <w:rFonts w:hint="default" w:eastAsia="微软雅黑"/>
                <w:color w:val="000000"/>
                <w:szCs w:val="24"/>
                <w:lang w:eastAsia="zh-CN"/>
              </w:rPr>
              <w:t>p＜0.01;</w:t>
            </w:r>
            <w:r>
              <w:rPr>
                <w:rFonts w:hint="eastAsia" w:eastAsia="微软雅黑"/>
                <w:color w:val="000000"/>
                <w:szCs w:val="24"/>
                <w:lang w:eastAsia="zh-CN"/>
              </w:rPr>
              <w:t xml:space="preserve"> </w:t>
            </w:r>
            <w:r>
              <w:rPr>
                <w:rFonts w:hint="default" w:eastAsia="微软雅黑"/>
                <w:color w:val="000000"/>
                <w:szCs w:val="24"/>
                <w:lang w:eastAsia="zh-CN"/>
              </w:rPr>
              <w:t>“***”</w:t>
            </w:r>
            <w:r>
              <w:rPr>
                <w:rFonts w:hint="eastAsia" w:eastAsia="微软雅黑"/>
                <w:color w:val="000000"/>
                <w:szCs w:val="24"/>
                <w:lang w:eastAsia="zh-CN"/>
              </w:rPr>
              <w:t xml:space="preserve">, </w:t>
            </w:r>
            <w:r>
              <w:rPr>
                <w:rFonts w:hint="default" w:eastAsia="微软雅黑"/>
                <w:color w:val="000000"/>
                <w:szCs w:val="24"/>
                <w:lang w:eastAsia="zh-CN"/>
              </w:rPr>
              <w:t>p＜0.001.</w:t>
            </w:r>
            <w:r>
              <w:rPr>
                <w:rFonts w:hint="eastAsia" w:eastAsia="微软雅黑"/>
                <w:color w:val="000000"/>
                <w:szCs w:val="24"/>
                <w:lang w:eastAsia="zh-CN"/>
              </w:rPr>
              <w:t xml:space="preserve"> ko-wt vs wt-wt, t</w:t>
            </w:r>
            <w:r>
              <w:rPr>
                <w:rFonts w:hint="eastAsia" w:eastAsia="等线"/>
                <w:color w:val="000000"/>
                <w:szCs w:val="24"/>
                <w:lang w:eastAsia="zh-CN"/>
              </w:rPr>
              <w:t xml:space="preserve">he mice that drink LF-free milk compared with the mice drink normal milk. </w:t>
            </w:r>
          </w:p>
        </w:tc>
      </w:tr>
    </w:tbl>
    <w:p>
      <w:pPr>
        <w:pStyle w:val="104"/>
        <w:rPr>
          <w:b/>
          <w:bCs/>
        </w:rPr>
      </w:pPr>
    </w:p>
    <w:p/>
    <w:sectPr>
      <w:footerReference r:id="rId5" w:type="default"/>
      <w:pgSz w:w="15840" w:h="12240" w:orient="landscape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imes">
    <w:altName w:val="Times New Roman"/>
    <w:panose1 w:val="02020603050405020304"/>
    <w:charset w:val="00"/>
    <w:family w:val="auto"/>
    <w:pitch w:val="default"/>
    <w:sig w:usb0="00000000" w:usb1="00000000" w:usb2="00000000" w:usb3="00000000" w:csb0="0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nionPr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imes New Roman Bold">
    <w:altName w:val="Times New Roman"/>
    <w:panose1 w:val="02020803070505020304"/>
    <w:charset w:val="00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3</w:t>
    </w:r>
    <w:r>
      <w:fldChar w:fldCharType="end"/>
    </w:r>
  </w:p>
  <w:p>
    <w:pPr>
      <w:pStyle w:val="5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3</w:t>
    </w:r>
    <w:r>
      <w:fldChar w:fldCharType="end"/>
    </w:r>
  </w:p>
  <w:p>
    <w:pPr>
      <w:pStyle w:val="5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  <w:rPr>
        <w:sz w:val="20"/>
      </w:rPr>
    </w:pPr>
  </w:p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65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47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36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14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46"/>
      <w:lvlText w:val=""/>
      <w:lvlJc w:val="left"/>
      <w:pPr>
        <w:tabs>
          <w:tab w:val="left" w:pos="1800"/>
        </w:tabs>
        <w:ind w:left="1800" w:hanging="360"/>
      </w:pPr>
      <w:rPr>
        <w:rFonts w:hint="default" w:ascii="Symbol" w:hAnsi="Symbol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17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33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40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20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>
    <w:nsid w:val="FFFFFF89"/>
    <w:multiLevelType w:val="singleLevel"/>
    <w:tmpl w:val="FFFFFF89"/>
    <w:lvl w:ilvl="0" w:tentative="0">
      <w:start w:val="1"/>
      <w:numFmt w:val="bullet"/>
      <w:pStyle w:val="24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9"/>
  </w:num>
  <w:num w:numId="5">
    <w:abstractNumId w:val="6"/>
  </w:num>
  <w:num w:numId="6">
    <w:abstractNumId w:val="2"/>
  </w:num>
  <w:num w:numId="7">
    <w:abstractNumId w:val="7"/>
  </w:num>
  <w:num w:numId="8">
    <w:abstractNumId w:val="4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balanceSingleByteDoubleByteWidth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NjM2RmZjJlMGExYjc5ZjhmYWE3OTEzNTFiNmUzMTQifQ=="/>
  </w:docVars>
  <w:rsids>
    <w:rsidRoot w:val="002C030F"/>
    <w:rsid w:val="00015F74"/>
    <w:rsid w:val="000572E2"/>
    <w:rsid w:val="00065EBD"/>
    <w:rsid w:val="00066D0C"/>
    <w:rsid w:val="00083B44"/>
    <w:rsid w:val="000850DC"/>
    <w:rsid w:val="000C07BF"/>
    <w:rsid w:val="000C2771"/>
    <w:rsid w:val="000D46F4"/>
    <w:rsid w:val="000F0DCE"/>
    <w:rsid w:val="000F6BE3"/>
    <w:rsid w:val="00112C5B"/>
    <w:rsid w:val="00114193"/>
    <w:rsid w:val="00115A38"/>
    <w:rsid w:val="0011687B"/>
    <w:rsid w:val="00124F82"/>
    <w:rsid w:val="0016337A"/>
    <w:rsid w:val="00164269"/>
    <w:rsid w:val="001A1BDE"/>
    <w:rsid w:val="001A2834"/>
    <w:rsid w:val="001B13CE"/>
    <w:rsid w:val="001F0876"/>
    <w:rsid w:val="001F167C"/>
    <w:rsid w:val="001F5E91"/>
    <w:rsid w:val="002077B9"/>
    <w:rsid w:val="00234134"/>
    <w:rsid w:val="00262D72"/>
    <w:rsid w:val="00267BFA"/>
    <w:rsid w:val="002836FF"/>
    <w:rsid w:val="00294FBB"/>
    <w:rsid w:val="002C030F"/>
    <w:rsid w:val="002E768A"/>
    <w:rsid w:val="002F0FB6"/>
    <w:rsid w:val="00310FAC"/>
    <w:rsid w:val="0031121F"/>
    <w:rsid w:val="0031671A"/>
    <w:rsid w:val="00331D75"/>
    <w:rsid w:val="00355362"/>
    <w:rsid w:val="00363E44"/>
    <w:rsid w:val="003659A8"/>
    <w:rsid w:val="003669F9"/>
    <w:rsid w:val="0039017A"/>
    <w:rsid w:val="00392402"/>
    <w:rsid w:val="00393BAB"/>
    <w:rsid w:val="00395E86"/>
    <w:rsid w:val="003A2FD8"/>
    <w:rsid w:val="003B40E6"/>
    <w:rsid w:val="003B491C"/>
    <w:rsid w:val="003E74FB"/>
    <w:rsid w:val="003F5904"/>
    <w:rsid w:val="003F6E14"/>
    <w:rsid w:val="00405336"/>
    <w:rsid w:val="00435ABE"/>
    <w:rsid w:val="00440618"/>
    <w:rsid w:val="00443FE0"/>
    <w:rsid w:val="004571D5"/>
    <w:rsid w:val="004578F3"/>
    <w:rsid w:val="00461D81"/>
    <w:rsid w:val="0046356B"/>
    <w:rsid w:val="00477182"/>
    <w:rsid w:val="004779CB"/>
    <w:rsid w:val="00495CE0"/>
    <w:rsid w:val="004A6F57"/>
    <w:rsid w:val="004B1AE5"/>
    <w:rsid w:val="004E42D8"/>
    <w:rsid w:val="004E7BA2"/>
    <w:rsid w:val="004F7EDF"/>
    <w:rsid w:val="005001AC"/>
    <w:rsid w:val="00527D71"/>
    <w:rsid w:val="00530DEF"/>
    <w:rsid w:val="00533910"/>
    <w:rsid w:val="005520A8"/>
    <w:rsid w:val="005607DD"/>
    <w:rsid w:val="005A558C"/>
    <w:rsid w:val="005C1407"/>
    <w:rsid w:val="005D0CBD"/>
    <w:rsid w:val="005D712F"/>
    <w:rsid w:val="005E28F8"/>
    <w:rsid w:val="005E6513"/>
    <w:rsid w:val="00607E8E"/>
    <w:rsid w:val="00632CA3"/>
    <w:rsid w:val="00651114"/>
    <w:rsid w:val="00664560"/>
    <w:rsid w:val="00670299"/>
    <w:rsid w:val="0068430D"/>
    <w:rsid w:val="00691985"/>
    <w:rsid w:val="00697611"/>
    <w:rsid w:val="006A1B64"/>
    <w:rsid w:val="006D6947"/>
    <w:rsid w:val="007108F5"/>
    <w:rsid w:val="007128E1"/>
    <w:rsid w:val="00713E5B"/>
    <w:rsid w:val="00731D0C"/>
    <w:rsid w:val="007402FC"/>
    <w:rsid w:val="007411A1"/>
    <w:rsid w:val="00784831"/>
    <w:rsid w:val="00793072"/>
    <w:rsid w:val="007A6D96"/>
    <w:rsid w:val="007D40F1"/>
    <w:rsid w:val="007E2786"/>
    <w:rsid w:val="00807D35"/>
    <w:rsid w:val="008218C4"/>
    <w:rsid w:val="00867A98"/>
    <w:rsid w:val="00870867"/>
    <w:rsid w:val="00871C08"/>
    <w:rsid w:val="00885C9B"/>
    <w:rsid w:val="008A0584"/>
    <w:rsid w:val="008B38ED"/>
    <w:rsid w:val="008B5566"/>
    <w:rsid w:val="008D5D2A"/>
    <w:rsid w:val="008E138D"/>
    <w:rsid w:val="008F38FA"/>
    <w:rsid w:val="00914B63"/>
    <w:rsid w:val="00916854"/>
    <w:rsid w:val="00923BDD"/>
    <w:rsid w:val="009354F3"/>
    <w:rsid w:val="009447DC"/>
    <w:rsid w:val="00945471"/>
    <w:rsid w:val="00950234"/>
    <w:rsid w:val="00961BA5"/>
    <w:rsid w:val="009743A9"/>
    <w:rsid w:val="009A4D2D"/>
    <w:rsid w:val="009A5287"/>
    <w:rsid w:val="009A7C5F"/>
    <w:rsid w:val="009B2AC5"/>
    <w:rsid w:val="009B7984"/>
    <w:rsid w:val="009C287D"/>
    <w:rsid w:val="009F4BED"/>
    <w:rsid w:val="009F7D93"/>
    <w:rsid w:val="00A02E0C"/>
    <w:rsid w:val="00A10F29"/>
    <w:rsid w:val="00A3403B"/>
    <w:rsid w:val="00A51A12"/>
    <w:rsid w:val="00A53A78"/>
    <w:rsid w:val="00A627D4"/>
    <w:rsid w:val="00A74DA2"/>
    <w:rsid w:val="00A77632"/>
    <w:rsid w:val="00AA572B"/>
    <w:rsid w:val="00AB399E"/>
    <w:rsid w:val="00AC59D0"/>
    <w:rsid w:val="00AD16B1"/>
    <w:rsid w:val="00AD499C"/>
    <w:rsid w:val="00AE0E11"/>
    <w:rsid w:val="00B03A70"/>
    <w:rsid w:val="00B36869"/>
    <w:rsid w:val="00B43B31"/>
    <w:rsid w:val="00B47CFA"/>
    <w:rsid w:val="00B574A3"/>
    <w:rsid w:val="00B57F00"/>
    <w:rsid w:val="00B63245"/>
    <w:rsid w:val="00B77B2A"/>
    <w:rsid w:val="00B82C22"/>
    <w:rsid w:val="00B93DBA"/>
    <w:rsid w:val="00B9440A"/>
    <w:rsid w:val="00BB2D2A"/>
    <w:rsid w:val="00BC290E"/>
    <w:rsid w:val="00BC3E04"/>
    <w:rsid w:val="00BD58CF"/>
    <w:rsid w:val="00BF0C92"/>
    <w:rsid w:val="00C04CC1"/>
    <w:rsid w:val="00C154A4"/>
    <w:rsid w:val="00C2549E"/>
    <w:rsid w:val="00C4096C"/>
    <w:rsid w:val="00C50C6D"/>
    <w:rsid w:val="00C600D9"/>
    <w:rsid w:val="00C7359D"/>
    <w:rsid w:val="00C92B22"/>
    <w:rsid w:val="00CC1384"/>
    <w:rsid w:val="00CD1D8F"/>
    <w:rsid w:val="00CD3720"/>
    <w:rsid w:val="00CF1848"/>
    <w:rsid w:val="00CF5C2F"/>
    <w:rsid w:val="00D04BCF"/>
    <w:rsid w:val="00D07045"/>
    <w:rsid w:val="00D1017B"/>
    <w:rsid w:val="00D11A56"/>
    <w:rsid w:val="00D143D9"/>
    <w:rsid w:val="00D30C95"/>
    <w:rsid w:val="00D51C15"/>
    <w:rsid w:val="00D5511B"/>
    <w:rsid w:val="00D766F1"/>
    <w:rsid w:val="00DD2E17"/>
    <w:rsid w:val="00DF7D88"/>
    <w:rsid w:val="00E257C8"/>
    <w:rsid w:val="00E40A10"/>
    <w:rsid w:val="00E41512"/>
    <w:rsid w:val="00E4519A"/>
    <w:rsid w:val="00E853D5"/>
    <w:rsid w:val="00E9773B"/>
    <w:rsid w:val="00EA6F42"/>
    <w:rsid w:val="00EC13A3"/>
    <w:rsid w:val="00EC7C85"/>
    <w:rsid w:val="00ED2CBE"/>
    <w:rsid w:val="00EE1463"/>
    <w:rsid w:val="00F125EE"/>
    <w:rsid w:val="00F12E98"/>
    <w:rsid w:val="00F22029"/>
    <w:rsid w:val="00F26D73"/>
    <w:rsid w:val="00F515FB"/>
    <w:rsid w:val="00F630EA"/>
    <w:rsid w:val="00F7007E"/>
    <w:rsid w:val="00F73193"/>
    <w:rsid w:val="00F74F95"/>
    <w:rsid w:val="00F80705"/>
    <w:rsid w:val="00FA1481"/>
    <w:rsid w:val="00FF04E3"/>
    <w:rsid w:val="015754F6"/>
    <w:rsid w:val="01FD08A5"/>
    <w:rsid w:val="07394F9B"/>
    <w:rsid w:val="0AEA23DF"/>
    <w:rsid w:val="11336B09"/>
    <w:rsid w:val="13C67593"/>
    <w:rsid w:val="1F3C09EF"/>
    <w:rsid w:val="33294694"/>
    <w:rsid w:val="38970C6C"/>
    <w:rsid w:val="3B7B7CD2"/>
    <w:rsid w:val="3F9D5175"/>
    <w:rsid w:val="40E55AC4"/>
    <w:rsid w:val="42087906"/>
    <w:rsid w:val="470237AC"/>
    <w:rsid w:val="49592D5B"/>
    <w:rsid w:val="495E62B9"/>
    <w:rsid w:val="663C616F"/>
    <w:rsid w:val="6B15282D"/>
    <w:rsid w:val="6BF1530E"/>
    <w:rsid w:val="6C4F7924"/>
    <w:rsid w:val="71440636"/>
    <w:rsid w:val="7663472B"/>
    <w:rsid w:val="785A1365"/>
    <w:rsid w:val="79B804EC"/>
    <w:rsid w:val="79D93169"/>
    <w:rsid w:val="7FE7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name="heading 1"/>
    <w:lsdException w:qFormat="1" w:unhideWhenUsed="0" w:uiPriority="0" w:name="heading 2"/>
    <w:lsdException w:qFormat="1" w:unhideWhenUsed="0" w:uiPriority="0" w:name="heading 3"/>
    <w:lsdException w:qFormat="1" w:unhideWhenUsed="0" w:uiPriority="0" w:name="heading 4"/>
    <w:lsdException w:qFormat="1" w:unhideWhenUsed="0" w:uiPriority="0" w:name="heading 5"/>
    <w:lsdException w:qFormat="1" w:unhideWhenUsed="0" w:uiPriority="0" w:name="heading 6"/>
    <w:lsdException w:qFormat="1" w:unhideWhenUsed="0" w:uiPriority="0" w:name="heading 7"/>
    <w:lsdException w:qFormat="1" w:unhideWhenUsed="0" w:uiPriority="0" w:name="heading 8"/>
    <w:lsdException w:qFormat="1" w:unhideWhenUsed="0" w:uiPriority="0" w:name="heading 9"/>
    <w:lsdException w:qFormat="1" w:unhideWhenUsed="0" w:uiPriority="0" w:name="index 1"/>
    <w:lsdException w:qFormat="1" w:unhideWhenUsed="0" w:uiPriority="0" w:name="index 2"/>
    <w:lsdException w:qFormat="1" w:unhideWhenUsed="0" w:uiPriority="0" w:name="index 3"/>
    <w:lsdException w:qFormat="1" w:unhideWhenUsed="0" w:uiPriority="0" w:name="index 4"/>
    <w:lsdException w:qFormat="1" w:unhideWhenUsed="0" w:uiPriority="0" w:name="index 5"/>
    <w:lsdException w:qFormat="1" w:unhideWhenUsed="0" w:uiPriority="0" w:name="index 6"/>
    <w:lsdException w:qFormat="1" w:unhideWhenUsed="0" w:uiPriority="0" w:name="index 7"/>
    <w:lsdException w:qFormat="1" w:unhideWhenUsed="0" w:uiPriority="0" w:name="index 8"/>
    <w:lsdException w:qFormat="1" w:unhideWhenUsed="0" w:uiPriority="0" w:name="index 9"/>
    <w:lsdException w:qFormat="1" w:unhideWhenUsed="0" w:uiPriority="0" w:name="toc 1"/>
    <w:lsdException w:qFormat="1" w:unhideWhenUsed="0" w:uiPriority="0" w:name="toc 2"/>
    <w:lsdException w:qFormat="1" w:unhideWhenUsed="0" w:uiPriority="0" w:name="toc 3"/>
    <w:lsdException w:qFormat="1" w:unhideWhenUsed="0" w:uiPriority="0" w:name="toc 4"/>
    <w:lsdException w:qFormat="1" w:unhideWhenUsed="0" w:uiPriority="0" w:name="toc 5"/>
    <w:lsdException w:qFormat="1" w:unhideWhenUsed="0" w:uiPriority="0" w:name="toc 6"/>
    <w:lsdException w:qFormat="1" w:unhideWhenUsed="0" w:uiPriority="0" w:name="toc 7"/>
    <w:lsdException w:qFormat="1" w:unhideWhenUsed="0" w:uiPriority="0" w:name="toc 8"/>
    <w:lsdException w:qFormat="1" w:unhideWhenUsed="0" w:uiPriority="0" w:name="toc 9"/>
    <w:lsdException w:qFormat="1" w:unhideWhenUsed="0" w:uiPriority="0" w:name="Normal Indent"/>
    <w:lsdException w:qFormat="1" w:unhideWhenUsed="0" w:uiPriority="0" w:name="footnote text"/>
    <w:lsdException w:qFormat="1" w:unhideWhenUsed="0" w:uiPriority="0" w:name="annotation text"/>
    <w:lsdException w:qFormat="1" w:unhideWhenUsed="0" w:uiPriority="0" w:name="header"/>
    <w:lsdException w:qFormat="1" w:unhideWhenUsed="0" w:uiPriority="0" w:name="footer"/>
    <w:lsdException w:qFormat="1" w:unhideWhenUsed="0" w:uiPriority="0" w:name="index heading"/>
    <w:lsdException w:qFormat="1" w:unhideWhenUsed="0" w:uiPriority="0" w:name="caption"/>
    <w:lsdException w:qFormat="1" w:unhideWhenUsed="0" w:uiPriority="0" w:name="table of figures"/>
    <w:lsdException w:qFormat="1" w:unhideWhenUsed="0" w:uiPriority="0" w:name="envelope address"/>
    <w:lsdException w:qFormat="1" w:unhideWhenUsed="0"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name="page number"/>
    <w:lsdException w:uiPriority="0" w:name="endnote reference"/>
    <w:lsdException w:qFormat="1" w:unhideWhenUsed="0" w:uiPriority="0" w:name="endnote text"/>
    <w:lsdException w:qFormat="1" w:unhideWhenUsed="0" w:uiPriority="0" w:name="table of authorities"/>
    <w:lsdException w:qFormat="1" w:unhideWhenUsed="0" w:uiPriority="0" w:name="macro"/>
    <w:lsdException w:qFormat="1" w:unhideWhenUsed="0" w:uiPriority="0" w:name="toa heading"/>
    <w:lsdException w:qFormat="1" w:unhideWhenUsed="0" w:uiPriority="0" w:name="List"/>
    <w:lsdException w:qFormat="1" w:unhideWhenUsed="0" w:uiPriority="0" w:name="List Bullet"/>
    <w:lsdException w:qFormat="1" w:unhideWhenUsed="0" w:uiPriority="0" w:name="List Number"/>
    <w:lsdException w:qFormat="1" w:unhideWhenUsed="0" w:uiPriority="0" w:name="List 2"/>
    <w:lsdException w:qFormat="1" w:unhideWhenUsed="0" w:uiPriority="0" w:name="List 3"/>
    <w:lsdException w:qFormat="1" w:unhideWhenUsed="0" w:uiPriority="0" w:name="List 4"/>
    <w:lsdException w:qFormat="1" w:unhideWhenUsed="0" w:uiPriority="0" w:name="List 5"/>
    <w:lsdException w:qFormat="1" w:unhideWhenUsed="0" w:uiPriority="0" w:name="List Bullet 2"/>
    <w:lsdException w:qFormat="1" w:unhideWhenUsed="0" w:uiPriority="0" w:name="List Bullet 3"/>
    <w:lsdException w:qFormat="1" w:unhideWhenUsed="0" w:uiPriority="0" w:name="List Bullet 4"/>
    <w:lsdException w:qFormat="1" w:unhideWhenUsed="0" w:uiPriority="0" w:name="List Bullet 5"/>
    <w:lsdException w:qFormat="1" w:unhideWhenUsed="0" w:uiPriority="0" w:name="List Number 2"/>
    <w:lsdException w:qFormat="1" w:unhideWhenUsed="0" w:uiPriority="0" w:name="List Number 3"/>
    <w:lsdException w:qFormat="1" w:unhideWhenUsed="0" w:uiPriority="0" w:name="List Number 4"/>
    <w:lsdException w:qFormat="1" w:unhideWhenUsed="0" w:uiPriority="0" w:name="List Number 5"/>
    <w:lsdException w:qFormat="1" w:unhideWhenUsed="0" w:uiPriority="0" w:name="Title"/>
    <w:lsdException w:qFormat="1" w:unhideWhenUsed="0" w:uiPriority="0" w:name="Closing"/>
    <w:lsdException w:qFormat="1" w:unhideWhenUsed="0" w:uiPriority="0" w:name="Signature"/>
    <w:lsdException w:uiPriority="1" w:name="Default Paragraph Font"/>
    <w:lsdException w:qFormat="1" w:unhideWhenUsed="0" w:uiPriority="0" w:name="Body Text"/>
    <w:lsdException w:qFormat="1" w:unhideWhenUsed="0" w:uiPriority="0" w:name="Body Text Indent"/>
    <w:lsdException w:qFormat="1" w:unhideWhenUsed="0" w:uiPriority="0" w:name="List Continue"/>
    <w:lsdException w:qFormat="1" w:unhideWhenUsed="0" w:uiPriority="0" w:name="List Continue 2"/>
    <w:lsdException w:qFormat="1" w:unhideWhenUsed="0" w:uiPriority="0" w:name="List Continue 3"/>
    <w:lsdException w:qFormat="1" w:unhideWhenUsed="0" w:uiPriority="0" w:name="List Continue 4"/>
    <w:lsdException w:qFormat="1" w:unhideWhenUsed="0" w:uiPriority="0" w:name="List Continue 5"/>
    <w:lsdException w:qFormat="1" w:unhideWhenUsed="0" w:uiPriority="0" w:name="Message Header"/>
    <w:lsdException w:qFormat="1" w:unhideWhenUsed="0" w:uiPriority="0" w:name="Subtitle"/>
    <w:lsdException w:qFormat="1" w:unhideWhenUsed="0" w:uiPriority="0" w:name="Salutation"/>
    <w:lsdException w:qFormat="1" w:unhideWhenUsed="0" w:uiPriority="0" w:name="Date"/>
    <w:lsdException w:qFormat="1" w:unhideWhenUsed="0" w:uiPriority="0" w:name="Body Text First Indent"/>
    <w:lsdException w:qFormat="1" w:unhideWhenUsed="0" w:uiPriority="0" w:name="Body Text First Indent 2"/>
    <w:lsdException w:qFormat="1" w:unhideWhenUsed="0" w:uiPriority="0" w:name="Note Heading"/>
    <w:lsdException w:qFormat="1" w:unhideWhenUsed="0" w:uiPriority="0" w:name="Body Text 2"/>
    <w:lsdException w:qFormat="1" w:unhideWhenUsed="0" w:uiPriority="0" w:name="Body Text 3"/>
    <w:lsdException w:qFormat="1" w:unhideWhenUsed="0" w:uiPriority="0" w:name="Body Text Indent 2"/>
    <w:lsdException w:qFormat="1" w:unhideWhenUsed="0" w:uiPriority="0" w:name="Body Text Indent 3"/>
    <w:lsdException w:qFormat="1" w:unhideWhenUsed="0" w:uiPriority="0" w:name="Block Text"/>
    <w:lsdException w:qFormat="1" w:unhideWhenUsed="0" w:uiPriority="0" w:name="Hyperlink"/>
    <w:lsdException w:qFormat="1"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name="Plain Text"/>
    <w:lsdException w:qFormat="1" w:unhideWhenUsed="0" w:uiPriority="0" w:name="E-mail Signature"/>
    <w:lsdException w:qFormat="1" w:unhideWhenUsed="0" w:uiPriority="0" w:name="Normal (Web)"/>
    <w:lsdException w:uiPriority="0" w:name="HTML Acronym"/>
    <w:lsdException w:qFormat="1" w:unhideWhenUsed="0"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qFormat="1" w:unhideWhenUsed="0" w:uiPriority="1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name="List Paragraph"/>
    <w:lsdException w:qFormat="1" w:unhideWhenUsed="0" w:uiPriority="29" w:name="Quote"/>
    <w:lsdException w:qFormat="1" w:unhideWhenUsed="0" w:uiPriority="3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lang w:val="en-US" w:eastAsia="en-US" w:bidi="ar-SA"/>
    </w:rPr>
  </w:style>
  <w:style w:type="paragraph" w:styleId="3">
    <w:name w:val="heading 1"/>
    <w:basedOn w:val="1"/>
    <w:next w:val="1"/>
    <w:link w:val="94"/>
    <w:semiHidden/>
    <w:qFormat/>
    <w:uiPriority w:val="0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4">
    <w:name w:val="heading 2"/>
    <w:basedOn w:val="1"/>
    <w:next w:val="1"/>
    <w:link w:val="95"/>
    <w:semiHidden/>
    <w:qFormat/>
    <w:uiPriority w:val="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5">
    <w:name w:val="heading 3"/>
    <w:basedOn w:val="1"/>
    <w:next w:val="1"/>
    <w:semiHidden/>
    <w:qFormat/>
    <w:uiPriority w:val="0"/>
    <w:pPr>
      <w:keepNext/>
      <w:spacing w:line="480" w:lineRule="auto"/>
      <w:outlineLvl w:val="2"/>
    </w:pPr>
    <w:rPr>
      <w:rFonts w:ascii="Times" w:hAnsi="Times" w:eastAsia="Times"/>
      <w:b/>
    </w:rPr>
  </w:style>
  <w:style w:type="paragraph" w:styleId="6">
    <w:name w:val="heading 4"/>
    <w:basedOn w:val="1"/>
    <w:next w:val="1"/>
    <w:semiHidden/>
    <w:qFormat/>
    <w:uiPriority w:val="0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7">
    <w:name w:val="heading 5"/>
    <w:basedOn w:val="1"/>
    <w:next w:val="1"/>
    <w:link w:val="96"/>
    <w:semiHidden/>
    <w:qFormat/>
    <w:uiPriority w:val="0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8">
    <w:name w:val="heading 6"/>
    <w:basedOn w:val="1"/>
    <w:next w:val="1"/>
    <w:link w:val="97"/>
    <w:semiHidden/>
    <w:qFormat/>
    <w:uiPriority w:val="0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7"/>
    <w:basedOn w:val="1"/>
    <w:next w:val="1"/>
    <w:link w:val="98"/>
    <w:semiHidden/>
    <w:qFormat/>
    <w:uiPriority w:val="0"/>
    <w:pPr>
      <w:spacing w:before="240" w:after="60"/>
      <w:outlineLvl w:val="6"/>
    </w:pPr>
    <w:rPr>
      <w:rFonts w:ascii="Calibri" w:hAnsi="Calibri"/>
      <w:szCs w:val="24"/>
    </w:rPr>
  </w:style>
  <w:style w:type="paragraph" w:styleId="10">
    <w:name w:val="heading 8"/>
    <w:basedOn w:val="1"/>
    <w:next w:val="1"/>
    <w:link w:val="99"/>
    <w:semiHidden/>
    <w:qFormat/>
    <w:uiPriority w:val="0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11">
    <w:name w:val="heading 9"/>
    <w:basedOn w:val="1"/>
    <w:next w:val="1"/>
    <w:link w:val="100"/>
    <w:semiHidden/>
    <w:qFormat/>
    <w:uiPriority w:val="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89">
    <w:name w:val="Default Paragraph Font"/>
    <w:semiHidden/>
    <w:unhideWhenUsed/>
    <w:uiPriority w:val="1"/>
  </w:style>
  <w:style w:type="table" w:default="1" w:styleId="88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30"/>
    <w:semiHidden/>
    <w:qFormat/>
    <w:uiPriority w:val="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eastAsia="Times New Roman" w:cs="Courier New"/>
      <w:lang w:val="en-US" w:eastAsia="en-US" w:bidi="ar-SA"/>
    </w:rPr>
  </w:style>
  <w:style w:type="paragraph" w:styleId="12">
    <w:name w:val="List 3"/>
    <w:basedOn w:val="1"/>
    <w:semiHidden/>
    <w:qFormat/>
    <w:uiPriority w:val="0"/>
    <w:pPr>
      <w:ind w:left="1080" w:hanging="360"/>
      <w:contextualSpacing/>
    </w:pPr>
  </w:style>
  <w:style w:type="paragraph" w:styleId="13">
    <w:name w:val="toc 7"/>
    <w:basedOn w:val="1"/>
    <w:next w:val="1"/>
    <w:semiHidden/>
    <w:qFormat/>
    <w:uiPriority w:val="0"/>
    <w:pPr>
      <w:ind w:left="1440"/>
    </w:pPr>
  </w:style>
  <w:style w:type="paragraph" w:styleId="14">
    <w:name w:val="List Number 2"/>
    <w:basedOn w:val="1"/>
    <w:semiHidden/>
    <w:qFormat/>
    <w:uiPriority w:val="0"/>
    <w:pPr>
      <w:numPr>
        <w:ilvl w:val="0"/>
        <w:numId w:val="1"/>
      </w:numPr>
      <w:contextualSpacing/>
    </w:pPr>
  </w:style>
  <w:style w:type="paragraph" w:styleId="15">
    <w:name w:val="table of authorities"/>
    <w:basedOn w:val="1"/>
    <w:next w:val="1"/>
    <w:semiHidden/>
    <w:qFormat/>
    <w:uiPriority w:val="0"/>
    <w:pPr>
      <w:ind w:left="240" w:hanging="240"/>
    </w:pPr>
  </w:style>
  <w:style w:type="paragraph" w:styleId="16">
    <w:name w:val="Note Heading"/>
    <w:basedOn w:val="1"/>
    <w:next w:val="1"/>
    <w:link w:val="133"/>
    <w:semiHidden/>
    <w:qFormat/>
    <w:uiPriority w:val="0"/>
  </w:style>
  <w:style w:type="paragraph" w:styleId="17">
    <w:name w:val="List Bullet 4"/>
    <w:basedOn w:val="1"/>
    <w:semiHidden/>
    <w:qFormat/>
    <w:uiPriority w:val="0"/>
    <w:pPr>
      <w:numPr>
        <w:ilvl w:val="0"/>
        <w:numId w:val="2"/>
      </w:numPr>
      <w:contextualSpacing/>
    </w:pPr>
  </w:style>
  <w:style w:type="paragraph" w:styleId="18">
    <w:name w:val="index 8"/>
    <w:basedOn w:val="1"/>
    <w:next w:val="1"/>
    <w:semiHidden/>
    <w:qFormat/>
    <w:uiPriority w:val="0"/>
    <w:pPr>
      <w:ind w:left="1920" w:hanging="240"/>
    </w:pPr>
  </w:style>
  <w:style w:type="paragraph" w:styleId="19">
    <w:name w:val="E-mail Signature"/>
    <w:basedOn w:val="1"/>
    <w:link w:val="120"/>
    <w:semiHidden/>
    <w:qFormat/>
    <w:uiPriority w:val="0"/>
  </w:style>
  <w:style w:type="paragraph" w:styleId="20">
    <w:name w:val="List Number"/>
    <w:basedOn w:val="1"/>
    <w:semiHidden/>
    <w:qFormat/>
    <w:uiPriority w:val="0"/>
    <w:pPr>
      <w:numPr>
        <w:ilvl w:val="0"/>
        <w:numId w:val="3"/>
      </w:numPr>
      <w:contextualSpacing/>
    </w:pPr>
  </w:style>
  <w:style w:type="paragraph" w:styleId="21">
    <w:name w:val="Normal Indent"/>
    <w:basedOn w:val="1"/>
    <w:semiHidden/>
    <w:qFormat/>
    <w:uiPriority w:val="0"/>
    <w:pPr>
      <w:ind w:left="720"/>
    </w:pPr>
  </w:style>
  <w:style w:type="paragraph" w:styleId="22">
    <w:name w:val="caption"/>
    <w:basedOn w:val="1"/>
    <w:next w:val="1"/>
    <w:semiHidden/>
    <w:qFormat/>
    <w:uiPriority w:val="0"/>
    <w:rPr>
      <w:b/>
      <w:bCs/>
      <w:sz w:val="20"/>
    </w:rPr>
  </w:style>
  <w:style w:type="paragraph" w:styleId="23">
    <w:name w:val="index 5"/>
    <w:basedOn w:val="1"/>
    <w:next w:val="1"/>
    <w:semiHidden/>
    <w:qFormat/>
    <w:uiPriority w:val="0"/>
    <w:pPr>
      <w:ind w:left="1200" w:hanging="240"/>
    </w:pPr>
  </w:style>
  <w:style w:type="paragraph" w:styleId="24">
    <w:name w:val="List Bullet"/>
    <w:basedOn w:val="1"/>
    <w:semiHidden/>
    <w:qFormat/>
    <w:uiPriority w:val="0"/>
    <w:pPr>
      <w:numPr>
        <w:ilvl w:val="0"/>
        <w:numId w:val="4"/>
      </w:numPr>
      <w:contextualSpacing/>
    </w:pPr>
  </w:style>
  <w:style w:type="paragraph" w:styleId="25">
    <w:name w:val="envelope address"/>
    <w:basedOn w:val="1"/>
    <w:semiHidden/>
    <w:qFormat/>
    <w:uiPriority w:val="0"/>
    <w:pPr>
      <w:framePr w:w="7920" w:h="1980" w:hRule="exact" w:hSpace="180" w:wrap="auto" w:vAnchor="margin" w:hAnchor="page" w:xAlign="center" w:yAlign="bottom"/>
      <w:ind w:left="2880"/>
    </w:pPr>
    <w:rPr>
      <w:rFonts w:ascii="Cambria" w:hAnsi="Cambria"/>
      <w:szCs w:val="24"/>
    </w:rPr>
  </w:style>
  <w:style w:type="paragraph" w:styleId="26">
    <w:name w:val="Document Map"/>
    <w:basedOn w:val="1"/>
    <w:link w:val="119"/>
    <w:semiHidden/>
    <w:qFormat/>
    <w:uiPriority w:val="0"/>
    <w:rPr>
      <w:rFonts w:ascii="Tahoma" w:hAnsi="Tahoma" w:cs="Tahoma"/>
      <w:sz w:val="16"/>
      <w:szCs w:val="16"/>
    </w:rPr>
  </w:style>
  <w:style w:type="paragraph" w:styleId="27">
    <w:name w:val="toa heading"/>
    <w:basedOn w:val="1"/>
    <w:next w:val="1"/>
    <w:semiHidden/>
    <w:qFormat/>
    <w:uiPriority w:val="0"/>
    <w:pPr>
      <w:spacing w:before="120"/>
    </w:pPr>
    <w:rPr>
      <w:rFonts w:ascii="Cambria" w:hAnsi="Cambria"/>
      <w:b/>
      <w:bCs/>
      <w:szCs w:val="24"/>
    </w:rPr>
  </w:style>
  <w:style w:type="paragraph" w:styleId="28">
    <w:name w:val="annotation text"/>
    <w:basedOn w:val="1"/>
    <w:link w:val="116"/>
    <w:semiHidden/>
    <w:qFormat/>
    <w:uiPriority w:val="0"/>
    <w:rPr>
      <w:sz w:val="20"/>
    </w:rPr>
  </w:style>
  <w:style w:type="paragraph" w:styleId="29">
    <w:name w:val="index 6"/>
    <w:basedOn w:val="1"/>
    <w:next w:val="1"/>
    <w:semiHidden/>
    <w:qFormat/>
    <w:uiPriority w:val="0"/>
    <w:pPr>
      <w:ind w:left="1440" w:hanging="240"/>
    </w:pPr>
  </w:style>
  <w:style w:type="paragraph" w:styleId="30">
    <w:name w:val="Salutation"/>
    <w:basedOn w:val="1"/>
    <w:next w:val="1"/>
    <w:link w:val="137"/>
    <w:semiHidden/>
    <w:qFormat/>
    <w:uiPriority w:val="0"/>
  </w:style>
  <w:style w:type="paragraph" w:styleId="31">
    <w:name w:val="Body Text 3"/>
    <w:basedOn w:val="1"/>
    <w:link w:val="109"/>
    <w:semiHidden/>
    <w:qFormat/>
    <w:uiPriority w:val="0"/>
    <w:pPr>
      <w:spacing w:after="120"/>
    </w:pPr>
    <w:rPr>
      <w:sz w:val="16"/>
      <w:szCs w:val="16"/>
    </w:rPr>
  </w:style>
  <w:style w:type="paragraph" w:styleId="32">
    <w:name w:val="Closing"/>
    <w:basedOn w:val="1"/>
    <w:link w:val="115"/>
    <w:semiHidden/>
    <w:qFormat/>
    <w:uiPriority w:val="0"/>
    <w:pPr>
      <w:ind w:left="4320"/>
    </w:pPr>
  </w:style>
  <w:style w:type="paragraph" w:styleId="33">
    <w:name w:val="List Bullet 3"/>
    <w:basedOn w:val="1"/>
    <w:semiHidden/>
    <w:qFormat/>
    <w:uiPriority w:val="0"/>
    <w:pPr>
      <w:numPr>
        <w:ilvl w:val="0"/>
        <w:numId w:val="5"/>
      </w:numPr>
      <w:contextualSpacing/>
    </w:pPr>
  </w:style>
  <w:style w:type="paragraph" w:styleId="34">
    <w:name w:val="Body Text"/>
    <w:basedOn w:val="1"/>
    <w:link w:val="107"/>
    <w:semiHidden/>
    <w:qFormat/>
    <w:uiPriority w:val="0"/>
    <w:pPr>
      <w:spacing w:after="120"/>
    </w:pPr>
  </w:style>
  <w:style w:type="paragraph" w:styleId="35">
    <w:name w:val="Body Text Indent"/>
    <w:basedOn w:val="1"/>
    <w:link w:val="111"/>
    <w:semiHidden/>
    <w:qFormat/>
    <w:uiPriority w:val="0"/>
    <w:pPr>
      <w:spacing w:after="120"/>
      <w:ind w:left="360"/>
    </w:pPr>
  </w:style>
  <w:style w:type="paragraph" w:styleId="36">
    <w:name w:val="List Number 3"/>
    <w:basedOn w:val="1"/>
    <w:semiHidden/>
    <w:qFormat/>
    <w:uiPriority w:val="0"/>
    <w:pPr>
      <w:numPr>
        <w:ilvl w:val="0"/>
        <w:numId w:val="6"/>
      </w:numPr>
      <w:contextualSpacing/>
    </w:pPr>
  </w:style>
  <w:style w:type="paragraph" w:styleId="37">
    <w:name w:val="List 2"/>
    <w:basedOn w:val="1"/>
    <w:semiHidden/>
    <w:qFormat/>
    <w:uiPriority w:val="0"/>
    <w:pPr>
      <w:ind w:left="720" w:hanging="360"/>
      <w:contextualSpacing/>
    </w:pPr>
  </w:style>
  <w:style w:type="paragraph" w:styleId="38">
    <w:name w:val="List Continue"/>
    <w:basedOn w:val="1"/>
    <w:semiHidden/>
    <w:qFormat/>
    <w:uiPriority w:val="0"/>
    <w:pPr>
      <w:spacing w:after="120"/>
      <w:ind w:left="360"/>
      <w:contextualSpacing/>
    </w:pPr>
  </w:style>
  <w:style w:type="paragraph" w:styleId="39">
    <w:name w:val="Block Text"/>
    <w:basedOn w:val="1"/>
    <w:semiHidden/>
    <w:qFormat/>
    <w:uiPriority w:val="0"/>
    <w:pPr>
      <w:spacing w:after="120"/>
      <w:ind w:left="1440" w:right="1440"/>
    </w:pPr>
  </w:style>
  <w:style w:type="paragraph" w:styleId="40">
    <w:name w:val="List Bullet 2"/>
    <w:basedOn w:val="1"/>
    <w:semiHidden/>
    <w:qFormat/>
    <w:uiPriority w:val="0"/>
    <w:pPr>
      <w:numPr>
        <w:ilvl w:val="0"/>
        <w:numId w:val="7"/>
      </w:numPr>
      <w:contextualSpacing/>
    </w:pPr>
  </w:style>
  <w:style w:type="paragraph" w:styleId="41">
    <w:name w:val="HTML Address"/>
    <w:basedOn w:val="1"/>
    <w:link w:val="125"/>
    <w:semiHidden/>
    <w:qFormat/>
    <w:uiPriority w:val="0"/>
    <w:rPr>
      <w:i/>
      <w:iCs/>
    </w:rPr>
  </w:style>
  <w:style w:type="paragraph" w:styleId="42">
    <w:name w:val="index 4"/>
    <w:basedOn w:val="1"/>
    <w:next w:val="1"/>
    <w:semiHidden/>
    <w:qFormat/>
    <w:uiPriority w:val="0"/>
    <w:pPr>
      <w:ind w:left="960" w:hanging="240"/>
    </w:pPr>
  </w:style>
  <w:style w:type="paragraph" w:styleId="43">
    <w:name w:val="toc 5"/>
    <w:basedOn w:val="1"/>
    <w:next w:val="1"/>
    <w:semiHidden/>
    <w:qFormat/>
    <w:uiPriority w:val="0"/>
    <w:pPr>
      <w:ind w:left="960"/>
    </w:pPr>
  </w:style>
  <w:style w:type="paragraph" w:styleId="44">
    <w:name w:val="toc 3"/>
    <w:basedOn w:val="1"/>
    <w:next w:val="1"/>
    <w:semiHidden/>
    <w:qFormat/>
    <w:uiPriority w:val="0"/>
    <w:pPr>
      <w:ind w:left="480"/>
    </w:pPr>
  </w:style>
  <w:style w:type="paragraph" w:styleId="45">
    <w:name w:val="Plain Text"/>
    <w:basedOn w:val="1"/>
    <w:link w:val="134"/>
    <w:semiHidden/>
    <w:qFormat/>
    <w:uiPriority w:val="0"/>
    <w:rPr>
      <w:rFonts w:ascii="Courier New" w:hAnsi="Courier New" w:cs="Courier New"/>
      <w:sz w:val="20"/>
    </w:rPr>
  </w:style>
  <w:style w:type="paragraph" w:styleId="46">
    <w:name w:val="List Bullet 5"/>
    <w:basedOn w:val="1"/>
    <w:semiHidden/>
    <w:qFormat/>
    <w:uiPriority w:val="0"/>
    <w:pPr>
      <w:numPr>
        <w:ilvl w:val="0"/>
        <w:numId w:val="8"/>
      </w:numPr>
      <w:contextualSpacing/>
    </w:pPr>
  </w:style>
  <w:style w:type="paragraph" w:styleId="47">
    <w:name w:val="List Number 4"/>
    <w:basedOn w:val="1"/>
    <w:semiHidden/>
    <w:qFormat/>
    <w:uiPriority w:val="0"/>
    <w:pPr>
      <w:numPr>
        <w:ilvl w:val="0"/>
        <w:numId w:val="9"/>
      </w:numPr>
      <w:contextualSpacing/>
    </w:pPr>
  </w:style>
  <w:style w:type="paragraph" w:styleId="48">
    <w:name w:val="toc 8"/>
    <w:basedOn w:val="1"/>
    <w:next w:val="1"/>
    <w:semiHidden/>
    <w:qFormat/>
    <w:uiPriority w:val="0"/>
    <w:pPr>
      <w:ind w:left="1680"/>
    </w:pPr>
  </w:style>
  <w:style w:type="paragraph" w:styleId="49">
    <w:name w:val="index 3"/>
    <w:basedOn w:val="1"/>
    <w:next w:val="1"/>
    <w:semiHidden/>
    <w:qFormat/>
    <w:uiPriority w:val="0"/>
    <w:pPr>
      <w:ind w:left="720" w:hanging="240"/>
    </w:pPr>
  </w:style>
  <w:style w:type="paragraph" w:styleId="50">
    <w:name w:val="Date"/>
    <w:basedOn w:val="1"/>
    <w:next w:val="1"/>
    <w:link w:val="118"/>
    <w:semiHidden/>
    <w:qFormat/>
    <w:uiPriority w:val="0"/>
  </w:style>
  <w:style w:type="paragraph" w:styleId="51">
    <w:name w:val="Body Text Indent 2"/>
    <w:basedOn w:val="1"/>
    <w:link w:val="113"/>
    <w:semiHidden/>
    <w:qFormat/>
    <w:uiPriority w:val="0"/>
    <w:pPr>
      <w:spacing w:after="120" w:line="480" w:lineRule="auto"/>
      <w:ind w:left="360"/>
    </w:pPr>
  </w:style>
  <w:style w:type="paragraph" w:styleId="52">
    <w:name w:val="endnote text"/>
    <w:basedOn w:val="1"/>
    <w:link w:val="121"/>
    <w:semiHidden/>
    <w:qFormat/>
    <w:uiPriority w:val="0"/>
    <w:rPr>
      <w:sz w:val="20"/>
    </w:rPr>
  </w:style>
  <w:style w:type="paragraph" w:styleId="53">
    <w:name w:val="List Continue 5"/>
    <w:basedOn w:val="1"/>
    <w:semiHidden/>
    <w:qFormat/>
    <w:uiPriority w:val="0"/>
    <w:pPr>
      <w:spacing w:after="120"/>
      <w:ind w:left="1800"/>
      <w:contextualSpacing/>
    </w:pPr>
  </w:style>
  <w:style w:type="paragraph" w:styleId="54">
    <w:name w:val="Balloon Text"/>
    <w:basedOn w:val="1"/>
    <w:link w:val="105"/>
    <w:semiHidden/>
    <w:qFormat/>
    <w:uiPriority w:val="0"/>
    <w:rPr>
      <w:rFonts w:ascii="Tahoma" w:hAnsi="Tahoma" w:cs="Tahoma"/>
      <w:sz w:val="16"/>
      <w:szCs w:val="16"/>
    </w:rPr>
  </w:style>
  <w:style w:type="paragraph" w:styleId="55">
    <w:name w:val="footer"/>
    <w:basedOn w:val="1"/>
    <w:link w:val="122"/>
    <w:semiHidden/>
    <w:qFormat/>
    <w:uiPriority w:val="0"/>
    <w:pPr>
      <w:tabs>
        <w:tab w:val="center" w:pos="4680"/>
        <w:tab w:val="right" w:pos="9360"/>
      </w:tabs>
    </w:pPr>
  </w:style>
  <w:style w:type="paragraph" w:styleId="56">
    <w:name w:val="envelope return"/>
    <w:basedOn w:val="1"/>
    <w:semiHidden/>
    <w:qFormat/>
    <w:uiPriority w:val="0"/>
    <w:rPr>
      <w:rFonts w:ascii="Cambria" w:hAnsi="Cambria"/>
      <w:sz w:val="20"/>
    </w:rPr>
  </w:style>
  <w:style w:type="paragraph" w:styleId="57">
    <w:name w:val="header"/>
    <w:basedOn w:val="1"/>
    <w:link w:val="124"/>
    <w:semiHidden/>
    <w:qFormat/>
    <w:uiPriority w:val="0"/>
    <w:pPr>
      <w:tabs>
        <w:tab w:val="center" w:pos="4680"/>
        <w:tab w:val="right" w:pos="9360"/>
      </w:tabs>
    </w:pPr>
  </w:style>
  <w:style w:type="paragraph" w:styleId="58">
    <w:name w:val="Signature"/>
    <w:basedOn w:val="1"/>
    <w:link w:val="138"/>
    <w:semiHidden/>
    <w:qFormat/>
    <w:uiPriority w:val="0"/>
    <w:pPr>
      <w:ind w:left="4320"/>
    </w:pPr>
  </w:style>
  <w:style w:type="paragraph" w:styleId="59">
    <w:name w:val="toc 1"/>
    <w:basedOn w:val="1"/>
    <w:next w:val="1"/>
    <w:semiHidden/>
    <w:qFormat/>
    <w:uiPriority w:val="0"/>
  </w:style>
  <w:style w:type="paragraph" w:styleId="60">
    <w:name w:val="List Continue 4"/>
    <w:basedOn w:val="1"/>
    <w:semiHidden/>
    <w:qFormat/>
    <w:uiPriority w:val="0"/>
    <w:pPr>
      <w:spacing w:after="120"/>
      <w:ind w:left="1440"/>
      <w:contextualSpacing/>
    </w:pPr>
  </w:style>
  <w:style w:type="paragraph" w:styleId="61">
    <w:name w:val="toc 4"/>
    <w:basedOn w:val="1"/>
    <w:next w:val="1"/>
    <w:semiHidden/>
    <w:qFormat/>
    <w:uiPriority w:val="0"/>
    <w:pPr>
      <w:ind w:left="720"/>
    </w:pPr>
  </w:style>
  <w:style w:type="paragraph" w:styleId="62">
    <w:name w:val="index heading"/>
    <w:basedOn w:val="1"/>
    <w:next w:val="63"/>
    <w:semiHidden/>
    <w:qFormat/>
    <w:uiPriority w:val="0"/>
    <w:rPr>
      <w:rFonts w:ascii="Cambria" w:hAnsi="Cambria"/>
      <w:b/>
      <w:bCs/>
    </w:rPr>
  </w:style>
  <w:style w:type="paragraph" w:styleId="63">
    <w:name w:val="index 1"/>
    <w:basedOn w:val="1"/>
    <w:next w:val="1"/>
    <w:semiHidden/>
    <w:qFormat/>
    <w:uiPriority w:val="0"/>
    <w:pPr>
      <w:ind w:left="240" w:hanging="240"/>
    </w:pPr>
  </w:style>
  <w:style w:type="paragraph" w:styleId="64">
    <w:name w:val="Subtitle"/>
    <w:basedOn w:val="1"/>
    <w:next w:val="1"/>
    <w:link w:val="139"/>
    <w:semiHidden/>
    <w:qFormat/>
    <w:uiPriority w:val="0"/>
    <w:pPr>
      <w:spacing w:after="60"/>
      <w:jc w:val="center"/>
      <w:outlineLvl w:val="1"/>
    </w:pPr>
    <w:rPr>
      <w:rFonts w:ascii="Cambria" w:hAnsi="Cambria"/>
      <w:szCs w:val="24"/>
    </w:rPr>
  </w:style>
  <w:style w:type="paragraph" w:styleId="65">
    <w:name w:val="List Number 5"/>
    <w:basedOn w:val="1"/>
    <w:semiHidden/>
    <w:qFormat/>
    <w:uiPriority w:val="0"/>
    <w:pPr>
      <w:numPr>
        <w:ilvl w:val="0"/>
        <w:numId w:val="10"/>
      </w:numPr>
      <w:contextualSpacing/>
    </w:pPr>
  </w:style>
  <w:style w:type="paragraph" w:styleId="66">
    <w:name w:val="List"/>
    <w:basedOn w:val="1"/>
    <w:semiHidden/>
    <w:qFormat/>
    <w:uiPriority w:val="0"/>
    <w:pPr>
      <w:ind w:left="360" w:hanging="360"/>
      <w:contextualSpacing/>
    </w:pPr>
  </w:style>
  <w:style w:type="paragraph" w:styleId="67">
    <w:name w:val="footnote text"/>
    <w:basedOn w:val="1"/>
    <w:link w:val="123"/>
    <w:semiHidden/>
    <w:qFormat/>
    <w:uiPriority w:val="0"/>
    <w:rPr>
      <w:sz w:val="20"/>
    </w:rPr>
  </w:style>
  <w:style w:type="paragraph" w:styleId="68">
    <w:name w:val="toc 6"/>
    <w:basedOn w:val="1"/>
    <w:next w:val="1"/>
    <w:semiHidden/>
    <w:qFormat/>
    <w:uiPriority w:val="0"/>
    <w:pPr>
      <w:ind w:left="1200"/>
    </w:pPr>
  </w:style>
  <w:style w:type="paragraph" w:styleId="69">
    <w:name w:val="List 5"/>
    <w:basedOn w:val="1"/>
    <w:semiHidden/>
    <w:qFormat/>
    <w:uiPriority w:val="0"/>
    <w:pPr>
      <w:ind w:left="1800" w:hanging="360"/>
      <w:contextualSpacing/>
    </w:pPr>
  </w:style>
  <w:style w:type="paragraph" w:styleId="70">
    <w:name w:val="Body Text Indent 3"/>
    <w:basedOn w:val="1"/>
    <w:link w:val="114"/>
    <w:semiHidden/>
    <w:qFormat/>
    <w:uiPriority w:val="0"/>
    <w:pPr>
      <w:spacing w:after="120"/>
      <w:ind w:left="360"/>
    </w:pPr>
    <w:rPr>
      <w:sz w:val="16"/>
      <w:szCs w:val="16"/>
    </w:rPr>
  </w:style>
  <w:style w:type="paragraph" w:styleId="71">
    <w:name w:val="index 7"/>
    <w:basedOn w:val="1"/>
    <w:next w:val="1"/>
    <w:semiHidden/>
    <w:qFormat/>
    <w:uiPriority w:val="0"/>
    <w:pPr>
      <w:ind w:left="1680" w:hanging="240"/>
    </w:pPr>
  </w:style>
  <w:style w:type="paragraph" w:styleId="72">
    <w:name w:val="index 9"/>
    <w:basedOn w:val="1"/>
    <w:next w:val="1"/>
    <w:semiHidden/>
    <w:qFormat/>
    <w:uiPriority w:val="0"/>
    <w:pPr>
      <w:ind w:left="2160" w:hanging="240"/>
    </w:pPr>
  </w:style>
  <w:style w:type="paragraph" w:styleId="73">
    <w:name w:val="table of figures"/>
    <w:basedOn w:val="1"/>
    <w:next w:val="1"/>
    <w:semiHidden/>
    <w:qFormat/>
    <w:uiPriority w:val="0"/>
  </w:style>
  <w:style w:type="paragraph" w:styleId="74">
    <w:name w:val="toc 2"/>
    <w:basedOn w:val="1"/>
    <w:next w:val="1"/>
    <w:semiHidden/>
    <w:qFormat/>
    <w:uiPriority w:val="0"/>
    <w:pPr>
      <w:ind w:left="240"/>
    </w:pPr>
  </w:style>
  <w:style w:type="paragraph" w:styleId="75">
    <w:name w:val="toc 9"/>
    <w:basedOn w:val="1"/>
    <w:next w:val="1"/>
    <w:semiHidden/>
    <w:qFormat/>
    <w:uiPriority w:val="0"/>
    <w:pPr>
      <w:ind w:left="1920"/>
    </w:pPr>
  </w:style>
  <w:style w:type="paragraph" w:styleId="76">
    <w:name w:val="Body Text 2"/>
    <w:basedOn w:val="1"/>
    <w:link w:val="108"/>
    <w:semiHidden/>
    <w:qFormat/>
    <w:uiPriority w:val="0"/>
    <w:pPr>
      <w:spacing w:after="120" w:line="480" w:lineRule="auto"/>
    </w:pPr>
  </w:style>
  <w:style w:type="paragraph" w:styleId="77">
    <w:name w:val="List 4"/>
    <w:basedOn w:val="1"/>
    <w:semiHidden/>
    <w:qFormat/>
    <w:uiPriority w:val="0"/>
    <w:pPr>
      <w:ind w:left="1440" w:hanging="360"/>
      <w:contextualSpacing/>
    </w:pPr>
  </w:style>
  <w:style w:type="paragraph" w:styleId="78">
    <w:name w:val="List Continue 2"/>
    <w:basedOn w:val="1"/>
    <w:semiHidden/>
    <w:qFormat/>
    <w:uiPriority w:val="0"/>
    <w:pPr>
      <w:spacing w:after="120"/>
      <w:ind w:left="720"/>
      <w:contextualSpacing/>
    </w:pPr>
  </w:style>
  <w:style w:type="paragraph" w:styleId="79">
    <w:name w:val="Message Header"/>
    <w:basedOn w:val="1"/>
    <w:link w:val="131"/>
    <w:semiHidden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hanging="1080"/>
    </w:pPr>
    <w:rPr>
      <w:rFonts w:ascii="Cambria" w:hAnsi="Cambria"/>
      <w:szCs w:val="24"/>
    </w:rPr>
  </w:style>
  <w:style w:type="paragraph" w:styleId="80">
    <w:name w:val="HTML Preformatted"/>
    <w:basedOn w:val="1"/>
    <w:link w:val="126"/>
    <w:semiHidden/>
    <w:qFormat/>
    <w:uiPriority w:val="0"/>
    <w:rPr>
      <w:rFonts w:ascii="Courier New" w:hAnsi="Courier New" w:cs="Courier New"/>
      <w:sz w:val="20"/>
    </w:rPr>
  </w:style>
  <w:style w:type="paragraph" w:styleId="81">
    <w:name w:val="Normal (Web)"/>
    <w:basedOn w:val="1"/>
    <w:semiHidden/>
    <w:qFormat/>
    <w:uiPriority w:val="0"/>
    <w:rPr>
      <w:szCs w:val="24"/>
    </w:rPr>
  </w:style>
  <w:style w:type="paragraph" w:styleId="82">
    <w:name w:val="List Continue 3"/>
    <w:basedOn w:val="1"/>
    <w:semiHidden/>
    <w:qFormat/>
    <w:uiPriority w:val="0"/>
    <w:pPr>
      <w:spacing w:after="120"/>
      <w:ind w:left="1080"/>
      <w:contextualSpacing/>
    </w:pPr>
  </w:style>
  <w:style w:type="paragraph" w:styleId="83">
    <w:name w:val="index 2"/>
    <w:basedOn w:val="1"/>
    <w:next w:val="1"/>
    <w:semiHidden/>
    <w:qFormat/>
    <w:uiPriority w:val="0"/>
    <w:pPr>
      <w:ind w:left="480" w:hanging="240"/>
    </w:pPr>
  </w:style>
  <w:style w:type="paragraph" w:styleId="84">
    <w:name w:val="Title"/>
    <w:basedOn w:val="1"/>
    <w:next w:val="1"/>
    <w:link w:val="140"/>
    <w:semiHidden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paragraph" w:styleId="85">
    <w:name w:val="annotation subject"/>
    <w:basedOn w:val="28"/>
    <w:next w:val="28"/>
    <w:link w:val="117"/>
    <w:semiHidden/>
    <w:qFormat/>
    <w:uiPriority w:val="0"/>
    <w:rPr>
      <w:b/>
      <w:bCs/>
    </w:rPr>
  </w:style>
  <w:style w:type="paragraph" w:styleId="86">
    <w:name w:val="Body Text First Indent"/>
    <w:basedOn w:val="34"/>
    <w:link w:val="110"/>
    <w:semiHidden/>
    <w:qFormat/>
    <w:uiPriority w:val="0"/>
    <w:pPr>
      <w:ind w:firstLine="210"/>
    </w:pPr>
  </w:style>
  <w:style w:type="paragraph" w:styleId="87">
    <w:name w:val="Body Text First Indent 2"/>
    <w:basedOn w:val="35"/>
    <w:link w:val="112"/>
    <w:semiHidden/>
    <w:qFormat/>
    <w:uiPriority w:val="0"/>
    <w:pPr>
      <w:ind w:firstLine="210"/>
    </w:pPr>
  </w:style>
  <w:style w:type="character" w:styleId="90">
    <w:name w:val="page number"/>
    <w:basedOn w:val="89"/>
    <w:semiHidden/>
    <w:qFormat/>
    <w:uiPriority w:val="0"/>
  </w:style>
  <w:style w:type="character" w:styleId="91">
    <w:name w:val="FollowedHyperlink"/>
    <w:semiHidden/>
    <w:unhideWhenUsed/>
    <w:qFormat/>
    <w:uiPriority w:val="0"/>
    <w:rPr>
      <w:color w:val="800080"/>
      <w:u w:val="single"/>
    </w:rPr>
  </w:style>
  <w:style w:type="character" w:styleId="92">
    <w:name w:val="Hyperlink"/>
    <w:semiHidden/>
    <w:qFormat/>
    <w:uiPriority w:val="0"/>
    <w:rPr>
      <w:color w:val="0000FF"/>
      <w:u w:val="single"/>
    </w:rPr>
  </w:style>
  <w:style w:type="character" w:styleId="93">
    <w:name w:val="annotation reference"/>
    <w:semiHidden/>
    <w:unhideWhenUsed/>
    <w:qFormat/>
    <w:uiPriority w:val="0"/>
    <w:rPr>
      <w:sz w:val="16"/>
      <w:szCs w:val="16"/>
    </w:rPr>
  </w:style>
  <w:style w:type="character" w:customStyle="1" w:styleId="94">
    <w:name w:val="标题 1 字符"/>
    <w:link w:val="3"/>
    <w:semiHidden/>
    <w:qFormat/>
    <w:uiPriority w:val="0"/>
    <w:rPr>
      <w:b/>
      <w:bCs/>
      <w:kern w:val="32"/>
      <w:sz w:val="24"/>
      <w:szCs w:val="24"/>
    </w:rPr>
  </w:style>
  <w:style w:type="character" w:customStyle="1" w:styleId="95">
    <w:name w:val="标题 2 字符"/>
    <w:link w:val="4"/>
    <w:semiHidden/>
    <w:qFormat/>
    <w:uiPriority w:val="0"/>
    <w:rPr>
      <w:rFonts w:ascii="Cambria" w:hAnsi="Cambria"/>
      <w:b/>
      <w:bCs/>
      <w:i/>
      <w:iCs/>
      <w:sz w:val="28"/>
      <w:szCs w:val="28"/>
    </w:rPr>
  </w:style>
  <w:style w:type="character" w:customStyle="1" w:styleId="96">
    <w:name w:val="标题 5 字符"/>
    <w:link w:val="7"/>
    <w:semiHidden/>
    <w:qFormat/>
    <w:uiPriority w:val="0"/>
    <w:rPr>
      <w:rFonts w:ascii="Calibri" w:hAnsi="Calibri"/>
      <w:b/>
      <w:bCs/>
      <w:i/>
      <w:iCs/>
      <w:sz w:val="26"/>
      <w:szCs w:val="26"/>
    </w:rPr>
  </w:style>
  <w:style w:type="character" w:customStyle="1" w:styleId="97">
    <w:name w:val="标题 6 字符"/>
    <w:link w:val="8"/>
    <w:semiHidden/>
    <w:qFormat/>
    <w:uiPriority w:val="0"/>
    <w:rPr>
      <w:rFonts w:ascii="Calibri" w:hAnsi="Calibri"/>
      <w:b/>
      <w:bCs/>
      <w:sz w:val="22"/>
      <w:szCs w:val="22"/>
    </w:rPr>
  </w:style>
  <w:style w:type="character" w:customStyle="1" w:styleId="98">
    <w:name w:val="标题 7 字符"/>
    <w:link w:val="9"/>
    <w:semiHidden/>
    <w:qFormat/>
    <w:uiPriority w:val="0"/>
    <w:rPr>
      <w:rFonts w:ascii="Calibri" w:hAnsi="Calibri"/>
      <w:sz w:val="24"/>
      <w:szCs w:val="24"/>
    </w:rPr>
  </w:style>
  <w:style w:type="character" w:customStyle="1" w:styleId="99">
    <w:name w:val="标题 8 字符"/>
    <w:link w:val="10"/>
    <w:semiHidden/>
    <w:qFormat/>
    <w:uiPriority w:val="0"/>
    <w:rPr>
      <w:rFonts w:ascii="Calibri" w:hAnsi="Calibri"/>
      <w:i/>
      <w:iCs/>
      <w:sz w:val="24"/>
      <w:szCs w:val="24"/>
    </w:rPr>
  </w:style>
  <w:style w:type="character" w:customStyle="1" w:styleId="100">
    <w:name w:val="标题 9 字符"/>
    <w:link w:val="11"/>
    <w:semiHidden/>
    <w:qFormat/>
    <w:uiPriority w:val="0"/>
    <w:rPr>
      <w:rFonts w:ascii="Cambria" w:hAnsi="Cambria"/>
      <w:sz w:val="22"/>
      <w:szCs w:val="22"/>
    </w:rPr>
  </w:style>
  <w:style w:type="paragraph" w:customStyle="1" w:styleId="101">
    <w:name w:val="SM Heading"/>
    <w:basedOn w:val="3"/>
    <w:qFormat/>
    <w:uiPriority w:val="0"/>
  </w:style>
  <w:style w:type="paragraph" w:customStyle="1" w:styleId="102">
    <w:name w:val="SM Subheading"/>
    <w:basedOn w:val="1"/>
    <w:qFormat/>
    <w:uiPriority w:val="0"/>
    <w:rPr>
      <w:u w:val="words"/>
    </w:rPr>
  </w:style>
  <w:style w:type="paragraph" w:customStyle="1" w:styleId="103">
    <w:name w:val="SM Text"/>
    <w:basedOn w:val="1"/>
    <w:qFormat/>
    <w:uiPriority w:val="0"/>
    <w:pPr>
      <w:ind w:firstLine="480"/>
    </w:pPr>
  </w:style>
  <w:style w:type="paragraph" w:customStyle="1" w:styleId="104">
    <w:name w:val="SM caption"/>
    <w:basedOn w:val="103"/>
    <w:qFormat/>
    <w:uiPriority w:val="0"/>
    <w:pPr>
      <w:ind w:firstLine="0"/>
    </w:pPr>
  </w:style>
  <w:style w:type="character" w:customStyle="1" w:styleId="105">
    <w:name w:val="批注框文本 字符"/>
    <w:link w:val="54"/>
    <w:semiHidden/>
    <w:qFormat/>
    <w:uiPriority w:val="0"/>
    <w:rPr>
      <w:rFonts w:ascii="Tahoma" w:hAnsi="Tahoma" w:cs="Tahoma"/>
      <w:sz w:val="16"/>
      <w:szCs w:val="16"/>
    </w:rPr>
  </w:style>
  <w:style w:type="paragraph" w:customStyle="1" w:styleId="106">
    <w:name w:val="书目1"/>
    <w:basedOn w:val="1"/>
    <w:next w:val="1"/>
    <w:semiHidden/>
    <w:qFormat/>
    <w:uiPriority w:val="37"/>
  </w:style>
  <w:style w:type="character" w:customStyle="1" w:styleId="107">
    <w:name w:val="正文文本 字符"/>
    <w:link w:val="34"/>
    <w:semiHidden/>
    <w:qFormat/>
    <w:uiPriority w:val="0"/>
    <w:rPr>
      <w:sz w:val="24"/>
    </w:rPr>
  </w:style>
  <w:style w:type="character" w:customStyle="1" w:styleId="108">
    <w:name w:val="正文文本 2 字符"/>
    <w:link w:val="76"/>
    <w:semiHidden/>
    <w:qFormat/>
    <w:uiPriority w:val="0"/>
    <w:rPr>
      <w:sz w:val="24"/>
    </w:rPr>
  </w:style>
  <w:style w:type="character" w:customStyle="1" w:styleId="109">
    <w:name w:val="正文文本 3 字符"/>
    <w:link w:val="31"/>
    <w:semiHidden/>
    <w:qFormat/>
    <w:uiPriority w:val="0"/>
    <w:rPr>
      <w:sz w:val="16"/>
      <w:szCs w:val="16"/>
    </w:rPr>
  </w:style>
  <w:style w:type="character" w:customStyle="1" w:styleId="110">
    <w:name w:val="正文文本首行缩进 字符"/>
    <w:link w:val="86"/>
    <w:semiHidden/>
    <w:qFormat/>
    <w:uiPriority w:val="0"/>
    <w:rPr>
      <w:sz w:val="24"/>
    </w:rPr>
  </w:style>
  <w:style w:type="character" w:customStyle="1" w:styleId="111">
    <w:name w:val="正文文本缩进 字符"/>
    <w:link w:val="35"/>
    <w:semiHidden/>
    <w:qFormat/>
    <w:uiPriority w:val="0"/>
    <w:rPr>
      <w:sz w:val="24"/>
    </w:rPr>
  </w:style>
  <w:style w:type="character" w:customStyle="1" w:styleId="112">
    <w:name w:val="正文文本首行缩进 2 字符"/>
    <w:link w:val="87"/>
    <w:semiHidden/>
    <w:qFormat/>
    <w:uiPriority w:val="0"/>
    <w:rPr>
      <w:sz w:val="24"/>
    </w:rPr>
  </w:style>
  <w:style w:type="character" w:customStyle="1" w:styleId="113">
    <w:name w:val="正文文本缩进 2 字符"/>
    <w:link w:val="51"/>
    <w:semiHidden/>
    <w:qFormat/>
    <w:uiPriority w:val="0"/>
    <w:rPr>
      <w:sz w:val="24"/>
    </w:rPr>
  </w:style>
  <w:style w:type="character" w:customStyle="1" w:styleId="114">
    <w:name w:val="正文文本缩进 3 字符"/>
    <w:link w:val="70"/>
    <w:semiHidden/>
    <w:qFormat/>
    <w:uiPriority w:val="0"/>
    <w:rPr>
      <w:sz w:val="16"/>
      <w:szCs w:val="16"/>
    </w:rPr>
  </w:style>
  <w:style w:type="character" w:customStyle="1" w:styleId="115">
    <w:name w:val="结束语 字符"/>
    <w:link w:val="32"/>
    <w:semiHidden/>
    <w:qFormat/>
    <w:uiPriority w:val="0"/>
    <w:rPr>
      <w:sz w:val="24"/>
    </w:rPr>
  </w:style>
  <w:style w:type="character" w:customStyle="1" w:styleId="116">
    <w:name w:val="批注文字 字符"/>
    <w:basedOn w:val="89"/>
    <w:link w:val="28"/>
    <w:semiHidden/>
    <w:qFormat/>
    <w:uiPriority w:val="0"/>
  </w:style>
  <w:style w:type="character" w:customStyle="1" w:styleId="117">
    <w:name w:val="批注主题 字符"/>
    <w:link w:val="85"/>
    <w:semiHidden/>
    <w:qFormat/>
    <w:uiPriority w:val="0"/>
    <w:rPr>
      <w:b/>
      <w:bCs/>
    </w:rPr>
  </w:style>
  <w:style w:type="character" w:customStyle="1" w:styleId="118">
    <w:name w:val="日期 字符"/>
    <w:link w:val="50"/>
    <w:semiHidden/>
    <w:qFormat/>
    <w:uiPriority w:val="0"/>
    <w:rPr>
      <w:sz w:val="24"/>
    </w:rPr>
  </w:style>
  <w:style w:type="character" w:customStyle="1" w:styleId="119">
    <w:name w:val="文档结构图 字符"/>
    <w:link w:val="26"/>
    <w:semiHidden/>
    <w:qFormat/>
    <w:uiPriority w:val="0"/>
    <w:rPr>
      <w:rFonts w:ascii="Tahoma" w:hAnsi="Tahoma" w:cs="Tahoma"/>
      <w:sz w:val="16"/>
      <w:szCs w:val="16"/>
    </w:rPr>
  </w:style>
  <w:style w:type="character" w:customStyle="1" w:styleId="120">
    <w:name w:val="电子邮件签名 字符"/>
    <w:link w:val="19"/>
    <w:semiHidden/>
    <w:qFormat/>
    <w:uiPriority w:val="0"/>
    <w:rPr>
      <w:sz w:val="24"/>
    </w:rPr>
  </w:style>
  <w:style w:type="character" w:customStyle="1" w:styleId="121">
    <w:name w:val="尾注文本 字符"/>
    <w:basedOn w:val="89"/>
    <w:link w:val="52"/>
    <w:semiHidden/>
    <w:qFormat/>
    <w:uiPriority w:val="0"/>
  </w:style>
  <w:style w:type="character" w:customStyle="1" w:styleId="122">
    <w:name w:val="页脚 字符"/>
    <w:link w:val="55"/>
    <w:semiHidden/>
    <w:qFormat/>
    <w:uiPriority w:val="0"/>
    <w:rPr>
      <w:sz w:val="24"/>
    </w:rPr>
  </w:style>
  <w:style w:type="character" w:customStyle="1" w:styleId="123">
    <w:name w:val="脚注文本 字符"/>
    <w:basedOn w:val="89"/>
    <w:link w:val="67"/>
    <w:semiHidden/>
    <w:qFormat/>
    <w:uiPriority w:val="0"/>
  </w:style>
  <w:style w:type="character" w:customStyle="1" w:styleId="124">
    <w:name w:val="页眉 字符"/>
    <w:link w:val="57"/>
    <w:semiHidden/>
    <w:qFormat/>
    <w:uiPriority w:val="0"/>
    <w:rPr>
      <w:sz w:val="24"/>
    </w:rPr>
  </w:style>
  <w:style w:type="character" w:customStyle="1" w:styleId="125">
    <w:name w:val="HTML 地址 字符"/>
    <w:link w:val="41"/>
    <w:semiHidden/>
    <w:qFormat/>
    <w:uiPriority w:val="0"/>
    <w:rPr>
      <w:i/>
      <w:iCs/>
      <w:sz w:val="24"/>
    </w:rPr>
  </w:style>
  <w:style w:type="character" w:customStyle="1" w:styleId="126">
    <w:name w:val="HTML 预设格式 字符"/>
    <w:link w:val="80"/>
    <w:semiHidden/>
    <w:qFormat/>
    <w:uiPriority w:val="0"/>
    <w:rPr>
      <w:rFonts w:ascii="Courier New" w:hAnsi="Courier New" w:cs="Courier New"/>
    </w:rPr>
  </w:style>
  <w:style w:type="paragraph" w:styleId="127">
    <w:name w:val="Intense Quote"/>
    <w:basedOn w:val="1"/>
    <w:next w:val="1"/>
    <w:link w:val="128"/>
    <w:semiHidden/>
    <w:qFormat/>
    <w:uiPriority w:val="30"/>
    <w:pPr>
      <w:pBdr>
        <w:bottom w:val="single" w:color="4F81BD" w:sz="4" w:space="4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128">
    <w:name w:val="明显引用 字符"/>
    <w:link w:val="127"/>
    <w:semiHidden/>
    <w:qFormat/>
    <w:uiPriority w:val="30"/>
    <w:rPr>
      <w:b/>
      <w:bCs/>
      <w:i/>
      <w:iCs/>
      <w:color w:val="4F81BD"/>
      <w:sz w:val="24"/>
    </w:rPr>
  </w:style>
  <w:style w:type="paragraph" w:styleId="129">
    <w:name w:val="List Paragraph"/>
    <w:basedOn w:val="1"/>
    <w:semiHidden/>
    <w:qFormat/>
    <w:uiPriority w:val="34"/>
    <w:pPr>
      <w:ind w:left="720"/>
    </w:pPr>
  </w:style>
  <w:style w:type="character" w:customStyle="1" w:styleId="130">
    <w:name w:val="宏文本 字符"/>
    <w:link w:val="2"/>
    <w:semiHidden/>
    <w:qFormat/>
    <w:uiPriority w:val="0"/>
    <w:rPr>
      <w:rFonts w:ascii="Courier New" w:hAnsi="Courier New" w:cs="Courier New"/>
      <w:lang w:val="en-US" w:eastAsia="en-US" w:bidi="ar-SA"/>
    </w:rPr>
  </w:style>
  <w:style w:type="character" w:customStyle="1" w:styleId="131">
    <w:name w:val="信息标题 字符"/>
    <w:link w:val="79"/>
    <w:semiHidden/>
    <w:qFormat/>
    <w:uiPriority w:val="0"/>
    <w:rPr>
      <w:rFonts w:ascii="Cambria" w:hAnsi="Cambria"/>
      <w:sz w:val="24"/>
      <w:szCs w:val="24"/>
      <w:shd w:val="pct20" w:color="auto" w:fill="auto"/>
    </w:rPr>
  </w:style>
  <w:style w:type="paragraph" w:styleId="132">
    <w:name w:val="No Spacing"/>
    <w:semiHidden/>
    <w:qFormat/>
    <w:uiPriority w:val="1"/>
    <w:rPr>
      <w:rFonts w:ascii="Times New Roman" w:hAnsi="Times New Roman" w:eastAsia="Times New Roman" w:cs="Times New Roman"/>
      <w:sz w:val="24"/>
      <w:lang w:val="en-US" w:eastAsia="en-US" w:bidi="ar-SA"/>
    </w:rPr>
  </w:style>
  <w:style w:type="character" w:customStyle="1" w:styleId="133">
    <w:name w:val="注释标题 字符"/>
    <w:link w:val="16"/>
    <w:semiHidden/>
    <w:qFormat/>
    <w:uiPriority w:val="0"/>
    <w:rPr>
      <w:sz w:val="24"/>
    </w:rPr>
  </w:style>
  <w:style w:type="character" w:customStyle="1" w:styleId="134">
    <w:name w:val="纯文本 字符"/>
    <w:link w:val="45"/>
    <w:semiHidden/>
    <w:qFormat/>
    <w:uiPriority w:val="0"/>
    <w:rPr>
      <w:rFonts w:ascii="Courier New" w:hAnsi="Courier New" w:cs="Courier New"/>
    </w:rPr>
  </w:style>
  <w:style w:type="paragraph" w:styleId="135">
    <w:name w:val="Quote"/>
    <w:basedOn w:val="1"/>
    <w:next w:val="1"/>
    <w:link w:val="136"/>
    <w:semiHidden/>
    <w:qFormat/>
    <w:uiPriority w:val="29"/>
    <w:rPr>
      <w:i/>
      <w:iCs/>
      <w:color w:val="000000"/>
    </w:rPr>
  </w:style>
  <w:style w:type="character" w:customStyle="1" w:styleId="136">
    <w:name w:val="引用 字符"/>
    <w:link w:val="135"/>
    <w:semiHidden/>
    <w:qFormat/>
    <w:uiPriority w:val="29"/>
    <w:rPr>
      <w:i/>
      <w:iCs/>
      <w:color w:val="000000"/>
      <w:sz w:val="24"/>
    </w:rPr>
  </w:style>
  <w:style w:type="character" w:customStyle="1" w:styleId="137">
    <w:name w:val="称呼 字符"/>
    <w:link w:val="30"/>
    <w:semiHidden/>
    <w:qFormat/>
    <w:uiPriority w:val="0"/>
    <w:rPr>
      <w:sz w:val="24"/>
    </w:rPr>
  </w:style>
  <w:style w:type="character" w:customStyle="1" w:styleId="138">
    <w:name w:val="签名 字符"/>
    <w:link w:val="58"/>
    <w:semiHidden/>
    <w:qFormat/>
    <w:uiPriority w:val="0"/>
    <w:rPr>
      <w:sz w:val="24"/>
    </w:rPr>
  </w:style>
  <w:style w:type="character" w:customStyle="1" w:styleId="139">
    <w:name w:val="副标题 字符"/>
    <w:link w:val="64"/>
    <w:semiHidden/>
    <w:qFormat/>
    <w:uiPriority w:val="0"/>
    <w:rPr>
      <w:rFonts w:ascii="Cambria" w:hAnsi="Cambria"/>
      <w:sz w:val="24"/>
      <w:szCs w:val="24"/>
    </w:rPr>
  </w:style>
  <w:style w:type="character" w:customStyle="1" w:styleId="140">
    <w:name w:val="标题 字符"/>
    <w:link w:val="84"/>
    <w:semiHidden/>
    <w:qFormat/>
    <w:uiPriority w:val="0"/>
    <w:rPr>
      <w:rFonts w:ascii="Cambria" w:hAnsi="Cambria"/>
      <w:b/>
      <w:bCs/>
      <w:kern w:val="28"/>
      <w:sz w:val="32"/>
      <w:szCs w:val="32"/>
    </w:rPr>
  </w:style>
  <w:style w:type="paragraph" w:customStyle="1" w:styleId="141">
    <w:name w:val="TOC 标题1"/>
    <w:basedOn w:val="3"/>
    <w:next w:val="1"/>
    <w:semiHidden/>
    <w:unhideWhenUsed/>
    <w:qFormat/>
    <w:uiPriority w:val="39"/>
    <w:pPr>
      <w:outlineLvl w:val="9"/>
    </w:pPr>
    <w:rPr>
      <w:rFonts w:ascii="Cambria" w:hAnsi="Cambria"/>
      <w:sz w:val="32"/>
      <w:szCs w:val="32"/>
    </w:rPr>
  </w:style>
  <w:style w:type="character" w:customStyle="1" w:styleId="142">
    <w:name w:val="未处理的提及1"/>
    <w:basedOn w:val="89"/>
    <w:semiHidden/>
    <w:unhideWhenUsed/>
    <w:qFormat/>
    <w:uiPriority w:val="99"/>
    <w:rPr>
      <w:color w:val="808080"/>
      <w:shd w:val="clear" w:color="auto" w:fill="E6E6E6"/>
    </w:rPr>
  </w:style>
  <w:style w:type="paragraph" w:customStyle="1" w:styleId="143">
    <w:name w:val="PubInfo"/>
    <w:basedOn w:val="1"/>
    <w:qFormat/>
    <w:uiPriority w:val="0"/>
    <w:pPr>
      <w:suppressAutoHyphens/>
      <w:jc w:val="center"/>
    </w:pPr>
    <w:rPr>
      <w:sz w:val="20"/>
      <w:lang w:eastAsia="ar-SA"/>
    </w:rPr>
  </w:style>
  <w:style w:type="paragraph" w:customStyle="1" w:styleId="144">
    <w:name w:val="DoiInfo"/>
    <w:basedOn w:val="1"/>
    <w:qFormat/>
    <w:uiPriority w:val="0"/>
    <w:pPr>
      <w:suppressAutoHyphens/>
      <w:jc w:val="center"/>
    </w:pPr>
    <w:rPr>
      <w:sz w:val="20"/>
      <w:lang w:eastAsia="ar-SA"/>
    </w:rPr>
  </w:style>
  <w:style w:type="table" w:customStyle="1" w:styleId="145">
    <w:name w:val="清单表 21"/>
    <w:basedOn w:val="88"/>
    <w:uiPriority w:val="0"/>
    <w:rPr>
      <w:rFonts w:eastAsia="Times New Roman"/>
    </w:rPr>
    <w:tblPr>
      <w:tblBorders>
        <w:top w:val="single" w:color="666666" w:sz="4" w:space="0"/>
        <w:bottom w:val="single" w:color="666666" w:sz="4" w:space="0"/>
        <w:insideH w:val="single" w:color="666666" w:sz="4" w:space="0"/>
      </w:tblBorders>
    </w:tblPr>
    <w:tcPr>
      <w:tcBorders>
        <w:top w:val="single" w:color="666666" w:sz="4" w:space="0"/>
        <w:left w:val="nil"/>
        <w:bottom w:val="single" w:color="666666" w:sz="4" w:space="0"/>
        <w:right w:val="nil"/>
      </w:tcBorders>
    </w:tcPr>
    <w:tblStylePr w:type="firstRow">
      <w:rPr>
        <w:rFonts w:hint="default" w:ascii="Times New Roman" w:hAnsi="Times New Roman" w:cs="Times New Roman"/>
        <w:b/>
        <w:bCs/>
      </w:rPr>
    </w:tblStylePr>
    <w:tblStylePr w:type="lastRow">
      <w:rPr>
        <w:rFonts w:hint="default" w:ascii="Times New Roman" w:hAnsi="Times New Roman" w:cs="Times New Roman"/>
        <w:b/>
        <w:bCs/>
      </w:rPr>
    </w:tblStylePr>
    <w:tblStylePr w:type="firstCol">
      <w:rPr>
        <w:rFonts w:hint="default" w:ascii="Times New Roman" w:hAnsi="Times New Roman" w:cs="Times New Roman"/>
        <w:b/>
        <w:bCs/>
      </w:rPr>
    </w:tblStylePr>
    <w:tblStylePr w:type="lastCol">
      <w:rPr>
        <w:rFonts w:hint="default" w:ascii="Times New Roman" w:hAnsi="Times New Roman" w:cs="Times New Roman"/>
        <w:b/>
        <w:bCs/>
      </w:rPr>
    </w:tblStylePr>
    <w:tblStylePr w:type="band1Vert">
      <w:tcPr>
        <w:shd w:val="clear" w:color="auto" w:fill="CCCCCC"/>
      </w:tcPr>
    </w:tblStylePr>
    <w:tblStylePr w:type="band1Horz">
      <w:tcPr>
        <w:shd w:val="clear" w:color="auto" w:fill="CCCCCC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2.tiff"/><Relationship Id="rId7" Type="http://schemas.openxmlformats.org/officeDocument/2006/relationships/image" Target="media/image1.tiff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4.xml"/><Relationship Id="rId12" Type="http://schemas.openxmlformats.org/officeDocument/2006/relationships/customXml" Target="../customXml/item3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8221A7F0343744B07CC2CED3D6F8EE" ma:contentTypeVersion="12" ma:contentTypeDescription="Create a new document." ma:contentTypeScope="" ma:versionID="4ed130d46c3bc80f8d043bccdf574eeb">
  <xsd:schema xmlns:xsd="http://www.w3.org/2001/XMLSchema" xmlns:xs="http://www.w3.org/2001/XMLSchema" xmlns:p="http://schemas.microsoft.com/office/2006/metadata/properties" xmlns:ns3="96858f5b-69cf-4d49-a520-6ae816db1d8d" xmlns:ns4="1867113f-8995-4870-a940-2b72f688d265" targetNamespace="http://schemas.microsoft.com/office/2006/metadata/properties" ma:root="true" ma:fieldsID="194ceea0314d884e28c6faa81920b7ec" ns3:_="" ns4:_="">
    <xsd:import namespace="96858f5b-69cf-4d49-a520-6ae816db1d8d"/>
    <xsd:import namespace="1867113f-8995-4870-a940-2b72f688d2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58f5b-69cf-4d49-a520-6ae816db1d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67113f-8995-4870-a940-2b72f688d2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06A6A5F-BF35-401C-A3A1-63045C831006}">
  <ds:schemaRefs/>
</ds:datastoreItem>
</file>

<file path=customXml/itemProps2.xml><?xml version="1.0" encoding="utf-8"?>
<ds:datastoreItem xmlns:ds="http://schemas.openxmlformats.org/officeDocument/2006/customXml" ds:itemID="{AB5FF057-7560-4F93-B4FC-2DD4905B3C68}">
  <ds:schemaRefs/>
</ds:datastoreItem>
</file>

<file path=customXml/itemProps3.xml><?xml version="1.0" encoding="utf-8"?>
<ds:datastoreItem xmlns:ds="http://schemas.openxmlformats.org/officeDocument/2006/customXml" ds:itemID="{78F523CB-42AC-406D-90D9-CA3AE16CA9D3}">
  <ds:schemaRefs/>
</ds:datastoreItem>
</file>

<file path=customXml/itemProps4.xml><?xml version="1.0" encoding="utf-8"?>
<ds:datastoreItem xmlns:ds="http://schemas.openxmlformats.org/officeDocument/2006/customXml" ds:itemID="{6876C972-A183-49AB-BF18-FB119101A46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AAAS</Company>
  <Pages>6</Pages>
  <Words>633</Words>
  <Characters>3876</Characters>
  <Lines>33</Lines>
  <Paragraphs>9</Paragraphs>
  <TotalTime>2</TotalTime>
  <ScaleCrop>false</ScaleCrop>
  <LinksUpToDate>false</LinksUpToDate>
  <CharactersWithSpaces>4362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2021-06-16T21:37:00Z</dcterms:created>
  <dc:creator>Brooks Hanson</dc:creator>
  <cp:lastModifiedBy>王文利</cp:lastModifiedBy>
  <cp:lastPrinted>2022-05-06T16:13:00Z</cp:lastPrinted>
  <dcterms:modified xsi:type="dcterms:W3CDTF">2022-07-21T15:38:25Z</dcterms:modified>
  <dc:title>Supporting Online Material for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0x0101000C8221A7F0343744B07CC2CED3D6F8EE</vt:lpwstr>
  </property>
  <property fmtid="{D5CDD505-2E9C-101B-9397-08002B2CF9AE}" pid="3" name="KSOProductBuildVer">
    <vt:lpwstr>2052-11.1.0.11875</vt:lpwstr>
  </property>
  <property fmtid="{D5CDD505-2E9C-101B-9397-08002B2CF9AE}" pid="4" name="ICV">
    <vt:lpwstr>C229860A5CF348A4A1631E7BD7E61F17</vt:lpwstr>
  </property>
  <property fmtid="{D5CDD505-2E9C-101B-9397-08002B2CF9AE}" pid="5" name="commondata">
    <vt:lpwstr>eyJoZGlkIjoiNzNjM2RmZjJlMGExYjc5ZjhmYWE3OTEzNTFiNmUzMTQifQ==</vt:lpwstr>
  </property>
</Properties>
</file>