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6F7" w:rsidRPr="0070732E" w:rsidRDefault="00E476F7" w:rsidP="00E476F7">
      <w:pPr>
        <w:bidi w:val="0"/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noProof/>
          <w:color w:val="000000" w:themeColor="text1"/>
          <w:sz w:val="20"/>
          <w:szCs w:val="20"/>
          <w:lang w:bidi="ar-SA"/>
        </w:rPr>
        <w:drawing>
          <wp:inline distT="0" distB="0" distL="0" distR="0" wp14:anchorId="03BB43CE" wp14:editId="4224F467">
            <wp:extent cx="6517178" cy="844573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2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2324" cy="8439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65F" w:rsidRDefault="00463483" w:rsidP="00E476F7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lastRenderedPageBreak/>
        <w:t xml:space="preserve">Figure </w:t>
      </w:r>
      <w:r w:rsidR="00E476F7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1</w:t>
      </w:r>
      <w:bookmarkStart w:id="0" w:name="_GoBack"/>
      <w:bookmarkEnd w:id="0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. Correlation analysis for AIP, CRI-I, NHC, AC, TYG,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Sd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-LDL and FBS (A); AIP, CRI-I, NHC, AC, TYG, TCA and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Sd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-LDL (B); FBS, NHC, AC and MDA (C); TCA and AOPP (D). Note: FBS: Fasting Blood Sugar;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sdLDL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Small dense low-density lipoprotein-cholesterol; TYG: triglyceride glucose index; CRI-1: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Castelli’s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Risk Index, AC: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atherogenic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coefficient, AIP: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Atherogenic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index of plasma; NHD: Non-HDL-Cholesterol, MDA:</w:t>
      </w:r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malondialdehyde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; AOPP: Advanced products of protein oxidation; TCA: Total antioxidant capacity.</w:t>
      </w:r>
    </w:p>
    <w:p w:rsidR="00E476F7" w:rsidRDefault="00E476F7">
      <w:pPr>
        <w:bidi w:val="0"/>
        <w:spacing w:after="200" w:line="276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br w:type="page"/>
      </w:r>
    </w:p>
    <w:p w:rsidR="00E476F7" w:rsidRDefault="00E476F7" w:rsidP="00E476F7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:rsidR="00E476F7" w:rsidRDefault="00E476F7" w:rsidP="00E476F7"/>
    <w:p w:rsidR="00E476F7" w:rsidRPr="0070732E" w:rsidRDefault="00463483" w:rsidP="00E476F7">
      <w:pPr>
        <w:bidi w:val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Table </w:t>
      </w:r>
      <w:r w:rsidR="00E476F7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S</w:t>
      </w: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1</w:t>
      </w:r>
      <w:r w:rsidR="00E476F7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 w:rsidR="00E476F7" w:rsidRPr="0070732E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 xml:space="preserve"> Biochemical properties, Clinical and </w:t>
      </w:r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Demographic characteristics</w:t>
      </w:r>
      <w:r w:rsidR="00E476F7" w:rsidRPr="0070732E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 xml:space="preserve"> </w:t>
      </w:r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in the control and patient groups</w:t>
      </w:r>
    </w:p>
    <w:tbl>
      <w:tblPr>
        <w:tblStyle w:val="TableGrid"/>
        <w:tblW w:w="907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3"/>
        <w:gridCol w:w="1039"/>
        <w:gridCol w:w="1066"/>
        <w:gridCol w:w="918"/>
        <w:gridCol w:w="1303"/>
        <w:gridCol w:w="1674"/>
      </w:tblGrid>
      <w:tr w:rsidR="00E476F7" w:rsidRPr="0070732E" w:rsidTr="00892796">
        <w:tc>
          <w:tcPr>
            <w:tcW w:w="3073" w:type="dxa"/>
            <w:tcBorders>
              <w:top w:val="single" w:sz="24" w:space="0" w:color="auto"/>
              <w:left w:val="single" w:sz="4" w:space="0" w:color="FFFFFF" w:themeColor="background1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Variables</w:t>
            </w:r>
          </w:p>
        </w:tc>
        <w:tc>
          <w:tcPr>
            <w:tcW w:w="2105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tabs>
                <w:tab w:val="left" w:pos="284"/>
              </w:tabs>
              <w:bidi w:val="0"/>
              <w:spacing w:line="256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Control (</w:t>
            </w:r>
            <w:r w:rsidRPr="0070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N</w:t>
            </w: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=50)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(mean ± SD)</w:t>
            </w:r>
          </w:p>
        </w:tc>
        <w:tc>
          <w:tcPr>
            <w:tcW w:w="222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tabs>
                <w:tab w:val="left" w:pos="284"/>
              </w:tabs>
              <w:bidi w:val="0"/>
              <w:spacing w:line="256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Patient</w:t>
            </w:r>
            <w:proofErr w:type="spellEnd"/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(</w:t>
            </w:r>
            <w:r w:rsidRPr="0070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N</w:t>
            </w: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=60)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(mean ± SD)</w:t>
            </w:r>
          </w:p>
        </w:tc>
        <w:tc>
          <w:tcPr>
            <w:tcW w:w="1674" w:type="dxa"/>
            <w:tcBorders>
              <w:top w:val="single" w:sz="24" w:space="0" w:color="auto"/>
              <w:bottom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P</w:t>
            </w: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value</w:t>
            </w:r>
            <w:proofErr w:type="spellEnd"/>
          </w:p>
        </w:tc>
      </w:tr>
      <w:tr w:rsidR="00E476F7" w:rsidRPr="0070732E" w:rsidTr="00892796">
        <w:tc>
          <w:tcPr>
            <w:tcW w:w="3073" w:type="dxa"/>
            <w:tcBorders>
              <w:top w:val="single" w:sz="24" w:space="0" w:color="auto"/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105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51.86 ± 11.87</w:t>
            </w:r>
          </w:p>
        </w:tc>
        <w:tc>
          <w:tcPr>
            <w:tcW w:w="2221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64.5 ±  12.73</w:t>
            </w:r>
          </w:p>
        </w:tc>
        <w:tc>
          <w:tcPr>
            <w:tcW w:w="1674" w:type="dxa"/>
            <w:tcBorders>
              <w:top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0.54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Weight (Kg)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76.2 ± 16.76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78.9 ±  10.36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0.037*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27.51 ±  5.68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28.33 ±  19.78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0.374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Systolic blood pressure (mmHg)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127.12 ±  15.87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145.68 ±  19.78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Diastolic blood pressure (mmHg)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77.7 ±  13.14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87.72 ±  9.67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FBS (mg/dl)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99.82 ± 21.46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141.8 ± 40.99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" w:eastAsia="en-GB"/>
              </w:rPr>
              <w:t>TC (mg/dl)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149.56± 56.62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193.45 ± 88.94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" w:eastAsia="en-GB"/>
              </w:rPr>
              <w:t>TG (mg/dl)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>118.92 ± 42.95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190.3 ± 88.94</w:t>
            </w: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  <w:lang w:val="es-ES"/>
              </w:rPr>
              <w:t xml:space="preserve"> 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 xml:space="preserve">HDL </w:t>
            </w: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(</w:t>
            </w: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mg/dl)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>40.06 ± 10.54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33.26±9.36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LDL (mg/dl)</w:t>
            </w:r>
          </w:p>
        </w:tc>
        <w:tc>
          <w:tcPr>
            <w:tcW w:w="2105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>86.76 ± 47.35</w:t>
            </w:r>
          </w:p>
        </w:tc>
        <w:tc>
          <w:tcPr>
            <w:tcW w:w="2221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s-ES"/>
              </w:rPr>
              <w:t>85.66 ± 32.26</w:t>
            </w:r>
          </w:p>
        </w:tc>
        <w:tc>
          <w:tcPr>
            <w:tcW w:w="1674" w:type="dxa"/>
            <w:tcBorders>
              <w:bottom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vMerge w:val="restart"/>
            <w:tcBorders>
              <w:top w:val="single" w:sz="24" w:space="0" w:color="auto"/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 xml:space="preserve">Frequency </w:t>
            </w:r>
          </w:p>
        </w:tc>
        <w:tc>
          <w:tcPr>
            <w:tcW w:w="2105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2221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674" w:type="dxa"/>
            <w:vMerge w:val="restart"/>
            <w:tcBorders>
              <w:top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s-ES" w:eastAsia="en-GB"/>
              </w:rPr>
              <w:t>P</w:t>
            </w: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s-ES" w:eastAsia="en-GB"/>
              </w:rPr>
              <w:t xml:space="preserve"> </w:t>
            </w:r>
            <w:proofErr w:type="spellStart"/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s-ES" w:eastAsia="en-GB"/>
              </w:rPr>
              <w:t>value</w:t>
            </w:r>
            <w:proofErr w:type="spellEnd"/>
          </w:p>
        </w:tc>
      </w:tr>
      <w:tr w:rsidR="00E476F7" w:rsidRPr="0070732E" w:rsidTr="00892796">
        <w:tc>
          <w:tcPr>
            <w:tcW w:w="3073" w:type="dxa"/>
            <w:vMerge/>
            <w:tcBorders>
              <w:left w:val="single" w:sz="4" w:space="0" w:color="FFFFFF" w:themeColor="background1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5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221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674" w:type="dxa"/>
            <w:vMerge/>
            <w:tcBorders>
              <w:bottom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E476F7" w:rsidRPr="0070732E" w:rsidTr="00892796">
        <w:tc>
          <w:tcPr>
            <w:tcW w:w="3073" w:type="dxa"/>
            <w:tcBorders>
              <w:top w:val="single" w:sz="24" w:space="0" w:color="auto"/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2105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 (22%)</w:t>
            </w:r>
          </w:p>
        </w:tc>
        <w:tc>
          <w:tcPr>
            <w:tcW w:w="2221" w:type="dxa"/>
            <w:gridSpan w:val="2"/>
            <w:tcBorders>
              <w:top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 (50%)</w:t>
            </w:r>
          </w:p>
        </w:tc>
        <w:tc>
          <w:tcPr>
            <w:tcW w:w="1674" w:type="dxa"/>
            <w:tcBorders>
              <w:top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Alcohol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 (5%)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0.249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Familial hypercholesterolemia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33 (66%)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44 (73.3%)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0.413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 (30%)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51 (85%)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Hyperlipidemia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 (28%)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 (65%)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Coronary artery disease</w:t>
            </w:r>
          </w:p>
        </w:tc>
        <w:tc>
          <w:tcPr>
            <w:tcW w:w="2105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 (4%)</w:t>
            </w:r>
          </w:p>
        </w:tc>
        <w:tc>
          <w:tcPr>
            <w:tcW w:w="2221" w:type="dxa"/>
            <w:gridSpan w:val="2"/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47 (78.3%)</w:t>
            </w:r>
          </w:p>
        </w:tc>
        <w:tc>
          <w:tcPr>
            <w:tcW w:w="1674" w:type="dxa"/>
            <w:tcBorders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c>
          <w:tcPr>
            <w:tcW w:w="3073" w:type="dxa"/>
            <w:tcBorders>
              <w:left w:val="single" w:sz="4" w:space="0" w:color="FFFFFF" w:themeColor="background1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"/>
              </w:rPr>
              <w:t>Chronic renal failure</w:t>
            </w:r>
          </w:p>
        </w:tc>
        <w:tc>
          <w:tcPr>
            <w:tcW w:w="2105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 (2%)</w:t>
            </w:r>
          </w:p>
        </w:tc>
        <w:tc>
          <w:tcPr>
            <w:tcW w:w="2221" w:type="dxa"/>
            <w:gridSpan w:val="2"/>
            <w:tcBorders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 (21.7%)</w:t>
            </w:r>
          </w:p>
        </w:tc>
        <w:tc>
          <w:tcPr>
            <w:tcW w:w="1674" w:type="dxa"/>
            <w:tcBorders>
              <w:bottom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E476F7" w:rsidRPr="0070732E" w:rsidTr="00892796">
        <w:trPr>
          <w:trHeight w:val="578"/>
        </w:trPr>
        <w:tc>
          <w:tcPr>
            <w:tcW w:w="3073" w:type="dxa"/>
            <w:tcBorders>
              <w:top w:val="single" w:sz="24" w:space="0" w:color="auto"/>
              <w:left w:val="single" w:sz="4" w:space="0" w:color="FFFFFF" w:themeColor="background1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>Gender</w:t>
            </w:r>
          </w:p>
        </w:tc>
        <w:tc>
          <w:tcPr>
            <w:tcW w:w="1039" w:type="dxa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>Female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25 (41.7%)</w:t>
            </w:r>
          </w:p>
        </w:tc>
        <w:tc>
          <w:tcPr>
            <w:tcW w:w="1066" w:type="dxa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>Male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35 (58.3%)</w:t>
            </w:r>
          </w:p>
        </w:tc>
        <w:tc>
          <w:tcPr>
            <w:tcW w:w="918" w:type="dxa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>Female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27 (54%)</w:t>
            </w:r>
          </w:p>
        </w:tc>
        <w:tc>
          <w:tcPr>
            <w:tcW w:w="1303" w:type="dxa"/>
            <w:tcBorders>
              <w:top w:val="single" w:sz="24" w:space="0" w:color="auto"/>
              <w:bottom w:val="single" w:sz="24" w:space="0" w:color="auto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>Male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 (46%)</w:t>
            </w:r>
          </w:p>
        </w:tc>
        <w:tc>
          <w:tcPr>
            <w:tcW w:w="1674" w:type="dxa"/>
            <w:tcBorders>
              <w:top w:val="single" w:sz="24" w:space="0" w:color="auto"/>
              <w:bottom w:val="single" w:sz="24" w:space="0" w:color="auto"/>
              <w:right w:val="nil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eastAsia="en-GB"/>
              </w:rPr>
            </w:pPr>
            <w:r w:rsidRPr="0070732E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eastAsia="en-GB"/>
              </w:rPr>
              <w:t>P</w:t>
            </w: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70732E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eastAsia="en-GB"/>
              </w:rPr>
              <w:t>value</w:t>
            </w:r>
          </w:p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eastAsia="en-GB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 w:eastAsia="en-GB"/>
              </w:rPr>
              <w:t>0.25</w:t>
            </w:r>
          </w:p>
        </w:tc>
      </w:tr>
    </w:tbl>
    <w:p w:rsidR="00E476F7" w:rsidRPr="0070732E" w:rsidRDefault="00E476F7" w:rsidP="00E476F7">
      <w:pPr>
        <w:pStyle w:val="Tabletitle"/>
        <w:spacing w:line="240" w:lineRule="auto"/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</w:pPr>
      <w:r w:rsidRPr="0070732E"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  <w:lang w:val="en-US" w:eastAsia="en-US"/>
        </w:rPr>
        <w:t>Note: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 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  <w:lang w:val="en-US" w:eastAsia="en-US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0.05, 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  <w:lang w:val="en-US" w:eastAsia="en-US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0.01, ***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  <w:lang w:val="en-US" w:eastAsia="en-US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  <w:lang w:val="en-US" w:eastAsia="en-US"/>
        </w:rPr>
        <w:t xml:space="preserve">0.001. BP: Blood pressure; FBS: Fasting blood sugar; BMI: Body mass index; TC: Total cholesterol; TG: Triglycerides; HDL: High-density lipoprotein; LDL: Low-density lipoprotein. </w:t>
      </w:r>
    </w:p>
    <w:p w:rsidR="00E476F7" w:rsidRPr="0070732E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18"/>
          <w:szCs w:val="18"/>
          <w:lang w:bidi="ar-SA"/>
        </w:rPr>
      </w:pP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br w:type="page"/>
      </w:r>
    </w:p>
    <w:p w:rsidR="00E476F7" w:rsidRPr="0070732E" w:rsidRDefault="00463483" w:rsidP="00E476F7">
      <w:pPr>
        <w:bidi w:val="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lastRenderedPageBreak/>
        <w:t xml:space="preserve">Table </w:t>
      </w:r>
      <w:r w:rsidR="00E476F7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2</w:t>
      </w:r>
      <w:r w:rsidR="00E476F7" w:rsidRPr="0070732E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Comparison of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sdLDL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, MDA, TCA and AOPP and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atherogenic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indices in the control and patient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8"/>
        <w:gridCol w:w="1984"/>
        <w:gridCol w:w="2410"/>
        <w:gridCol w:w="1843"/>
      </w:tblGrid>
      <w:tr w:rsidR="00E476F7" w:rsidRPr="0070732E" w:rsidTr="00892796">
        <w:trPr>
          <w:trHeight w:val="163"/>
        </w:trPr>
        <w:tc>
          <w:tcPr>
            <w:tcW w:w="1418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Factors</w:t>
            </w:r>
          </w:p>
        </w:tc>
        <w:tc>
          <w:tcPr>
            <w:tcW w:w="1984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control group</w:t>
            </w:r>
          </w:p>
        </w:tc>
        <w:tc>
          <w:tcPr>
            <w:tcW w:w="2410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patient group</w:t>
            </w:r>
          </w:p>
        </w:tc>
        <w:tc>
          <w:tcPr>
            <w:tcW w:w="1843" w:type="dxa"/>
            <w:tcBorders>
              <w:top w:val="single" w:sz="24" w:space="0" w:color="000000" w:themeColor="text1"/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P</w:t>
            </w:r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70732E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value</w:t>
            </w:r>
            <w:proofErr w:type="spellEnd"/>
          </w:p>
        </w:tc>
      </w:tr>
      <w:tr w:rsidR="00E476F7" w:rsidRPr="0070732E" w:rsidTr="00892796">
        <w:tc>
          <w:tcPr>
            <w:tcW w:w="1418" w:type="dxa"/>
            <w:tcBorders>
              <w:top w:val="single" w:sz="2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proofErr w:type="spellStart"/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sdLDL</w:t>
            </w:r>
            <w:proofErr w:type="spellEnd"/>
          </w:p>
        </w:tc>
        <w:tc>
          <w:tcPr>
            <w:tcW w:w="1984" w:type="dxa"/>
            <w:tcBorders>
              <w:top w:val="single" w:sz="2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13.51 ±  5.58</w:t>
            </w:r>
          </w:p>
        </w:tc>
        <w:tc>
          <w:tcPr>
            <w:tcW w:w="2410" w:type="dxa"/>
            <w:tcBorders>
              <w:top w:val="single" w:sz="2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31.47 ± 11.71</w:t>
            </w:r>
          </w:p>
        </w:tc>
        <w:tc>
          <w:tcPr>
            <w:tcW w:w="1843" w:type="dxa"/>
            <w:tcBorders>
              <w:top w:val="single" w:sz="2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MDA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28.62 ± 14.68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41.79 ± 24.75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TCA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831.56 ± 331.14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606.77 ± 238.20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rPr>
          <w:trHeight w:val="277"/>
        </w:trPr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AOPP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45.47 ± 17.75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56.94 ± 27.37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&lt;0.048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</w:t>
            </w:r>
          </w:p>
        </w:tc>
      </w:tr>
      <w:tr w:rsidR="00E476F7" w:rsidRPr="0070732E" w:rsidTr="00892796">
        <w:trPr>
          <w:trHeight w:val="183"/>
        </w:trPr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AIP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0.097 ± 0.22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0.35 ± 0.23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CRI-I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3.29 ± 1.76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6.22 ± 3.75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CRI-II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2.42 ± 1.63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2.74 ± 1.21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0.088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NHC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109.5 ± 56.94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160.18 ± 73.21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AC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2.99 ± 1.65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5.03 ± 2.26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E476F7" w:rsidRPr="0070732E" w:rsidTr="00892796">
        <w:tc>
          <w:tcPr>
            <w:tcW w:w="1418" w:type="dxa"/>
            <w:tcBorders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TYG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8.60 ± 0.43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9.36 ± 0.53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  <w:bottom w:val="single" w:sz="24" w:space="0" w:color="000000" w:themeColor="text1"/>
              <w:right w:val="single" w:sz="4" w:space="0" w:color="FFFFFF" w:themeColor="background1"/>
            </w:tcBorders>
          </w:tcPr>
          <w:p w:rsidR="00E476F7" w:rsidRPr="0070732E" w:rsidRDefault="00E476F7" w:rsidP="0089279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</w:tbl>
    <w:p w:rsidR="00E476F7" w:rsidRPr="0070732E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  <w:r w:rsidRPr="0070732E"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  <w:t>Note: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0.05, 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0.01, ***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0.001.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sdLDL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: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Small dense low-density lipoprotein-cholesterol; 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MDA: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  <w:rtl/>
        </w:rPr>
        <w:t xml:space="preserve"> </w:t>
      </w:r>
      <w:proofErr w:type="spellStart"/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malondialdehyde</w:t>
      </w:r>
      <w:proofErr w:type="spellEnd"/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TCA: Total antioxidant capacity; AOPP: Advanced products of protein oxidation; 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AIP: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Atherogenic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index of plasma; CRI-1: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Castelli’s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Risk Index, CRI-2: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Low density lipoprotein cholesterol/</w:t>
      </w:r>
      <w:proofErr w:type="spellStart"/>
      <w:proofErr w:type="gram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HDLc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.NHD</w:t>
      </w:r>
      <w:proofErr w:type="gram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: Non-HDL-Cholesterol, AC: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atherogenic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coefficient, TYG: triglyceride glucose index</w:t>
      </w:r>
    </w:p>
    <w:p w:rsidR="00E476F7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</w:p>
    <w:p w:rsidR="00E476F7" w:rsidRDefault="00E476F7">
      <w:pPr>
        <w:bidi w:val="0"/>
        <w:spacing w:after="200" w:line="276" w:lineRule="auto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  <w:r>
        <w:rPr>
          <w:rFonts w:asciiTheme="majorBidi" w:eastAsia="Calibri" w:hAnsiTheme="majorBidi" w:cstheme="majorBidi"/>
          <w:color w:val="000000" w:themeColor="text1"/>
          <w:sz w:val="18"/>
          <w:szCs w:val="18"/>
        </w:rPr>
        <w:br w:type="page"/>
      </w:r>
    </w:p>
    <w:p w:rsidR="00E476F7" w:rsidRPr="0070732E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</w:p>
    <w:p w:rsidR="00E476F7" w:rsidRPr="0070732E" w:rsidRDefault="00463483" w:rsidP="00E476F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Table </w:t>
      </w:r>
      <w:r w:rsidR="00E476F7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3</w:t>
      </w:r>
      <w:r w:rsidR="00E476F7" w:rsidRPr="0070732E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ROC curve analysis using </w:t>
      </w:r>
      <w:proofErr w:type="spellStart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Sd</w:t>
      </w:r>
      <w:proofErr w:type="spellEnd"/>
      <w:r w:rsidR="00E476F7" w:rsidRPr="0070732E">
        <w:rPr>
          <w:rFonts w:asciiTheme="majorBidi" w:hAnsiTheme="majorBidi" w:cstheme="majorBidi"/>
          <w:color w:val="000000" w:themeColor="text1"/>
          <w:sz w:val="20"/>
          <w:szCs w:val="20"/>
        </w:rPr>
        <w:t>-LDL, TCA, MDA, AOPP and atherosclerosis markers to distinguish the different groups in Control and patients group.</w:t>
      </w:r>
    </w:p>
    <w:tbl>
      <w:tblPr>
        <w:tblStyle w:val="LightShading"/>
        <w:tblW w:w="10173" w:type="dxa"/>
        <w:tblLayout w:type="fixed"/>
        <w:tblLook w:val="04A0" w:firstRow="1" w:lastRow="0" w:firstColumn="1" w:lastColumn="0" w:noHBand="0" w:noVBand="1"/>
      </w:tblPr>
      <w:tblGrid>
        <w:gridCol w:w="1134"/>
        <w:gridCol w:w="890"/>
        <w:gridCol w:w="953"/>
        <w:gridCol w:w="1208"/>
        <w:gridCol w:w="890"/>
        <w:gridCol w:w="1146"/>
        <w:gridCol w:w="1272"/>
        <w:gridCol w:w="1687"/>
        <w:gridCol w:w="993"/>
      </w:tblGrid>
      <w:tr w:rsidR="00E476F7" w:rsidRPr="0070732E" w:rsidTr="008927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400" w:lineRule="atLeas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0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Area</w:t>
            </w:r>
          </w:p>
        </w:tc>
        <w:tc>
          <w:tcPr>
            <w:tcW w:w="95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Std. Error</w:t>
            </w:r>
          </w:p>
        </w:tc>
        <w:tc>
          <w:tcPr>
            <w:tcW w:w="1208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2036" w:type="dxa"/>
            <w:gridSpan w:val="2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40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1272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sensitivity</w:t>
            </w:r>
          </w:p>
        </w:tc>
        <w:tc>
          <w:tcPr>
            <w:tcW w:w="1687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Specificity</w:t>
            </w:r>
          </w:p>
        </w:tc>
        <w:tc>
          <w:tcPr>
            <w:tcW w:w="99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  <w:p w:rsidR="00E476F7" w:rsidRPr="0070732E" w:rsidRDefault="00E476F7" w:rsidP="00892796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Cut-Off Point</w:t>
            </w:r>
          </w:p>
        </w:tc>
      </w:tr>
      <w:tr w:rsidR="00E476F7" w:rsidRPr="0070732E" w:rsidTr="00892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400" w:lineRule="atLeast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3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08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0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40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Lower Bound</w:t>
            </w:r>
          </w:p>
        </w:tc>
        <w:tc>
          <w:tcPr>
            <w:tcW w:w="1146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40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Upper Bound</w:t>
            </w:r>
          </w:p>
        </w:tc>
        <w:tc>
          <w:tcPr>
            <w:tcW w:w="1272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E476F7" w:rsidRPr="0070732E" w:rsidTr="00892796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Sd</w:t>
            </w:r>
            <w:proofErr w:type="spellEnd"/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-LDL</w:t>
            </w:r>
          </w:p>
        </w:tc>
        <w:tc>
          <w:tcPr>
            <w:tcW w:w="890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0.924</w:t>
            </w:r>
          </w:p>
        </w:tc>
        <w:tc>
          <w:tcPr>
            <w:tcW w:w="953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1208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0.879</w:t>
            </w:r>
          </w:p>
        </w:tc>
        <w:tc>
          <w:tcPr>
            <w:tcW w:w="1146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0.969</w:t>
            </w:r>
          </w:p>
        </w:tc>
        <w:tc>
          <w:tcPr>
            <w:tcW w:w="1272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64.41±33.87</w:t>
            </w:r>
          </w:p>
        </w:tc>
        <w:tc>
          <w:tcPr>
            <w:tcW w:w="1687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73.84±32.62</w:t>
            </w:r>
          </w:p>
        </w:tc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</w:t>
            </w:r>
          </w:p>
        </w:tc>
      </w:tr>
      <w:tr w:rsidR="00E476F7" w:rsidRPr="0070732E" w:rsidTr="00892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TYG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0.866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0.799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0.932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63.75±30.32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72.10±31.23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</w:tr>
      <w:tr w:rsidR="00E476F7" w:rsidRPr="0070732E" w:rsidTr="00892796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CRI-I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0.772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0.685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0.859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61.64±29.45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65.20±30.78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</w:tr>
      <w:tr w:rsidR="00E476F7" w:rsidRPr="0070732E" w:rsidTr="00892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AC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0.770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0.682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0.858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62.57±29.5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64.26±29.61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</w:tr>
      <w:tr w:rsidR="00E476F7" w:rsidRPr="0070732E" w:rsidTr="00892796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AIP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0.769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0.044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0.682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0.855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63.60±30.99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61.40±33.40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</w:t>
            </w:r>
          </w:p>
        </w:tc>
      </w:tr>
      <w:tr w:rsidR="00E476F7" w:rsidRPr="0070732E" w:rsidTr="00892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NHC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0.709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0.049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0.613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0.805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58.33±29.85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62.47±30.43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130</w:t>
            </w:r>
          </w:p>
        </w:tc>
      </w:tr>
      <w:tr w:rsidR="00E476F7" w:rsidRPr="0070732E" w:rsidTr="00892796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TCA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0.708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0.049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0.611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0.805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57.79±29.66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61.58±31.60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560</w:t>
            </w:r>
          </w:p>
        </w:tc>
      </w:tr>
      <w:tr w:rsidR="00E476F7" w:rsidRPr="0070732E" w:rsidTr="00892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MDA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0.654</w:t>
            </w:r>
          </w:p>
        </w:tc>
        <w:tc>
          <w:tcPr>
            <w:tcW w:w="953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1208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0.006**</w:t>
            </w:r>
          </w:p>
        </w:tc>
        <w:tc>
          <w:tcPr>
            <w:tcW w:w="890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0.553</w:t>
            </w:r>
          </w:p>
        </w:tc>
        <w:tc>
          <w:tcPr>
            <w:tcW w:w="1146" w:type="dxa"/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0.755</w:t>
            </w:r>
          </w:p>
        </w:tc>
        <w:tc>
          <w:tcPr>
            <w:tcW w:w="1272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55.62±28.75</w:t>
            </w:r>
          </w:p>
        </w:tc>
        <w:tc>
          <w:tcPr>
            <w:tcW w:w="1687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59.27±31.87</w:t>
            </w:r>
          </w:p>
        </w:tc>
        <w:tc>
          <w:tcPr>
            <w:tcW w:w="993" w:type="dxa"/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</w:t>
            </w:r>
          </w:p>
        </w:tc>
      </w:tr>
      <w:tr w:rsidR="00E476F7" w:rsidRPr="0070732E" w:rsidTr="00892796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AOPP</w:t>
            </w:r>
          </w:p>
        </w:tc>
        <w:tc>
          <w:tcPr>
            <w:tcW w:w="890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0.610</w:t>
            </w:r>
          </w:p>
        </w:tc>
        <w:tc>
          <w:tcPr>
            <w:tcW w:w="953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1208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0.048*</w:t>
            </w:r>
          </w:p>
        </w:tc>
        <w:tc>
          <w:tcPr>
            <w:tcW w:w="890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0.505</w:t>
            </w:r>
          </w:p>
        </w:tc>
        <w:tc>
          <w:tcPr>
            <w:tcW w:w="1146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0.715</w:t>
            </w:r>
          </w:p>
        </w:tc>
        <w:tc>
          <w:tcPr>
            <w:tcW w:w="1272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53.31±28.67</w:t>
            </w:r>
          </w:p>
        </w:tc>
        <w:tc>
          <w:tcPr>
            <w:tcW w:w="1687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57.83±30.93</w:t>
            </w:r>
          </w:p>
        </w:tc>
        <w:tc>
          <w:tcPr>
            <w:tcW w:w="993" w:type="dxa"/>
            <w:tcBorders>
              <w:bottom w:val="single" w:sz="24" w:space="0" w:color="auto"/>
            </w:tcBorders>
            <w:shd w:val="clear" w:color="auto" w:fill="auto"/>
          </w:tcPr>
          <w:p w:rsidR="00E476F7" w:rsidRPr="0070732E" w:rsidRDefault="00E476F7" w:rsidP="00892796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70732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</w:t>
            </w:r>
          </w:p>
        </w:tc>
      </w:tr>
    </w:tbl>
    <w:p w:rsidR="00E476F7" w:rsidRPr="0070732E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  <w:r w:rsidRPr="0070732E"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  <w:t>Note: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0.05, 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0.01, *** </w:t>
      </w:r>
      <w:r w:rsidRPr="0070732E">
        <w:rPr>
          <w:rFonts w:asciiTheme="majorBidi" w:eastAsia="Calibri" w:hAnsiTheme="majorBidi" w:cstheme="majorBidi"/>
          <w:i/>
          <w:iCs/>
          <w:color w:val="000000" w:themeColor="text1"/>
          <w:sz w:val="18"/>
          <w:szCs w:val="18"/>
        </w:rPr>
        <w:t>P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value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&lt;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0.001.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sdLDL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: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Small dense low-density lipoprotein-cholesterol; TYG: triglyceride glucose index; CRI-1: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Castelli’s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Risk Index, AC: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atherogenic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coefficient, AIP: </w:t>
      </w:r>
      <w:proofErr w:type="spellStart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Atherogenic</w:t>
      </w:r>
      <w:proofErr w:type="spellEnd"/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index of plasma; NHD: Non-HDL-Cholesterol, 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TCA: Total antioxidant capacity; MDA:</w:t>
      </w:r>
      <w:r w:rsidRPr="0070732E">
        <w:rPr>
          <w:rFonts w:asciiTheme="majorBidi" w:hAnsiTheme="majorBidi" w:cstheme="majorBidi"/>
          <w:color w:val="000000" w:themeColor="text1"/>
          <w:sz w:val="18"/>
          <w:szCs w:val="18"/>
          <w:rtl/>
        </w:rPr>
        <w:t xml:space="preserve"> </w:t>
      </w:r>
      <w:proofErr w:type="spellStart"/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malondialdehyde</w:t>
      </w:r>
      <w:proofErr w:type="spellEnd"/>
      <w:r w:rsidRPr="0070732E">
        <w:rPr>
          <w:rFonts w:asciiTheme="majorBidi" w:hAnsiTheme="majorBidi" w:cstheme="majorBidi"/>
          <w:color w:val="000000" w:themeColor="text1"/>
          <w:sz w:val="18"/>
          <w:szCs w:val="18"/>
        </w:rPr>
        <w:t>; AOPP: Advanced products of protein oxidation</w:t>
      </w:r>
      <w:r w:rsidRPr="0070732E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. </w:t>
      </w:r>
    </w:p>
    <w:p w:rsidR="00E476F7" w:rsidRPr="0070732E" w:rsidRDefault="00E476F7" w:rsidP="00E476F7">
      <w:pPr>
        <w:bidi w:val="0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p w:rsidR="00E476F7" w:rsidRDefault="00E476F7" w:rsidP="00E476F7"/>
    <w:sectPr w:rsidR="00E47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611"/>
    <w:rsid w:val="0016265F"/>
    <w:rsid w:val="00345335"/>
    <w:rsid w:val="003C4611"/>
    <w:rsid w:val="00463483"/>
    <w:rsid w:val="004B14B1"/>
    <w:rsid w:val="00E4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381BD"/>
  <w15:docId w15:val="{613CB6BD-B5B8-4A34-A6EB-7CF77CE5F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F7"/>
    <w:pPr>
      <w:bidi/>
      <w:spacing w:after="160" w:line="259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6F7"/>
    <w:rPr>
      <w:rFonts w:ascii="Tahoma" w:hAnsi="Tahoma" w:cs="Tahoma"/>
      <w:sz w:val="16"/>
      <w:szCs w:val="16"/>
      <w:lang w:bidi="fa-IR"/>
    </w:rPr>
  </w:style>
  <w:style w:type="table" w:styleId="TableGrid">
    <w:name w:val="Table Grid"/>
    <w:basedOn w:val="TableNormal"/>
    <w:uiPriority w:val="39"/>
    <w:rsid w:val="00E476F7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basedOn w:val="Normal"/>
    <w:next w:val="Normal"/>
    <w:qFormat/>
    <w:rsid w:val="00E476F7"/>
    <w:pPr>
      <w:bidi w:val="0"/>
      <w:spacing w:before="240"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table" w:styleId="LightShading">
    <w:name w:val="Light Shading"/>
    <w:basedOn w:val="TableNormal"/>
    <w:uiPriority w:val="60"/>
    <w:rsid w:val="00E476F7"/>
    <w:pPr>
      <w:spacing w:after="0" w:line="240" w:lineRule="auto"/>
    </w:pPr>
    <w:rPr>
      <w:color w:val="000000" w:themeColor="text1" w:themeShade="BF"/>
      <w:lang w:bidi="fa-I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k1</cp:lastModifiedBy>
  <cp:revision>2</cp:revision>
  <dcterms:created xsi:type="dcterms:W3CDTF">2022-08-02T18:06:00Z</dcterms:created>
  <dcterms:modified xsi:type="dcterms:W3CDTF">2022-08-02T18:06:00Z</dcterms:modified>
</cp:coreProperties>
</file>