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0480E" w14:textId="77777777" w:rsidR="00456B2A" w:rsidRPr="00AB27DE" w:rsidRDefault="00456B2A" w:rsidP="00456B2A">
      <w:pPr>
        <w:jc w:val="both"/>
        <w:rPr>
          <w:rFonts w:ascii="Times New Roman" w:hAnsi="Times New Roman" w:cs="Times New Roman"/>
          <w:b/>
          <w:bCs/>
          <w:u w:val="single"/>
          <w:lang w:val="en-US"/>
        </w:rPr>
      </w:pPr>
    </w:p>
    <w:p w14:paraId="6AC90797" w14:textId="77777777" w:rsidR="00590D16" w:rsidRPr="00C732EB" w:rsidRDefault="00590D16" w:rsidP="00456B2A">
      <w:pPr>
        <w:jc w:val="both"/>
        <w:rPr>
          <w:rFonts w:ascii="Times New Roman" w:hAnsi="Times New Roman" w:cs="Times New Roman"/>
          <w:b/>
          <w:bCs/>
          <w:lang w:val="en-US"/>
        </w:rPr>
      </w:pPr>
      <w:r w:rsidRPr="00590D16">
        <w:rPr>
          <w:rFonts w:ascii="Times New Roman" w:hAnsi="Times New Roman" w:cs="Times New Roman"/>
          <w:b/>
          <w:bCs/>
          <w:lang w:val="en-US"/>
        </w:rPr>
        <w:t>APPENDIX S1: SUPPLEMENTARY MATERIALS AND METHODS</w:t>
      </w:r>
    </w:p>
    <w:p w14:paraId="3D352923" w14:textId="77777777" w:rsidR="00456B2A" w:rsidRPr="00590D16" w:rsidRDefault="00456B2A" w:rsidP="00C732EB">
      <w:pPr>
        <w:spacing w:before="240" w:after="240" w:line="480" w:lineRule="auto"/>
        <w:jc w:val="both"/>
        <w:rPr>
          <w:rFonts w:ascii="Times New Roman" w:hAnsi="Times New Roman" w:cs="Times New Roman"/>
          <w:b/>
          <w:u w:val="single"/>
          <w:lang w:val="en-GB"/>
        </w:rPr>
      </w:pPr>
      <w:r w:rsidRPr="00590D16">
        <w:rPr>
          <w:rFonts w:ascii="Times New Roman" w:hAnsi="Times New Roman" w:cs="Times New Roman"/>
          <w:b/>
          <w:u w:val="single"/>
          <w:lang w:val="en-GB"/>
        </w:rPr>
        <w:t xml:space="preserve">Patients and </w:t>
      </w:r>
      <w:r w:rsidRPr="00590D16">
        <w:rPr>
          <w:rFonts w:ascii="Times New Roman" w:hAnsi="Times New Roman" w:cs="Times New Roman"/>
          <w:b/>
          <w:u w:val="single"/>
          <w:lang w:val="en-US"/>
        </w:rPr>
        <w:t>tumor</w:t>
      </w:r>
      <w:r w:rsidRPr="00590D16">
        <w:rPr>
          <w:rFonts w:ascii="Times New Roman" w:hAnsi="Times New Roman" w:cs="Times New Roman"/>
          <w:b/>
          <w:u w:val="single"/>
          <w:lang w:val="en-GB"/>
        </w:rPr>
        <w:t xml:space="preserve"> samples</w:t>
      </w:r>
    </w:p>
    <w:p w14:paraId="3B77F22A" w14:textId="77777777" w:rsidR="00456B2A" w:rsidRPr="00AB27DE" w:rsidRDefault="00456B2A" w:rsidP="00456B2A">
      <w:pPr>
        <w:spacing w:after="240" w:line="480" w:lineRule="auto"/>
        <w:jc w:val="both"/>
        <w:rPr>
          <w:rFonts w:ascii="Times New Roman" w:hAnsi="Times New Roman" w:cs="Times New Roman"/>
          <w:b/>
          <w:i/>
          <w:lang w:val="en-GB"/>
        </w:rPr>
      </w:pPr>
      <w:r w:rsidRPr="00AB27DE">
        <w:rPr>
          <w:rFonts w:ascii="Times New Roman" w:hAnsi="Times New Roman" w:cs="Times New Roman"/>
          <w:lang w:val="en-US"/>
        </w:rPr>
        <w:t xml:space="preserve">A total of 88 fixed and formalin paraffin embedded (FFPE) tissue samples were obtained </w:t>
      </w:r>
      <w:r w:rsidR="00487AC2">
        <w:rPr>
          <w:rFonts w:ascii="Times New Roman" w:hAnsi="Times New Roman" w:cs="Times New Roman"/>
          <w:lang w:val="en-US"/>
        </w:rPr>
        <w:t>from 53 patients diagnosed with stage III and</w:t>
      </w:r>
      <w:r w:rsidR="00487AC2" w:rsidRPr="00487AC2">
        <w:rPr>
          <w:rFonts w:ascii="Times New Roman" w:hAnsi="Times New Roman" w:cs="Times New Roman"/>
          <w:lang w:val="en-US"/>
        </w:rPr>
        <w:t xml:space="preserve"> IV melanoma </w:t>
      </w:r>
      <w:r w:rsidR="00487AC2">
        <w:rPr>
          <w:rFonts w:ascii="Times New Roman" w:hAnsi="Times New Roman" w:cs="Times New Roman"/>
          <w:lang w:val="en-US"/>
        </w:rPr>
        <w:t>(</w:t>
      </w:r>
      <w:r w:rsidR="00487AC2" w:rsidRPr="005D7C26">
        <w:rPr>
          <w:rFonts w:ascii="Times New Roman" w:hAnsi="Times New Roman" w:cs="Times New Roman"/>
          <w:lang w:val="en-US"/>
        </w:rPr>
        <w:t>according to Amer</w:t>
      </w:r>
      <w:r w:rsidR="00487AC2">
        <w:rPr>
          <w:rFonts w:ascii="Times New Roman" w:hAnsi="Times New Roman" w:cs="Times New Roman"/>
          <w:lang w:val="en-US"/>
        </w:rPr>
        <w:t>ican Joint Committee on Cancer, AJCC)</w:t>
      </w:r>
      <w:r w:rsidR="00487AC2" w:rsidRPr="00AB27DE">
        <w:rPr>
          <w:rFonts w:ascii="Times New Roman" w:hAnsi="Times New Roman" w:cs="Times New Roman"/>
          <w:lang w:val="en-US"/>
        </w:rPr>
        <w:t xml:space="preserve"> </w:t>
      </w:r>
      <w:r w:rsidR="00487AC2">
        <w:rPr>
          <w:rFonts w:ascii="Times New Roman" w:hAnsi="Times New Roman" w:cs="Times New Roman"/>
          <w:lang w:val="en-US"/>
        </w:rPr>
        <w:t>at</w:t>
      </w:r>
      <w:r w:rsidRPr="00AB27DE">
        <w:rPr>
          <w:rFonts w:ascii="Times New Roman" w:hAnsi="Times New Roman" w:cs="Times New Roman"/>
          <w:lang w:val="en-US"/>
        </w:rPr>
        <w:t xml:space="preserve"> Hospital Universitario 12 de Octubre from 2002 to 2020</w:t>
      </w:r>
      <w:r w:rsidR="00487AC2">
        <w:rPr>
          <w:rFonts w:ascii="Times New Roman" w:hAnsi="Times New Roman" w:cs="Times New Roman"/>
          <w:lang w:val="en-US"/>
        </w:rPr>
        <w:t xml:space="preserve">. </w:t>
      </w:r>
      <w:r w:rsidRPr="00AB27DE">
        <w:rPr>
          <w:rFonts w:ascii="Times New Roman" w:hAnsi="Times New Roman" w:cs="Times New Roman"/>
          <w:lang w:val="en-US"/>
        </w:rPr>
        <w:t>Among these patients, 35 participated with paired samples of primary melanoma and their corresponding metastasis. Of the remaining 18, only one sample per patient was available (3 primary melanoma and 15 metastatic melanomas). In order to confirm and select the most representative tumoral regions, FFPE tissue samples were evaluated by two dermatopathologists (MCGR and JLRP) using hematoxylin-eosin staining, discarding those samples with large amounts of melanin or necrosis that could interfere with the molecular techniques.  In addition, peripheral blood samples were collected from 25 out of the 53 patients. These samples were taken after the recurrence of the disease (development of metastasis), but before the onset of systemic treatment in patients.</w:t>
      </w:r>
    </w:p>
    <w:p w14:paraId="039215EB" w14:textId="77777777" w:rsidR="00456B2A" w:rsidRPr="00AB27DE" w:rsidRDefault="00456B2A" w:rsidP="00456B2A">
      <w:pPr>
        <w:spacing w:line="480" w:lineRule="auto"/>
        <w:jc w:val="both"/>
        <w:rPr>
          <w:rFonts w:ascii="Times New Roman" w:hAnsi="Times New Roman" w:cs="Times New Roman"/>
          <w:lang w:val="en-US"/>
        </w:rPr>
      </w:pPr>
      <w:r w:rsidRPr="00AB27DE">
        <w:rPr>
          <w:rFonts w:ascii="Times New Roman" w:hAnsi="Times New Roman" w:cs="Times New Roman"/>
          <w:lang w:val="en-US"/>
        </w:rPr>
        <w:t>This study was approved by the Scientific and Ethical Committee of Hospital 12 de Octubre and all patients signed the informed consent to be included in the study. The samples were collected from the Biobank of Hospital 12 de Octubre. The clinical, histological and molecular data of the patients is detailed in Supplementary material (</w:t>
      </w:r>
      <w:r w:rsidR="0001562A" w:rsidRPr="00BD742E">
        <w:rPr>
          <w:rFonts w:ascii="Times New Roman" w:hAnsi="Times New Roman" w:cs="Times New Roman"/>
          <w:lang w:val="en-US"/>
        </w:rPr>
        <w:t>Table S1</w:t>
      </w:r>
      <w:r w:rsidRPr="00AB27DE">
        <w:rPr>
          <w:rFonts w:ascii="Times New Roman" w:hAnsi="Times New Roman" w:cs="Times New Roman"/>
          <w:lang w:val="en-US"/>
        </w:rPr>
        <w:t>).</w:t>
      </w:r>
    </w:p>
    <w:p w14:paraId="165F97FD" w14:textId="77777777" w:rsidR="00456B2A" w:rsidRPr="00AB27DE" w:rsidRDefault="00456B2A" w:rsidP="00456B2A">
      <w:pPr>
        <w:spacing w:after="240" w:line="480" w:lineRule="auto"/>
        <w:jc w:val="both"/>
        <w:rPr>
          <w:rFonts w:ascii="Times New Roman" w:hAnsi="Times New Roman" w:cs="Times New Roman"/>
          <w:b/>
          <w:u w:val="single"/>
          <w:lang w:val="en-US"/>
        </w:rPr>
      </w:pPr>
      <w:r w:rsidRPr="00AB27DE">
        <w:rPr>
          <w:rFonts w:ascii="Times New Roman" w:hAnsi="Times New Roman" w:cs="Times New Roman"/>
          <w:b/>
          <w:u w:val="single"/>
          <w:lang w:val="en-US"/>
        </w:rPr>
        <w:t>Nucleic acids extraction</w:t>
      </w:r>
    </w:p>
    <w:p w14:paraId="6C56808D" w14:textId="77777777" w:rsidR="00456B2A" w:rsidRPr="00AB27DE" w:rsidRDefault="00456B2A" w:rsidP="00456B2A">
      <w:pPr>
        <w:spacing w:after="240" w:line="480" w:lineRule="auto"/>
        <w:jc w:val="both"/>
        <w:rPr>
          <w:rFonts w:ascii="Times New Roman" w:hAnsi="Times New Roman" w:cs="Times New Roman"/>
          <w:lang w:val="en-US"/>
        </w:rPr>
      </w:pPr>
      <w:r w:rsidRPr="00AB27DE">
        <w:rPr>
          <w:rFonts w:ascii="Times New Roman" w:hAnsi="Times New Roman" w:cs="Times New Roman"/>
          <w:lang w:val="en-US"/>
        </w:rPr>
        <w:t xml:space="preserve">Genomic DNA and mRNA from FFPE tissue sections were extracted by using the CLART HPV4 extraction kit according to manufactures protocol (Macherey Nagel, Düren, Alemania). </w:t>
      </w:r>
    </w:p>
    <w:p w14:paraId="4D8E918A" w14:textId="77777777" w:rsidR="00456B2A" w:rsidRPr="00AB27DE" w:rsidRDefault="00456B2A" w:rsidP="00456B2A">
      <w:pPr>
        <w:spacing w:after="240" w:line="480" w:lineRule="auto"/>
        <w:jc w:val="both"/>
        <w:rPr>
          <w:rFonts w:ascii="Times New Roman" w:hAnsi="Times New Roman" w:cs="Times New Roman"/>
          <w:lang w:val="en-US"/>
        </w:rPr>
      </w:pPr>
      <w:r w:rsidRPr="00AB27DE">
        <w:rPr>
          <w:rFonts w:ascii="Times New Roman" w:hAnsi="Times New Roman" w:cs="Times New Roman"/>
          <w:lang w:val="en-US"/>
        </w:rPr>
        <w:t xml:space="preserve">EDTA vacutainer tubes with 10 ml of peripheral blood samples were collected from the patients. Plasma extraction was performed within a maximum of 3 hours from peripheral blood collection by centrifuging total blood to 1900g for 10 minutes. After recovering the supernatant, a second centrifugation was carried out at 16000 g for 10 minutes, after which the pellet was discarded and the supernatant (plasma) </w:t>
      </w:r>
      <w:r w:rsidRPr="00AB27DE">
        <w:rPr>
          <w:rFonts w:ascii="Times New Roman" w:hAnsi="Times New Roman" w:cs="Times New Roman"/>
          <w:lang w:val="en-US"/>
        </w:rPr>
        <w:lastRenderedPageBreak/>
        <w:t>was preserved at -80ºC until its later use. The extraction of circulating free DNA (cfDNA) from plasma was performed using the QIAamp Circulating Nucleic Acid kit following manufacturers protocol (Qiagen, Hilden, Germany).</w:t>
      </w:r>
    </w:p>
    <w:p w14:paraId="71723FC2" w14:textId="77777777" w:rsidR="00456B2A" w:rsidRPr="00AB27DE" w:rsidRDefault="00456B2A" w:rsidP="00456B2A">
      <w:pPr>
        <w:spacing w:after="240" w:line="480" w:lineRule="auto"/>
        <w:jc w:val="both"/>
        <w:rPr>
          <w:rFonts w:ascii="Times New Roman" w:hAnsi="Times New Roman" w:cs="Times New Roman"/>
          <w:lang w:val="en-US"/>
        </w:rPr>
      </w:pPr>
      <w:r w:rsidRPr="00AB27DE">
        <w:rPr>
          <w:rFonts w:ascii="Times New Roman" w:hAnsi="Times New Roman" w:cs="Times New Roman"/>
          <w:lang w:val="en-US"/>
        </w:rPr>
        <w:t>Concentration and/or purity of the nucleic acid extracted was determined using the NanoDrop ND-2000 spectrophotometer (Thermo Fisher Scientific, Waltham, Massachusetts) and the Qubit 2.0 Fluorometer (Thermo Fisher Scientific).</w:t>
      </w:r>
    </w:p>
    <w:p w14:paraId="4704F381" w14:textId="77777777" w:rsidR="00456B2A" w:rsidRPr="00AB27DE" w:rsidRDefault="00456B2A" w:rsidP="00456B2A">
      <w:pPr>
        <w:spacing w:after="240" w:line="480" w:lineRule="auto"/>
        <w:jc w:val="both"/>
        <w:rPr>
          <w:rFonts w:ascii="Times New Roman" w:hAnsi="Times New Roman" w:cs="Times New Roman"/>
          <w:b/>
          <w:u w:val="single"/>
          <w:lang w:val="en-US"/>
        </w:rPr>
      </w:pPr>
      <w:r w:rsidRPr="00AB27DE">
        <w:rPr>
          <w:rFonts w:ascii="Times New Roman" w:hAnsi="Times New Roman" w:cs="Times New Roman"/>
          <w:b/>
          <w:u w:val="single"/>
          <w:lang w:val="en-US"/>
        </w:rPr>
        <w:t>Mutational analysis</w:t>
      </w:r>
    </w:p>
    <w:p w14:paraId="23FE89C9" w14:textId="77777777" w:rsidR="00456B2A" w:rsidRPr="00AB27DE" w:rsidRDefault="00456B2A" w:rsidP="00456B2A">
      <w:pPr>
        <w:spacing w:after="240" w:line="480" w:lineRule="auto"/>
        <w:jc w:val="both"/>
        <w:rPr>
          <w:rFonts w:ascii="Times New Roman" w:hAnsi="Times New Roman" w:cs="Times New Roman"/>
          <w:b/>
          <w:i/>
          <w:lang w:val="en-US"/>
        </w:rPr>
      </w:pPr>
      <w:r w:rsidRPr="00AB27DE">
        <w:rPr>
          <w:rFonts w:ascii="Times New Roman" w:hAnsi="Times New Roman" w:cs="Times New Roman"/>
          <w:b/>
          <w:i/>
          <w:lang w:val="en-US"/>
        </w:rPr>
        <w:t>Pyro-sequencing</w:t>
      </w:r>
    </w:p>
    <w:p w14:paraId="76F8A966" w14:textId="77777777" w:rsidR="00456B2A" w:rsidRPr="00AB27DE" w:rsidRDefault="00456B2A" w:rsidP="00456B2A">
      <w:pPr>
        <w:spacing w:after="240" w:line="480" w:lineRule="auto"/>
        <w:jc w:val="both"/>
        <w:rPr>
          <w:rFonts w:ascii="Times New Roman" w:hAnsi="Times New Roman" w:cs="Times New Roman"/>
          <w:lang w:val="en-US"/>
        </w:rPr>
      </w:pPr>
      <w:r w:rsidRPr="00AB27DE">
        <w:rPr>
          <w:rFonts w:ascii="Times New Roman" w:hAnsi="Times New Roman" w:cs="Times New Roman"/>
          <w:lang w:val="en-US"/>
        </w:rPr>
        <w:t xml:space="preserve">The most common mutations in the promoter region of TERT were detected by pyrosequencing using genomic DNA tissue samples. These are: chr5:1,295,228C&gt;T and chr5:1,295,250 C&gt;T (C228T and C250T), corresponding to positions -124 and -146 pb of the ATG site. Initially, samples were amplified through the PyroMark PCR Kit following manufacturers protocol (Qiagen). The primers used (Eurofins Genomic, Ebersberg, Germany) and the amplification program is described in </w:t>
      </w:r>
      <w:r w:rsidR="0001562A" w:rsidRPr="00BD742E">
        <w:rPr>
          <w:rFonts w:ascii="Times New Roman" w:hAnsi="Times New Roman" w:cs="Times New Roman"/>
          <w:lang w:val="en-US"/>
        </w:rPr>
        <w:t>Table S2</w:t>
      </w:r>
      <w:r w:rsidRPr="00AB27DE">
        <w:rPr>
          <w:rFonts w:ascii="Times New Roman" w:hAnsi="Times New Roman" w:cs="Times New Roman"/>
          <w:lang w:val="en-US"/>
        </w:rPr>
        <w:t>. Subsequently, the pyrosequencing reaction was developed with the system PyroMark Q24, using the reagents PyroMark Gold Q24 according to the manufactures protocol (Qiagen). The results obtained were analyzed using PyroMark Q24 2.0.6 Build 20 software (Qiagen).</w:t>
      </w:r>
    </w:p>
    <w:p w14:paraId="3C87B5E6" w14:textId="77777777" w:rsidR="00456B2A" w:rsidRPr="00AB27DE" w:rsidRDefault="00456B2A" w:rsidP="00456B2A">
      <w:pPr>
        <w:spacing w:after="240" w:line="480" w:lineRule="auto"/>
        <w:jc w:val="both"/>
        <w:rPr>
          <w:rFonts w:ascii="Times New Roman" w:hAnsi="Times New Roman" w:cs="Times New Roman"/>
          <w:lang w:val="en-US"/>
        </w:rPr>
      </w:pPr>
      <w:r w:rsidRPr="00AB27DE">
        <w:rPr>
          <w:rFonts w:ascii="Times New Roman" w:hAnsi="Times New Roman" w:cs="Times New Roman"/>
          <w:lang w:val="en-US"/>
        </w:rPr>
        <w:t>In each run a negative control (pTERT wild type), two positive controls of each mutation (C228T and C250T) and a non-template control (NTC) were used. In addition, 7 normal skin samples and 6 benign melanocytic nevus samples were included in the study as a control of our melanoma sample cohort.</w:t>
      </w:r>
    </w:p>
    <w:p w14:paraId="3D5A1E88" w14:textId="77777777" w:rsidR="00456B2A" w:rsidRPr="00AB27DE" w:rsidRDefault="00456B2A" w:rsidP="00456B2A">
      <w:pPr>
        <w:spacing w:after="240" w:line="480" w:lineRule="auto"/>
        <w:jc w:val="both"/>
        <w:rPr>
          <w:rFonts w:ascii="Times New Roman" w:hAnsi="Times New Roman" w:cs="Times New Roman"/>
          <w:b/>
          <w:i/>
          <w:lang w:val="en-US"/>
        </w:rPr>
      </w:pPr>
      <w:r w:rsidRPr="00AB27DE">
        <w:rPr>
          <w:rFonts w:ascii="Times New Roman" w:hAnsi="Times New Roman" w:cs="Times New Roman"/>
          <w:b/>
          <w:i/>
          <w:lang w:val="en-US"/>
        </w:rPr>
        <w:t>Sanger Sequencing</w:t>
      </w:r>
    </w:p>
    <w:p w14:paraId="4552296A" w14:textId="77777777" w:rsidR="00456B2A" w:rsidRPr="00AB27DE" w:rsidRDefault="00456B2A" w:rsidP="00456B2A">
      <w:pPr>
        <w:spacing w:after="240" w:line="480" w:lineRule="auto"/>
        <w:jc w:val="both"/>
        <w:rPr>
          <w:rFonts w:ascii="Times New Roman" w:hAnsi="Times New Roman" w:cs="Times New Roman"/>
          <w:lang w:val="en-US"/>
        </w:rPr>
      </w:pPr>
      <w:r w:rsidRPr="00AB27DE">
        <w:rPr>
          <w:rFonts w:ascii="Times New Roman" w:hAnsi="Times New Roman" w:cs="Times New Roman"/>
          <w:lang w:val="en-US"/>
        </w:rPr>
        <w:t xml:space="preserve">Discordant results were confirmed by Sanger sequencing using the same primer pairs and PCR conditions indicated in the pyrosequencing analysis. The PCR reaction products were purified with the QIAquick PCR Purification kit (Qiagen) and subsequently the sequence reaction was performed with the BigDye Terminator v3.1 kit following the manufacturer’s instructions (Thermo Fisher Scientific). </w:t>
      </w:r>
      <w:r w:rsidRPr="00AB27DE">
        <w:rPr>
          <w:rFonts w:ascii="Times New Roman" w:hAnsi="Times New Roman" w:cs="Times New Roman"/>
          <w:lang w:val="en-US"/>
        </w:rPr>
        <w:lastRenderedPageBreak/>
        <w:t xml:space="preserve">Finally, the samples were loaded into an Applied Biosystems 3130 XL sequencer (Thermo Fisher Scientific). </w:t>
      </w:r>
    </w:p>
    <w:p w14:paraId="7C0B9175" w14:textId="77777777" w:rsidR="00456B2A" w:rsidRPr="00AB27DE" w:rsidRDefault="00456B2A" w:rsidP="00456B2A">
      <w:pPr>
        <w:spacing w:after="240" w:line="480" w:lineRule="auto"/>
        <w:jc w:val="both"/>
        <w:rPr>
          <w:rFonts w:ascii="Times New Roman" w:hAnsi="Times New Roman" w:cs="Times New Roman"/>
          <w:b/>
          <w:i/>
          <w:lang w:val="en-US"/>
        </w:rPr>
      </w:pPr>
      <w:r w:rsidRPr="00AB27DE">
        <w:rPr>
          <w:rFonts w:ascii="Times New Roman" w:hAnsi="Times New Roman" w:cs="Times New Roman"/>
          <w:b/>
          <w:i/>
          <w:lang w:val="en-US"/>
        </w:rPr>
        <w:t>Droplet digital PCR (ddPCR)</w:t>
      </w:r>
    </w:p>
    <w:p w14:paraId="62D8406B" w14:textId="77777777" w:rsidR="00456B2A" w:rsidRPr="00AB27DE" w:rsidRDefault="00456B2A" w:rsidP="00456B2A">
      <w:pPr>
        <w:spacing w:after="240" w:line="480" w:lineRule="auto"/>
        <w:jc w:val="both"/>
        <w:rPr>
          <w:rFonts w:ascii="Times New Roman" w:hAnsi="Times New Roman" w:cs="Times New Roman"/>
          <w:lang w:val="en-US"/>
        </w:rPr>
      </w:pPr>
      <w:r w:rsidRPr="00AB27DE">
        <w:rPr>
          <w:rFonts w:ascii="Times New Roman" w:hAnsi="Times New Roman" w:cs="Times New Roman"/>
          <w:lang w:val="en-US"/>
        </w:rPr>
        <w:t>pTERT mutations in cfDNA from plasma samples were analyzed by ddPCR. Fluorescent probes to specifically detect C228T (</w:t>
      </w:r>
      <w:r w:rsidRPr="00AB27DE">
        <w:rPr>
          <w:rFonts w:ascii="Times New Roman" w:hAnsi="Times New Roman" w:cs="Times New Roman"/>
          <w:i/>
          <w:lang w:val="en-US"/>
        </w:rPr>
        <w:t>dHsaEXD72405942)</w:t>
      </w:r>
      <w:r w:rsidRPr="00AB27DE">
        <w:rPr>
          <w:rFonts w:ascii="Times New Roman" w:hAnsi="Times New Roman" w:cs="Times New Roman"/>
          <w:lang w:val="en-US"/>
        </w:rPr>
        <w:t xml:space="preserve"> and C250T (</w:t>
      </w:r>
      <w:r w:rsidRPr="00AB27DE">
        <w:rPr>
          <w:rFonts w:ascii="Times New Roman" w:hAnsi="Times New Roman" w:cs="Times New Roman"/>
          <w:i/>
          <w:color w:val="000000"/>
          <w:lang w:val="en-AU"/>
        </w:rPr>
        <w:t>dHsaEXD46675712</w:t>
      </w:r>
      <w:r w:rsidRPr="00AB27DE">
        <w:rPr>
          <w:rFonts w:ascii="Times New Roman" w:hAnsi="Times New Roman" w:cs="Times New Roman"/>
          <w:color w:val="000000"/>
          <w:lang w:val="en-AU"/>
        </w:rPr>
        <w:t>)</w:t>
      </w:r>
      <w:r w:rsidRPr="00AB27DE">
        <w:rPr>
          <w:rFonts w:ascii="Times New Roman" w:hAnsi="Times New Roman" w:cs="Times New Roman"/>
          <w:lang w:val="en-US"/>
        </w:rPr>
        <w:t xml:space="preserve"> mutations were used (Biorad, Hercules, California). A negative control (pTERT wild type), two positive controls for each mutation (C228T and C250T), and a NTC were included in each run.  Droplets containing a single fragment of DNA were generated in the Droplet generator QX200 AutoDG and each fragment of amplified DNA was detected in the QX200 droplet reader (BioRad) according to the PCR conditions previously described by McEvoy </w:t>
      </w:r>
      <w:r w:rsidR="00C732EB">
        <w:rPr>
          <w:rFonts w:ascii="Times New Roman" w:hAnsi="Times New Roman" w:cs="Times New Roman"/>
          <w:i/>
          <w:lang w:val="en-US"/>
        </w:rPr>
        <w:t>et a l.</w:t>
      </w:r>
      <w:r w:rsidR="00C732EB">
        <w:rPr>
          <w:rFonts w:ascii="Times New Roman" w:hAnsi="Times New Roman" w:cs="Times New Roman"/>
          <w:i/>
          <w:lang w:val="en-US"/>
        </w:rPr>
        <w:fldChar w:fldCharType="begin" w:fldLock="1"/>
      </w:r>
      <w:r w:rsidR="00C732EB">
        <w:rPr>
          <w:rFonts w:ascii="Times New Roman" w:hAnsi="Times New Roman" w:cs="Times New Roman"/>
          <w:i/>
          <w:lang w:val="en-US"/>
        </w:rPr>
        <w:instrText>ADDIN CSL_CITATION {"citationItems":[{"id":"ITEM-1","itemData":{"DOI":"10.18632/oncotarget.20354","ISBN":"7889078900","ISSN":"19492553","abstract":"Background: Currently mainly BRAF mutant circulating tumor DNA (ctDNA) is utilized to monitor patients with melanoma. TERT promoter mutations are common in various cancers and found in up to 70% of melanomas, including half of BRAF wildtype cases. Therefore, a sensitive method for detection of TERT promoter mutations would increase the number of patients that could be monitored through ctDNA analysis. Methods: A droplet digital PCR (ddPCR) assay was designed for the concurrent detection of chr5:1,295,228 C &gt; T and chr5:1,295,250 C &gt; T TERT promoter mutations. The assay was validated using 39 melanoma cell lines and 22 matched plasma and tumor samples. In addition, plasma samples from 56 metastatic melanoma patients and 56 healthy controls were tested for TERT promoter mutations. Results: The established ddPCR assay detected TERT promoter mutations with a lower limit of detection (LOD) of 0.17%. Total concordance was demonstrated between ddPCR and Sanger sequencing in all cell lines except one, which carried a second mutation within the probe binding-site. Concordance between matched plasma and tumor tissue was 68% (15/22), with a sensitivity of 53% (95% CI, 27%- 79%) and a specificity of 100% (95% CI, 59%-100%). A significantly longer PFS (p=0.028) was evident in ctDNA negative patients. Importantly, our TERT promoter mutations ddPCR assay allowed detection of ctDNA in 11 BRAF wild-type cases. Conclusions: The TERT promoter mutation ddPCR assay offers a sensitive test for molecular analysis of melanoma tumors and ctDNA, with the potential to be applied to other cancers.","author":[{"dropping-particle":"","family":"McEvoy","given":"Ashleigh C.","non-dropping-particle":"","parse-names":false,"suffix":""},{"dropping-particle":"","family":"Calapre","given":"Leslie","non-dropping-particle":"","parse-names":false,"suffix":""},{"dropping-particle":"","family":"Pereira","given":"Michelle R.","non-dropping-particle":"","parse-names":false,"suffix":""},{"dropping-particle":"","family":"Giardina","given":"Tindaro","non-dropping-particle":"","parse-names":false,"suffix":""},{"dropping-particle":"","family":"Robinson","given":"Cleo","non-dropping-particle":"","parse-names":false,"suffix":""},{"dropping-particle":"","family":"Khattak","given":"Muhammad A.","non-dropping-particle":"","parse-names":false,"suffix":""},{"dropping-particle":"","family":"Meniawy","given":"Tarek M.","non-dropping-particle":"","parse-names":false,"suffix":""},{"dropping-particle":"","family":"Pritchard","given":"Antonia L.","non-dropping-particle":"","parse-names":false,"suffix":""},{"dropping-particle":"","family":"Hayward","given":"Nicholas K.","non-dropping-particle":"","parse-names":false,"suffix":""},{"dropping-particle":"","family":"Amanuel","given":"Benhur","non-dropping-particle":"","parse-names":false,"suffix":""},{"dropping-particle":"","family":"Millward","given":"Michael","non-dropping-particle":"","parse-names":false,"suffix":""},{"dropping-particle":"","family":"Ziman","given":"Melanie","non-dropping-particle":"","parse-names":false,"suffix":""},{"dropping-particle":"","family":"Gray","given":"Elin S.","non-dropping-particle":"","parse-names":false,"suffix":""}],"container-title":"Oncotarget","id":"ITEM-1","issue":"45","issued":{"date-parts":[["2017"]]},"page":"78890-78900","title":"Sensitive droplet digital PCR method for detection of TERT promoter mutations in cell free DNA from patients with metastatic melanoma","type":"article-journal","volume":"8"},"uris":["http://www.mendeley.com/documents/?uuid=a2a534f0-e229-4b4a-bc9e-9959438f55a1"]}],"mendeley":{"formattedCitation":"&lt;sup&gt;1&lt;/sup&gt;","plainTextFormattedCitation":"1","previouslyFormattedCitation":"&lt;sup&gt;1&lt;/sup&gt;"},"properties":{"noteIndex":0},"schema":"https://github.com/citation-style-language/schema/raw/master/csl-citation.json"}</w:instrText>
      </w:r>
      <w:r w:rsidR="00C732EB">
        <w:rPr>
          <w:rFonts w:ascii="Times New Roman" w:hAnsi="Times New Roman" w:cs="Times New Roman"/>
          <w:i/>
          <w:lang w:val="en-US"/>
        </w:rPr>
        <w:fldChar w:fldCharType="separate"/>
      </w:r>
      <w:r w:rsidR="00C732EB" w:rsidRPr="00C732EB">
        <w:rPr>
          <w:rFonts w:ascii="Times New Roman" w:hAnsi="Times New Roman" w:cs="Times New Roman"/>
          <w:noProof/>
          <w:vertAlign w:val="superscript"/>
          <w:lang w:val="en-US"/>
        </w:rPr>
        <w:t>1</w:t>
      </w:r>
      <w:r w:rsidR="00C732EB">
        <w:rPr>
          <w:rFonts w:ascii="Times New Roman" w:hAnsi="Times New Roman" w:cs="Times New Roman"/>
          <w:i/>
          <w:lang w:val="en-US"/>
        </w:rPr>
        <w:fldChar w:fldCharType="end"/>
      </w:r>
      <w:r w:rsidR="00C732EB">
        <w:rPr>
          <w:rFonts w:ascii="Times New Roman" w:hAnsi="Times New Roman" w:cs="Times New Roman"/>
          <w:i/>
          <w:lang w:val="en-US"/>
        </w:rPr>
        <w:t xml:space="preserve"> </w:t>
      </w:r>
      <w:r w:rsidRPr="00AB27DE">
        <w:rPr>
          <w:rFonts w:ascii="Times New Roman" w:hAnsi="Times New Roman" w:cs="Times New Roman"/>
          <w:lang w:val="en-US"/>
        </w:rPr>
        <w:t>The analysis of the fragments was performed in the QuantaSoft software (BioRad). This technique was also used to confirm some discordant results in FFPE tissue samples.</w:t>
      </w:r>
    </w:p>
    <w:p w14:paraId="1D2C4016" w14:textId="77777777" w:rsidR="00456B2A" w:rsidRPr="00AB27DE" w:rsidRDefault="00456B2A" w:rsidP="00456B2A">
      <w:pPr>
        <w:spacing w:after="240" w:line="480" w:lineRule="auto"/>
        <w:jc w:val="both"/>
        <w:rPr>
          <w:rFonts w:ascii="Times New Roman" w:hAnsi="Times New Roman" w:cs="Times New Roman"/>
          <w:b/>
          <w:i/>
          <w:lang w:val="en-AU"/>
        </w:rPr>
      </w:pPr>
      <w:r w:rsidRPr="00AB27DE">
        <w:rPr>
          <w:rFonts w:ascii="Times New Roman" w:hAnsi="Times New Roman" w:cs="Times New Roman"/>
          <w:b/>
          <w:i/>
          <w:lang w:val="en-AU"/>
        </w:rPr>
        <w:t>Quantitative PCR</w:t>
      </w:r>
    </w:p>
    <w:p w14:paraId="45A33F18" w14:textId="77777777" w:rsidR="00456B2A" w:rsidRPr="00AB27DE" w:rsidRDefault="00456B2A" w:rsidP="00456B2A">
      <w:pPr>
        <w:spacing w:after="240" w:line="480" w:lineRule="auto"/>
        <w:jc w:val="both"/>
        <w:rPr>
          <w:rFonts w:ascii="Times New Roman" w:hAnsi="Times New Roman" w:cs="Times New Roman"/>
          <w:lang w:val="en-US"/>
        </w:rPr>
      </w:pPr>
      <w:r w:rsidRPr="00AB27DE">
        <w:rPr>
          <w:rFonts w:ascii="Times New Roman" w:hAnsi="Times New Roman" w:cs="Times New Roman"/>
          <w:lang w:val="en-US"/>
        </w:rPr>
        <w:t>The automated Idylla System technology (Biocartis, Mechelen, Belgium) based on real-time PCR was used to detect mutations of the BRAF and NRAS genes from genomic DNA of the FFPE tissue samples. We used specific cartridges of the BRAF-NRAS mutation test covering 18 mutations in exons 2, 3 and 4 of NRAS, as well as 5 mutations in the 600 codon of BRAF. These cartridges were loaded according to the manufacturer’s specifications and analyzed by the Idylla Console (Biocartis).</w:t>
      </w:r>
    </w:p>
    <w:p w14:paraId="22B850EA" w14:textId="77777777" w:rsidR="00456B2A" w:rsidRPr="00AB27DE" w:rsidRDefault="00456B2A" w:rsidP="00456B2A">
      <w:pPr>
        <w:spacing w:after="240" w:line="480" w:lineRule="auto"/>
        <w:jc w:val="both"/>
        <w:rPr>
          <w:rFonts w:ascii="Times New Roman" w:hAnsi="Times New Roman" w:cs="Times New Roman"/>
          <w:b/>
          <w:u w:val="single"/>
          <w:lang w:val="en-US"/>
        </w:rPr>
      </w:pPr>
      <w:r w:rsidRPr="00AB27DE">
        <w:rPr>
          <w:rFonts w:ascii="Times New Roman" w:hAnsi="Times New Roman" w:cs="Times New Roman"/>
          <w:b/>
          <w:u w:val="single"/>
          <w:lang w:val="en-US"/>
        </w:rPr>
        <w:t>Methylation analysis</w:t>
      </w:r>
    </w:p>
    <w:p w14:paraId="1404E8A4" w14:textId="77777777" w:rsidR="00456B2A" w:rsidRPr="00AB27DE" w:rsidRDefault="00456B2A" w:rsidP="00456B2A">
      <w:pPr>
        <w:spacing w:after="240" w:line="480" w:lineRule="auto"/>
        <w:jc w:val="both"/>
        <w:rPr>
          <w:rFonts w:ascii="Times New Roman" w:hAnsi="Times New Roman" w:cs="Times New Roman"/>
          <w:b/>
          <w:i/>
          <w:lang w:val="en-US"/>
        </w:rPr>
      </w:pPr>
      <w:r w:rsidRPr="00AB27DE">
        <w:rPr>
          <w:rFonts w:ascii="Times New Roman" w:hAnsi="Times New Roman" w:cs="Times New Roman"/>
          <w:b/>
          <w:i/>
          <w:lang w:val="en-US"/>
        </w:rPr>
        <w:t>Methylation specific PCR (MS-PCR)</w:t>
      </w:r>
    </w:p>
    <w:p w14:paraId="1B5DA7EF" w14:textId="77777777" w:rsidR="00456B2A" w:rsidRPr="00AB27DE" w:rsidRDefault="00456B2A" w:rsidP="00456B2A">
      <w:pPr>
        <w:spacing w:after="240" w:line="480" w:lineRule="auto"/>
        <w:jc w:val="both"/>
        <w:rPr>
          <w:rFonts w:ascii="Times New Roman" w:hAnsi="Times New Roman" w:cs="Times New Roman"/>
          <w:lang w:val="en-US"/>
        </w:rPr>
      </w:pPr>
      <w:r w:rsidRPr="00AB27DE">
        <w:rPr>
          <w:rFonts w:ascii="Times New Roman" w:hAnsi="Times New Roman" w:cs="Times New Roman"/>
          <w:lang w:val="en-US"/>
        </w:rPr>
        <w:t xml:space="preserve">Methylation status of 4 CpG islands in the pTERT region was analyzed by performing a MS-PCR described in previous studies </w:t>
      </w:r>
      <w:r w:rsidRPr="00AB27DE">
        <w:rPr>
          <w:rFonts w:ascii="Times New Roman" w:hAnsi="Times New Roman" w:cs="Times New Roman"/>
          <w:lang w:val="en-US"/>
        </w:rPr>
        <w:fldChar w:fldCharType="begin" w:fldLock="1"/>
      </w:r>
      <w:r w:rsidR="00C732EB">
        <w:rPr>
          <w:rFonts w:ascii="Times New Roman" w:hAnsi="Times New Roman" w:cs="Times New Roman"/>
          <w:lang w:val="en-US"/>
        </w:rPr>
        <w:instrText>ADDIN CSL_CITATION {"citationItems":[{"id":"ITEM-1","itemData":{"DOI":"10.1007/s00414-019-02076-3","ISSN":"14371596","PMID":"31165262","abstract":"As an important aspect of epigenetics, DNA methylation has been proven to be suitable for forensic DNA analysis. By detecting changes in DNA methylation, it is desirable to construct a model of age patterns associated with it to infer the age of the individual. The hTERT gene methylation is closely related to tumors, but there are few reports on the relationship between hTERT gene promoter methylation and age. In this study, we utilized the methylation-specific polymerase chain reaction and real-time PCR (relative quantification and absolute quantification) approach to explore the connection between hTERT DNA methylation and age prediction. We fit three models for age prediction based on methylation assay for 90 blood samples from donors aged 1–79 years old. Among them, the model of absolute quantification of real-time enabled the age prediction with R2 = 0.9634. We verified the linear regression model with a validation set of 30 blood samples where prediction average error was 4.29 years. Generally, this reliable method improves the DNA methylation analysis of forensic samples.","author":[{"dropping-particle":"","family":"Xin","given":"Ye","non-dropping-particle":"","parse-names":false,"suffix":""},{"dropping-particle":"","family":"Dong","given":"Kaikai","non-dropping-particle":"","parse-names":false,"suffix":""},{"dropping-particle":"","family":"Cao","given":"Fangqi","non-dropping-particle":"","parse-names":false,"suffix":""},{"dropping-particle":"","family":"Tian","given":"Yuxiang","non-dropping-particle":"","parse-names":false,"suffix":""},{"dropping-particle":"","family":"Sun","given":"Jing","non-dropping-particle":"","parse-names":false,"suffix":""},{"dropping-particle":"","family":"Peng","given":"Min","non-dropping-particle":"","parse-names":false,"suffix":""},{"dropping-particle":"","family":"Liu","given":"Wenbin","non-dropping-particle":"","parse-names":false,"suffix":""},{"dropping-particle":"","family":"Shi","given":"Ping","non-dropping-particle":"","parse-names":false,"suffix":""}],"container-title":"International Journal of Legal Medicine","id":"ITEM-1","issue":"5","issued":{"date-parts":[["2019"]]},"page":"1333-1339","publisher":"International Journal of Legal Medicine","title":"Studies of hTERT DNA methylation assays on the human age prediction","type":"article-journal","volume":"133"},"uris":["http://www.mendeley.com/documents/?uuid=aa25c233-c86d-46c9-aa02-1b113ac5b10c"]}],"mendeley":{"formattedCitation":"&lt;sup&gt;2&lt;/sup&gt;","plainTextFormattedCitation":"2","previouslyFormattedCitation":"&lt;sup&gt;2&lt;/sup&gt;"},"properties":{"noteIndex":0},"schema":"https://github.com/citation-style-language/schema/raw/master/csl-citation.json"}</w:instrText>
      </w:r>
      <w:r w:rsidRPr="00AB27DE">
        <w:rPr>
          <w:rFonts w:ascii="Times New Roman" w:hAnsi="Times New Roman" w:cs="Times New Roman"/>
          <w:lang w:val="en-US"/>
        </w:rPr>
        <w:fldChar w:fldCharType="separate"/>
      </w:r>
      <w:r w:rsidR="00C732EB" w:rsidRPr="00C732EB">
        <w:rPr>
          <w:rFonts w:ascii="Times New Roman" w:hAnsi="Times New Roman" w:cs="Times New Roman"/>
          <w:noProof/>
          <w:vertAlign w:val="superscript"/>
          <w:lang w:val="en-US"/>
        </w:rPr>
        <w:t>2</w:t>
      </w:r>
      <w:r w:rsidRPr="00AB27DE">
        <w:rPr>
          <w:rFonts w:ascii="Times New Roman" w:hAnsi="Times New Roman" w:cs="Times New Roman"/>
          <w:lang w:val="en-US"/>
        </w:rPr>
        <w:fldChar w:fldCharType="end"/>
      </w:r>
      <w:r w:rsidRPr="00AB27DE">
        <w:rPr>
          <w:rFonts w:ascii="Times New Roman" w:hAnsi="Times New Roman" w:cs="Times New Roman"/>
          <w:lang w:val="en-US"/>
        </w:rPr>
        <w:t xml:space="preserve">. DNA tissue samples were treated with bisulfite using the EpiTect Bisulfite Kit following the manufacturer’s instructions (Qiagen). </w:t>
      </w:r>
      <w:r w:rsidRPr="00AB27DE" w:rsidDel="0048537D">
        <w:rPr>
          <w:rStyle w:val="Refdecomentario"/>
          <w:rFonts w:ascii="Times New Roman" w:hAnsi="Times New Roman" w:cs="Times New Roman"/>
          <w:sz w:val="22"/>
          <w:szCs w:val="22"/>
          <w:lang w:val="en-AU"/>
        </w:rPr>
        <w:t xml:space="preserve"> </w:t>
      </w:r>
      <w:r w:rsidRPr="00AB27DE">
        <w:rPr>
          <w:rFonts w:ascii="Times New Roman" w:hAnsi="Times New Roman" w:cs="Times New Roman"/>
          <w:lang w:val="en-US"/>
        </w:rPr>
        <w:t xml:space="preserve">Three out of the 4 islands are located within THOR </w:t>
      </w:r>
      <w:r w:rsidRPr="00AB27DE">
        <w:rPr>
          <w:rFonts w:ascii="Times New Roman" w:hAnsi="Times New Roman" w:cs="Times New Roman"/>
          <w:lang w:val="en-US"/>
        </w:rPr>
        <w:fldChar w:fldCharType="begin" w:fldLock="1"/>
      </w:r>
      <w:r w:rsidR="008C3B85">
        <w:rPr>
          <w:rFonts w:ascii="Times New Roman" w:hAnsi="Times New Roman" w:cs="Times New Roman"/>
          <w:lang w:val="en-US"/>
        </w:rPr>
        <w:instrText>ADDIN CSL_CITATION {"citationItems":[{"id":"ITEM-1","itemData":{"DOI":"10.1172/JCI121303","ISSN":"15588238","PMID":"30358567","abstract":"Replicative immortality is a hallmark of cancer cells governed by telomere maintenance. Approximately 90% of human cancers maintain their telomeres by activating telomerase, driven by the transcriptional upregulation of telomerase reverse transcriptase (TERT). Although TERT promoter mutations (TPMs) are a major cancer-associated genetic mechanism of TERT upregulation, many cancers exhibit TERT upregulation without TPMs. In this study, we describe the TERT hypermethylated oncological region (THOR), a 433-bp genomic region encompassing 52 CpG sites located immediately upstream of the TERT core promoter, as a cancer-associated epigenetic mechanism of TERT upregulation. Unmethylated THOR repressed TERT promoter activity regardless of TPM status, and hypermethylation of THOR counteracted this repressive function. THOR methylation analysis in 1,352 human tumors revealed frequent (&gt;45%) cancer-associated DNA hypermethylation in 9 of 11 (82%) tumor types screened. Additionally, THOR hypermethylation, either independently or along with TPMs, accounted for how approximately 90% of human cancers can aberrantly activate telomerase. Thus, we propose that THOR hypermethylation is a prevalent telomerase-activating mechanism in cancer that can act independently of or in conjunction with TPMs, further supporting the utility of THOR hypermethylation as a prognostic biomarker.","author":[{"dropping-particle":"","family":"Lee","given":"Donghyun D.","non-dropping-particle":"","parse-names":false,"suffix":""},{"dropping-particle":"","family":"Leão","given":"Ricardo","non-dropping-particle":"","parse-names":false,"suffix":""},{"dropping-particle":"","family":"Komosa","given":"Martin","non-dropping-particle":"","parse-names":false,"suffix":""},{"dropping-particle":"","family":"Gallo","given":"Marco","non-dropping-particle":"","parse-names":false,"suffix":""},{"dropping-particle":"","family":"Zhang","given":"Cindy H.","non-dropping-particle":"","parse-names":false,"suffix":""},{"dropping-particle":"","family":"Lipman","given":"Tatiana","non-dropping-particle":"","parse-names":false,"suffix":""},{"dropping-particle":"","family":"Remke","given":"Marc","non-dropping-particle":"","parse-names":false,"suffix":""},{"dropping-particle":"","family":"Heidari","given":"Abolfazl","non-dropping-particle":"","parse-names":false,"suffix":""},{"dropping-particle":"","family":"Nunes","given":"Nuno Miguel","non-dropping-particle":"","parse-names":false,"suffix":""},{"dropping-particle":"","family":"Apolónio","given":"Joana D.","non-dropping-particle":"","parse-names":false,"suffix":""},{"dropping-particle":"","family":"Price","given":"Aryeh J.","non-dropping-particle":"","parse-names":false,"suffix":""},{"dropping-particle":"","family":"Mello","given":"Ramon Andrade","non-dropping-particle":"De","parse-names":false,"suffix":""},{"dropping-particle":"","family":"Dias","given":"João S.","non-dropping-particle":"","parse-names":false,"suffix":""},{"dropping-particle":"","family":"Huntsman","given":"David","non-dropping-particle":"","parse-names":false,"suffix":""},{"dropping-particle":"","family":"Hermanns","given":"Thomas","non-dropping-particle":"","parse-names":false,"suffix":""},{"dropping-particle":"","family":"Wild","given":"Peter J.","non-dropping-particle":"","parse-names":false,"suffix":""},{"dropping-particle":"","family":"Vanner","given":"Robert","non-dropping-particle":"","parse-names":false,"suffix":""},{"dropping-particle":"","family":"Zadeh","given":"Gelareh","non-dropping-particle":"","parse-names":false,"suffix":""},{"dropping-particle":"","family":"Karamchandani","given":"Jason","non-dropping-particle":"","parse-names":false,"suffix":""},{"dropping-particle":"","family":"Das","given":"Sunit","non-dropping-particle":"","parse-names":false,"suffix":""},{"dropping-particle":"","family":"Taylor","given":"Michael D.","non-dropping-particle":"","parse-names":false,"suffix":""},{"dropping-particle":"","family":"Hawkins","given":"Cynthia E.","non-dropping-particle":"","parse-names":false,"suffix":""},{"dropping-particle":"","family":"Wasserman","given":"Jonathan D.","non-dropping-particle":"","parse-names":false,"suffix":""},{"dropping-particle":"","family":"Figueiredo","given":"Arnaldo","non-dropping-particle":"","parse-names":false,"suffix":""},{"dropping-particle":"","family":"Hamilton","given":"Robert J.","non-dropping-particle":"","parse-names":false,"suffix":""},{"dropping-particle":"","family":"Minden","given":"Mark D.","non-dropping-particle":"","parse-names":false,"suffix":""},{"dropping-particle":"","family":"Wani","given":"Khalida","non-dropping-particle":"","parse-names":false,"suffix":""},{"dropping-particle":"","family":"Diplas","given":"Bill","non-dropping-particle":"","parse-names":false,"suffix":""},{"dropping-particle":"","family":"Yan","given":"Hai","non-dropping-particle":"","parse-names":false,"suffix":""},{"dropping-particle":"","family":"Aldape","given":"Kenneth","non-dropping-particle":"","parse-names":false,"suffix":""},{"dropping-particle":"","family":"Akbari","given":"Mohammad R.","non-dropping-particle":"","parse-names":false,"suffix":""},{"dropping-particle":"","family":"Danesh","given":"Arnavaz","non-dropping-particle":"","parse-names":false,"suffix":""},{"dropping-particle":"","family":"Pugh","given":"Trevor J.","non-dropping-particle":"","parse-names":false,"suffix":""},{"dropping-particle":"","family":"Dirks","given":"Peter B.","non-dropping-particle":"","parse-names":false,"suffix":""},{"dropping-particle":"","family":"Castelo-Branco","given":"Pedro","non-dropping-particle":"","parse-names":false,"suffix":""},{"dropping-particle":"","family":"Tabori","given":"Uri","non-dropping-particle":"","parse-names":false,"suffix":""}],"container-title":"Journal of Clinical Investigation","id":"ITEM-1","issue":"1","issued":{"date-parts":[["2019"]]},"page":"223-229","title":"DNA hypermethylation within TERT promoter upregulates TERT expression in cancer","type":"article-journal","volume":"129"},"uris":["http://www.mendeley.com/documents/?uuid=0ca5c235-7bfe-479e-bff5-1cf52cc9758b"]}],"mendeley":{"formattedCitation":"&lt;sup&gt;3&lt;/sup&gt;","plainTextFormattedCitation":"3","previouslyFormattedCitation":"&lt;sup&gt;3&lt;/sup&gt;"},"properties":{"noteIndex":0},"schema":"https://github.com/citation-style-language/schema/raw/master/csl-citation.json"}</w:instrText>
      </w:r>
      <w:r w:rsidRPr="00AB27DE">
        <w:rPr>
          <w:rFonts w:ascii="Times New Roman" w:hAnsi="Times New Roman" w:cs="Times New Roman"/>
          <w:lang w:val="en-US"/>
        </w:rPr>
        <w:fldChar w:fldCharType="separate"/>
      </w:r>
      <w:r w:rsidR="00C732EB" w:rsidRPr="00C732EB">
        <w:rPr>
          <w:rFonts w:ascii="Times New Roman" w:hAnsi="Times New Roman" w:cs="Times New Roman"/>
          <w:noProof/>
          <w:vertAlign w:val="superscript"/>
          <w:lang w:val="en-US"/>
        </w:rPr>
        <w:t>3</w:t>
      </w:r>
      <w:r w:rsidRPr="00AB27DE">
        <w:rPr>
          <w:rFonts w:ascii="Times New Roman" w:hAnsi="Times New Roman" w:cs="Times New Roman"/>
          <w:lang w:val="en-US"/>
        </w:rPr>
        <w:fldChar w:fldCharType="end"/>
      </w:r>
      <w:r w:rsidRPr="00AB27DE">
        <w:rPr>
          <w:rFonts w:ascii="Times New Roman" w:hAnsi="Times New Roman" w:cs="Times New Roman"/>
          <w:lang w:val="en-US"/>
        </w:rPr>
        <w:t xml:space="preserve">. The sequence of the pTERT region with the CpG islands included in the study, the </w:t>
      </w:r>
      <w:r w:rsidRPr="00AB27DE">
        <w:rPr>
          <w:rFonts w:ascii="Times New Roman" w:hAnsi="Times New Roman" w:cs="Times New Roman"/>
          <w:lang w:val="en-US"/>
        </w:rPr>
        <w:lastRenderedPageBreak/>
        <w:t>primers used (Eurofins Genomic) and the amplification program are detailed in Supplementary material (</w:t>
      </w:r>
      <w:r w:rsidR="0001562A" w:rsidRPr="00BD742E">
        <w:rPr>
          <w:rFonts w:ascii="Times New Roman" w:hAnsi="Times New Roman" w:cs="Times New Roman"/>
          <w:lang w:val="en-US"/>
        </w:rPr>
        <w:t>Figure S1 and Table S3</w:t>
      </w:r>
      <w:r w:rsidRPr="00AB27DE">
        <w:rPr>
          <w:rFonts w:ascii="Times New Roman" w:hAnsi="Times New Roman" w:cs="Times New Roman"/>
          <w:lang w:val="en-US"/>
        </w:rPr>
        <w:t xml:space="preserve">). </w:t>
      </w:r>
    </w:p>
    <w:p w14:paraId="730032D2" w14:textId="2A401129" w:rsidR="00456B2A" w:rsidRPr="00AB27DE" w:rsidRDefault="00456B2A" w:rsidP="00456B2A">
      <w:pPr>
        <w:spacing w:after="240" w:line="480" w:lineRule="auto"/>
        <w:jc w:val="both"/>
        <w:rPr>
          <w:rFonts w:ascii="Times New Roman" w:hAnsi="Times New Roman" w:cs="Times New Roman"/>
          <w:lang w:val="en-US"/>
        </w:rPr>
      </w:pPr>
      <w:r w:rsidRPr="00AB27DE">
        <w:rPr>
          <w:rFonts w:ascii="Times New Roman" w:hAnsi="Times New Roman" w:cs="Times New Roman"/>
          <w:lang w:val="en-US"/>
        </w:rPr>
        <w:t xml:space="preserve">As controls we included in each run a non-bisulfite treated sample, a methylated (Merck, Darmstadt, Germany) and unmethylated control DNA (Qiagen) and a NTC. DNA from normal skin tissue was used as a baseline of </w:t>
      </w:r>
      <w:r w:rsidRPr="00D47A6F">
        <w:rPr>
          <w:rFonts w:ascii="Times New Roman" w:hAnsi="Times New Roman" w:cs="Times New Roman"/>
          <w:i/>
          <w:lang w:val="en-US"/>
        </w:rPr>
        <w:t xml:space="preserve">pTERT </w:t>
      </w:r>
      <w:r w:rsidRPr="00AB27DE">
        <w:rPr>
          <w:rFonts w:ascii="Times New Roman" w:hAnsi="Times New Roman" w:cs="Times New Roman"/>
          <w:lang w:val="en-US"/>
        </w:rPr>
        <w:t>methylation. PCR products were analyzed in a 3% agarose gel</w:t>
      </w:r>
      <w:r w:rsidR="005E3949">
        <w:rPr>
          <w:rFonts w:ascii="Times New Roman" w:hAnsi="Times New Roman" w:cs="Times New Roman"/>
          <w:lang w:val="en-US"/>
        </w:rPr>
        <w:t xml:space="preserve"> (</w:t>
      </w:r>
      <w:r w:rsidR="005E3949" w:rsidRPr="000A09B6">
        <w:rPr>
          <w:rFonts w:ascii="Times New Roman" w:hAnsi="Times New Roman" w:cs="Times New Roman"/>
          <w:lang w:val="en-US"/>
        </w:rPr>
        <w:t>Figure S2</w:t>
      </w:r>
      <w:r w:rsidR="005E3949">
        <w:rPr>
          <w:rFonts w:ascii="Times New Roman" w:hAnsi="Times New Roman" w:cs="Times New Roman"/>
          <w:lang w:val="en-US"/>
        </w:rPr>
        <w:t>)</w:t>
      </w:r>
      <w:r w:rsidRPr="00AB27DE">
        <w:rPr>
          <w:rFonts w:ascii="Times New Roman" w:hAnsi="Times New Roman" w:cs="Times New Roman"/>
          <w:lang w:val="en-US"/>
        </w:rPr>
        <w:t>. The intensity of the amplified bands was measured using the ImageJ program (version 1.53e for Windows, NIH, Bethesda, Maryland) and a double normalization was performed between the methylation and non-methylation bands belonging to each sample</w:t>
      </w:r>
      <w:r w:rsidR="005E3949">
        <w:rPr>
          <w:rFonts w:ascii="Times New Roman" w:hAnsi="Times New Roman" w:cs="Times New Roman"/>
          <w:lang w:val="en-US"/>
        </w:rPr>
        <w:t xml:space="preserve"> (internal)</w:t>
      </w:r>
      <w:r w:rsidRPr="00AB27DE">
        <w:rPr>
          <w:rFonts w:ascii="Times New Roman" w:hAnsi="Times New Roman" w:cs="Times New Roman"/>
          <w:lang w:val="en-US"/>
        </w:rPr>
        <w:t xml:space="preserve"> and those of normal skin sample</w:t>
      </w:r>
      <w:r w:rsidR="005E3949">
        <w:rPr>
          <w:rFonts w:ascii="Times New Roman" w:hAnsi="Times New Roman" w:cs="Times New Roman"/>
          <w:lang w:val="en-US"/>
        </w:rPr>
        <w:t xml:space="preserve"> (external)</w:t>
      </w:r>
      <w:r w:rsidRPr="00AB27DE">
        <w:rPr>
          <w:rFonts w:ascii="Times New Roman" w:hAnsi="Times New Roman" w:cs="Times New Roman"/>
          <w:lang w:val="en-US"/>
        </w:rPr>
        <w:t xml:space="preserve">, which gave a numerical value for the methylation status of </w:t>
      </w:r>
      <w:r w:rsidRPr="00D47A6F">
        <w:rPr>
          <w:rFonts w:ascii="Times New Roman" w:hAnsi="Times New Roman" w:cs="Times New Roman"/>
          <w:i/>
          <w:lang w:val="en-US"/>
        </w:rPr>
        <w:t>pTERT</w:t>
      </w:r>
      <w:r w:rsidRPr="00AB27DE">
        <w:rPr>
          <w:rFonts w:ascii="Times New Roman" w:hAnsi="Times New Roman" w:cs="Times New Roman"/>
          <w:lang w:val="en-US"/>
        </w:rPr>
        <w:t xml:space="preserve"> </w:t>
      </w:r>
      <w:r w:rsidRPr="00AB27DE">
        <w:rPr>
          <w:rFonts w:ascii="Times New Roman" w:hAnsi="Times New Roman" w:cs="Times New Roman"/>
          <w:lang w:val="en-US"/>
        </w:rPr>
        <w:fldChar w:fldCharType="begin" w:fldLock="1"/>
      </w:r>
      <w:r w:rsidR="00C732EB">
        <w:rPr>
          <w:rFonts w:ascii="Times New Roman" w:hAnsi="Times New Roman" w:cs="Times New Roman"/>
          <w:lang w:val="en-US"/>
        </w:rPr>
        <w:instrText>ADDIN CSL_CITATION {"citationItems":[{"id":"ITEM-1","itemData":{"DOI":"10.1007/s00414-019-02076-3","ISSN":"14371596","PMID":"31165262","abstract":"As an important aspect of epigenetics, DNA methylation has been proven to be suitable for forensic DNA analysis. By detecting changes in DNA methylation, it is desirable to construct a model of age patterns associated with it to infer the age of the individual. The hTERT gene methylation is closely related to tumors, but there are few reports on the relationship between hTERT gene promoter methylation and age. In this study, we utilized the methylation-specific polymerase chain reaction and real-time PCR (relative quantification and absolute quantification) approach to explore the connection between hTERT DNA methylation and age prediction. We fit three models for age prediction based on methylation assay for 90 blood samples from donors aged 1–79 years old. Among them, the model of absolute quantification of real-time enabled the age prediction with R2 = 0.9634. We verified the linear regression model with a validation set of 30 blood samples where prediction average error was 4.29 years. Generally, this reliable method improves the DNA methylation analysis of forensic samples.","author":[{"dropping-particle":"","family":"Xin","given":"Ye","non-dropping-particle":"","parse-names":false,"suffix":""},{"dropping-particle":"","family":"Dong","given":"Kaikai","non-dropping-particle":"","parse-names":false,"suffix":""},{"dropping-particle":"","family":"Cao","given":"Fangqi","non-dropping-particle":"","parse-names":false,"suffix":""},{"dropping-particle":"","family":"Tian","given":"Yuxiang","non-dropping-particle":"","parse-names":false,"suffix":""},{"dropping-particle":"","family":"Sun","given":"Jing","non-dropping-particle":"","parse-names":false,"suffix":""},{"dropping-particle":"","family":"Peng","given":"Min","non-dropping-particle":"","parse-names":false,"suffix":""},{"dropping-particle":"","family":"Liu","given":"Wenbin","non-dropping-particle":"","parse-names":false,"suffix":""},{"dropping-particle":"","family":"Shi","given":"Ping","non-dropping-particle":"","parse-names":false,"suffix":""}],"container-title":"International Journal of Legal Medicine","id":"ITEM-1","issue":"5","issued":{"date-parts":[["2019"]]},"page":"1333-1339","publisher":"International Journal of Legal Medicine","title":"Studies of hTERT DNA methylation assays on the human age prediction","type":"article-journal","volume":"133"},"uris":["http://www.mendeley.com/documents/?uuid=aa25c233-c86d-46c9-aa02-1b113ac5b10c"]}],"mendeley":{"formattedCitation":"&lt;sup&gt;2&lt;/sup&gt;","plainTextFormattedCitation":"2","previouslyFormattedCitation":"&lt;sup&gt;2&lt;/sup&gt;"},"properties":{"noteIndex":0},"schema":"https://github.com/citation-style-language/schema/raw/master/csl-citation.json"}</w:instrText>
      </w:r>
      <w:r w:rsidRPr="00AB27DE">
        <w:rPr>
          <w:rFonts w:ascii="Times New Roman" w:hAnsi="Times New Roman" w:cs="Times New Roman"/>
          <w:lang w:val="en-US"/>
        </w:rPr>
        <w:fldChar w:fldCharType="separate"/>
      </w:r>
      <w:r w:rsidR="00C732EB" w:rsidRPr="00C732EB">
        <w:rPr>
          <w:rFonts w:ascii="Times New Roman" w:hAnsi="Times New Roman" w:cs="Times New Roman"/>
          <w:noProof/>
          <w:vertAlign w:val="superscript"/>
          <w:lang w:val="en-US"/>
        </w:rPr>
        <w:t>2</w:t>
      </w:r>
      <w:r w:rsidRPr="00AB27DE">
        <w:rPr>
          <w:rFonts w:ascii="Times New Roman" w:hAnsi="Times New Roman" w:cs="Times New Roman"/>
          <w:lang w:val="en-US"/>
        </w:rPr>
        <w:fldChar w:fldCharType="end"/>
      </w:r>
      <w:r w:rsidRPr="00AB27DE">
        <w:rPr>
          <w:rFonts w:ascii="Times New Roman" w:hAnsi="Times New Roman" w:cs="Times New Roman"/>
          <w:lang w:val="en-US"/>
        </w:rPr>
        <w:t>.</w:t>
      </w:r>
    </w:p>
    <w:p w14:paraId="69AA8890" w14:textId="77777777" w:rsidR="00456B2A" w:rsidRPr="00AB27DE" w:rsidRDefault="00456B2A" w:rsidP="00456B2A">
      <w:pPr>
        <w:spacing w:after="240" w:line="480" w:lineRule="auto"/>
        <w:jc w:val="both"/>
        <w:rPr>
          <w:rFonts w:ascii="Times New Roman" w:hAnsi="Times New Roman" w:cs="Times New Roman"/>
          <w:b/>
          <w:u w:val="single"/>
          <w:lang w:val="en-US"/>
        </w:rPr>
      </w:pPr>
      <w:r w:rsidRPr="00AB27DE">
        <w:rPr>
          <w:rFonts w:ascii="Times New Roman" w:hAnsi="Times New Roman" w:cs="Times New Roman"/>
          <w:b/>
          <w:u w:val="single"/>
          <w:lang w:val="en-US"/>
        </w:rPr>
        <w:t>Expression analysis</w:t>
      </w:r>
    </w:p>
    <w:p w14:paraId="4E45FA44" w14:textId="77777777" w:rsidR="00456B2A" w:rsidRPr="00AB27DE" w:rsidRDefault="00456B2A" w:rsidP="00456B2A">
      <w:pPr>
        <w:spacing w:after="240" w:line="480" w:lineRule="auto"/>
        <w:jc w:val="both"/>
        <w:rPr>
          <w:rFonts w:ascii="Times New Roman" w:hAnsi="Times New Roman" w:cs="Times New Roman"/>
          <w:b/>
          <w:lang w:val="en-US"/>
        </w:rPr>
      </w:pPr>
      <w:r w:rsidRPr="00AB27DE">
        <w:rPr>
          <w:rFonts w:ascii="Times New Roman" w:hAnsi="Times New Roman" w:cs="Times New Roman"/>
          <w:b/>
          <w:i/>
          <w:lang w:val="en-US"/>
        </w:rPr>
        <w:t>Reverse transcription quantitative PCR (RT-qPCR</w:t>
      </w:r>
      <w:r w:rsidRPr="00AB27DE">
        <w:rPr>
          <w:rFonts w:ascii="Times New Roman" w:hAnsi="Times New Roman" w:cs="Times New Roman"/>
          <w:b/>
          <w:lang w:val="en-US"/>
        </w:rPr>
        <w:t>)</w:t>
      </w:r>
    </w:p>
    <w:p w14:paraId="6D9EE981" w14:textId="77777777" w:rsidR="00456B2A" w:rsidRPr="00AB27DE" w:rsidRDefault="00456B2A" w:rsidP="00456B2A">
      <w:pPr>
        <w:spacing w:after="240" w:line="480" w:lineRule="auto"/>
        <w:jc w:val="both"/>
        <w:rPr>
          <w:rFonts w:ascii="Times New Roman" w:hAnsi="Times New Roman" w:cs="Times New Roman"/>
          <w:lang w:val="en-US"/>
        </w:rPr>
      </w:pPr>
      <w:r w:rsidRPr="00AB27DE">
        <w:rPr>
          <w:rFonts w:ascii="Times New Roman" w:hAnsi="Times New Roman" w:cs="Times New Roman"/>
          <w:lang w:val="en-US"/>
        </w:rPr>
        <w:t xml:space="preserve">To measure the mRNA expression of TERT, we performed a reverse transcription PCR to synthetize cDNA by using the SuperScript VILO cDNA synthesis kit according to the manufactures protocol (Thermo Fisher). TERT mRNA expression was evaluated in triplicate using a Taqman probe for TERT (Hs00972650) and GAPDH (Hs99999905) as endogenous control in a relative quantitative PCR by using a 7500 Fast Real-Time PCR System (Thermo Fisher). </w:t>
      </w:r>
    </w:p>
    <w:p w14:paraId="0470DBCC" w14:textId="77777777" w:rsidR="00456B2A" w:rsidRPr="00AB27DE" w:rsidRDefault="00456B2A" w:rsidP="00456B2A">
      <w:pPr>
        <w:spacing w:after="240" w:line="480" w:lineRule="auto"/>
        <w:jc w:val="both"/>
        <w:rPr>
          <w:rFonts w:ascii="Times New Roman" w:hAnsi="Times New Roman" w:cs="Times New Roman"/>
          <w:lang w:val="en-US"/>
        </w:rPr>
      </w:pPr>
      <w:r w:rsidRPr="00AB27DE">
        <w:rPr>
          <w:rFonts w:ascii="Times New Roman" w:hAnsi="Times New Roman" w:cs="Times New Roman"/>
          <w:lang w:val="en-US"/>
        </w:rPr>
        <w:t>In order to determine the relative values of TERT mRNA expression we intended to use as a reference the transcription levels of 7 FFPE tissue samples of normal skin and 5 benign melanocyte nevus. However, the TERT mRNA levels were undetectable by RT-qPCR in those samples, so the normalization of melanoma expression was carried out only with the expression of the endogenous GAPDH (</w:t>
      </w:r>
      <w:r w:rsidRPr="00AB27DE">
        <w:rPr>
          <w:rFonts w:ascii="Times New Roman" w:hAnsi="Times New Roman" w:cs="Times New Roman"/>
        </w:rPr>
        <w:t>Δ</w:t>
      </w:r>
      <w:r w:rsidRPr="00AB27DE">
        <w:rPr>
          <w:rFonts w:ascii="Times New Roman" w:hAnsi="Times New Roman" w:cs="Times New Roman"/>
          <w:lang w:val="en-US"/>
        </w:rPr>
        <w:t>CT).</w:t>
      </w:r>
    </w:p>
    <w:p w14:paraId="78ACE42B" w14:textId="77777777" w:rsidR="00456B2A" w:rsidRPr="00AB27DE" w:rsidRDefault="00456B2A" w:rsidP="00456B2A">
      <w:pPr>
        <w:spacing w:after="240" w:line="480" w:lineRule="auto"/>
        <w:jc w:val="both"/>
        <w:rPr>
          <w:rFonts w:ascii="Times New Roman" w:hAnsi="Times New Roman" w:cs="Times New Roman"/>
          <w:b/>
          <w:u w:val="single"/>
          <w:lang w:val="en-US"/>
        </w:rPr>
      </w:pPr>
      <w:r w:rsidRPr="00AB27DE">
        <w:rPr>
          <w:rFonts w:ascii="Times New Roman" w:hAnsi="Times New Roman" w:cs="Times New Roman"/>
          <w:b/>
          <w:u w:val="single"/>
          <w:lang w:val="en-US"/>
        </w:rPr>
        <w:t>Statistical and survival analysis</w:t>
      </w:r>
    </w:p>
    <w:p w14:paraId="1BBA3544" w14:textId="492B9E4F" w:rsidR="00456B2A" w:rsidRPr="00AB27DE" w:rsidRDefault="00456B2A" w:rsidP="00456B2A">
      <w:pPr>
        <w:spacing w:after="240" w:line="480" w:lineRule="auto"/>
        <w:jc w:val="both"/>
        <w:rPr>
          <w:rFonts w:ascii="Times New Roman" w:hAnsi="Times New Roman" w:cs="Times New Roman"/>
          <w:lang w:val="en-US"/>
        </w:rPr>
      </w:pPr>
      <w:r w:rsidRPr="00AB27DE">
        <w:rPr>
          <w:rFonts w:ascii="Times New Roman" w:hAnsi="Times New Roman" w:cs="Times New Roman"/>
          <w:lang w:val="en-US"/>
        </w:rPr>
        <w:t>The results obtained were statistically analyzed using Chi-square independence tests based on contingency tables for categorical variables.</w:t>
      </w:r>
      <w:r w:rsidR="006C79AD">
        <w:rPr>
          <w:rFonts w:ascii="Times New Roman" w:hAnsi="Times New Roman" w:cs="Times New Roman"/>
          <w:lang w:val="en-US"/>
        </w:rPr>
        <w:t xml:space="preserve"> </w:t>
      </w:r>
      <w:r w:rsidR="006C79AD" w:rsidRPr="007F42B8">
        <w:rPr>
          <w:rFonts w:ascii="Times New Roman" w:hAnsi="Times New Roman" w:cs="Times New Roman"/>
          <w:lang w:val="en-US"/>
        </w:rPr>
        <w:t>The effect size was</w:t>
      </w:r>
      <w:r w:rsidR="006C79AD">
        <w:rPr>
          <w:rFonts w:ascii="Times New Roman" w:hAnsi="Times New Roman" w:cs="Times New Roman"/>
          <w:lang w:val="en-US"/>
        </w:rPr>
        <w:t xml:space="preserve"> estimated using Ddds ratio (OR</w:t>
      </w:r>
      <w:r w:rsidR="006C79AD" w:rsidRPr="007F42B8">
        <w:rPr>
          <w:rFonts w:ascii="Times New Roman" w:hAnsi="Times New Roman" w:cs="Times New Roman"/>
          <w:lang w:val="en-US"/>
        </w:rPr>
        <w:t xml:space="preserve">) </w:t>
      </w:r>
      <w:r w:rsidR="006C79AD">
        <w:rPr>
          <w:rFonts w:ascii="Times New Roman" w:hAnsi="Times New Roman" w:cs="Times New Roman"/>
          <w:lang w:val="en-US"/>
        </w:rPr>
        <w:t xml:space="preserve">and </w:t>
      </w:r>
      <w:r w:rsidR="006C79AD">
        <w:rPr>
          <w:rFonts w:ascii="Times New Roman" w:hAnsi="Times New Roman" w:cs="Times New Roman"/>
          <w:lang w:val="en-US"/>
        </w:rPr>
        <w:lastRenderedPageBreak/>
        <w:t>95% confidence interval (CI</w:t>
      </w:r>
      <w:r w:rsidR="006C79AD" w:rsidRPr="007F42B8">
        <w:rPr>
          <w:rFonts w:ascii="Times New Roman" w:hAnsi="Times New Roman" w:cs="Times New Roman"/>
          <w:lang w:val="en-US"/>
        </w:rPr>
        <w:t>).</w:t>
      </w:r>
      <w:r w:rsidRPr="00AB27DE">
        <w:rPr>
          <w:rFonts w:ascii="Times New Roman" w:hAnsi="Times New Roman" w:cs="Times New Roman"/>
          <w:lang w:val="en-US"/>
        </w:rPr>
        <w:t xml:space="preserve"> We performed variance analysis by ANOVA one way</w:t>
      </w:r>
      <w:r w:rsidR="0001562A" w:rsidRPr="00AB27DE">
        <w:rPr>
          <w:rFonts w:ascii="Times New Roman" w:hAnsi="Times New Roman" w:cs="Times New Roman"/>
          <w:lang w:val="en-US"/>
        </w:rPr>
        <w:t xml:space="preserve"> and two way</w:t>
      </w:r>
      <w:r w:rsidRPr="00AB27DE">
        <w:rPr>
          <w:rFonts w:ascii="Times New Roman" w:hAnsi="Times New Roman" w:cs="Times New Roman"/>
          <w:lang w:val="en-US"/>
        </w:rPr>
        <w:t xml:space="preserve">, means comparison by t-Student test (T-test) and linear regressions for continuous variables. Survival analyses were </w:t>
      </w:r>
      <w:bookmarkStart w:id="0" w:name="_GoBack"/>
      <w:bookmarkEnd w:id="0"/>
      <w:r w:rsidRPr="00AB27DE">
        <w:rPr>
          <w:rFonts w:ascii="Times New Roman" w:hAnsi="Times New Roman" w:cs="Times New Roman"/>
          <w:lang w:val="en-US"/>
        </w:rPr>
        <w:t>perform</w:t>
      </w:r>
      <w:r w:rsidR="0001562A" w:rsidRPr="00AB27DE">
        <w:rPr>
          <w:rFonts w:ascii="Times New Roman" w:hAnsi="Times New Roman" w:cs="Times New Roman"/>
          <w:lang w:val="en-US"/>
        </w:rPr>
        <w:t xml:space="preserve">ed using Kaplan-Meir curves, </w:t>
      </w:r>
      <w:r w:rsidRPr="00AB27DE">
        <w:rPr>
          <w:rFonts w:ascii="Times New Roman" w:hAnsi="Times New Roman" w:cs="Times New Roman"/>
          <w:lang w:val="en-US"/>
        </w:rPr>
        <w:t>paired comparisons by Log-Rank test</w:t>
      </w:r>
      <w:r w:rsidR="0001562A" w:rsidRPr="00AB27DE">
        <w:rPr>
          <w:rFonts w:ascii="Times New Roman" w:hAnsi="Times New Roman" w:cs="Times New Roman"/>
          <w:lang w:val="en-US"/>
        </w:rPr>
        <w:t xml:space="preserve"> and Cox regressions analyses</w:t>
      </w:r>
      <w:r w:rsidRPr="00AB27DE">
        <w:rPr>
          <w:rFonts w:ascii="Times New Roman" w:hAnsi="Times New Roman" w:cs="Times New Roman"/>
          <w:lang w:val="en-US"/>
        </w:rPr>
        <w:t>. A values of P &lt; 0.05 were considered statistically significant. These analyses were performed with GraphPad Prism, GP (version 8.0.1 for Windows, San Diego, California)</w:t>
      </w:r>
      <w:r w:rsidR="00983648" w:rsidRPr="00AB27DE">
        <w:rPr>
          <w:rFonts w:ascii="Times New Roman" w:hAnsi="Times New Roman" w:cs="Times New Roman"/>
          <w:lang w:val="en-US"/>
        </w:rPr>
        <w:t>, SPSS Statistics (version 21.0.0 for Windows, IBM, New York, USA)</w:t>
      </w:r>
      <w:r w:rsidRPr="00AB27DE">
        <w:rPr>
          <w:rFonts w:ascii="Times New Roman" w:hAnsi="Times New Roman" w:cs="Times New Roman"/>
          <w:lang w:val="en-US"/>
        </w:rPr>
        <w:t xml:space="preserve"> and R statistical analysis software (version 4.0.3 for MacOS, Vienna, Austria).</w:t>
      </w:r>
    </w:p>
    <w:p w14:paraId="519A3E0E" w14:textId="77777777" w:rsidR="00456B2A" w:rsidRPr="00D47A6F" w:rsidRDefault="00C732EB" w:rsidP="00456B2A">
      <w:pPr>
        <w:jc w:val="both"/>
        <w:rPr>
          <w:rFonts w:ascii="Times New Roman" w:hAnsi="Times New Roman" w:cs="Times New Roman"/>
          <w:b/>
          <w:bCs/>
        </w:rPr>
      </w:pPr>
      <w:r w:rsidRPr="00D47A6F">
        <w:rPr>
          <w:rFonts w:ascii="Times New Roman" w:hAnsi="Times New Roman" w:cs="Times New Roman"/>
          <w:b/>
          <w:bCs/>
        </w:rPr>
        <w:t>REFERENCES</w:t>
      </w:r>
    </w:p>
    <w:p w14:paraId="254B7C73" w14:textId="77777777" w:rsidR="00771941" w:rsidRPr="00D47A6F" w:rsidRDefault="00C732EB" w:rsidP="00771941">
      <w:pPr>
        <w:widowControl w:val="0"/>
        <w:autoSpaceDE w:val="0"/>
        <w:autoSpaceDN w:val="0"/>
        <w:adjustRightInd w:val="0"/>
        <w:spacing w:line="240" w:lineRule="auto"/>
        <w:ind w:left="640" w:hanging="640"/>
        <w:rPr>
          <w:rFonts w:ascii="Times New Roman" w:hAnsi="Times New Roman" w:cs="Times New Roman"/>
          <w:noProof/>
          <w:szCs w:val="24"/>
          <w:lang w:val="en-US"/>
        </w:rPr>
      </w:pPr>
      <w:r>
        <w:rPr>
          <w:rFonts w:ascii="Times New Roman" w:hAnsi="Times New Roman" w:cs="Times New Roman"/>
          <w:u w:val="single"/>
          <w:lang w:val="en-US"/>
        </w:rPr>
        <w:fldChar w:fldCharType="begin" w:fldLock="1"/>
      </w:r>
      <w:r w:rsidRPr="00D47A6F">
        <w:rPr>
          <w:rFonts w:ascii="Times New Roman" w:hAnsi="Times New Roman" w:cs="Times New Roman"/>
          <w:u w:val="single"/>
        </w:rPr>
        <w:instrText xml:space="preserve">ADDIN Mendeley Bibliography CSL_BIBLIOGRAPHY </w:instrText>
      </w:r>
      <w:r>
        <w:rPr>
          <w:rFonts w:ascii="Times New Roman" w:hAnsi="Times New Roman" w:cs="Times New Roman"/>
          <w:u w:val="single"/>
          <w:lang w:val="en-US"/>
        </w:rPr>
        <w:fldChar w:fldCharType="separate"/>
      </w:r>
      <w:r w:rsidR="00771941" w:rsidRPr="00771941">
        <w:rPr>
          <w:rFonts w:ascii="Times New Roman" w:hAnsi="Times New Roman" w:cs="Times New Roman"/>
          <w:noProof/>
          <w:szCs w:val="24"/>
        </w:rPr>
        <w:t>1</w:t>
      </w:r>
      <w:r w:rsidR="00771941" w:rsidRPr="00771941">
        <w:rPr>
          <w:rFonts w:ascii="Times New Roman" w:hAnsi="Times New Roman" w:cs="Times New Roman"/>
          <w:noProof/>
          <w:szCs w:val="24"/>
        </w:rPr>
        <w:tab/>
        <w:t xml:space="preserve">McEvoy AC, Calapre L, Pereira MR, </w:t>
      </w:r>
      <w:r w:rsidR="00771941" w:rsidRPr="00771941">
        <w:rPr>
          <w:rFonts w:ascii="Times New Roman" w:hAnsi="Times New Roman" w:cs="Times New Roman"/>
          <w:i/>
          <w:iCs/>
          <w:noProof/>
          <w:szCs w:val="24"/>
        </w:rPr>
        <w:t>et al.</w:t>
      </w:r>
      <w:r w:rsidR="00771941" w:rsidRPr="00771941">
        <w:rPr>
          <w:rFonts w:ascii="Times New Roman" w:hAnsi="Times New Roman" w:cs="Times New Roman"/>
          <w:noProof/>
          <w:szCs w:val="24"/>
        </w:rPr>
        <w:t xml:space="preserve"> </w:t>
      </w:r>
      <w:r w:rsidR="00771941" w:rsidRPr="00D47A6F">
        <w:rPr>
          <w:rFonts w:ascii="Times New Roman" w:hAnsi="Times New Roman" w:cs="Times New Roman"/>
          <w:noProof/>
          <w:szCs w:val="24"/>
          <w:lang w:val="en-US"/>
        </w:rPr>
        <w:t xml:space="preserve">Sensitive droplet digital PCR method for detection of TERT promoter mutations in cell free DNA from patients with metastatic melanoma. </w:t>
      </w:r>
      <w:r w:rsidR="00771941" w:rsidRPr="00D47A6F">
        <w:rPr>
          <w:rFonts w:ascii="Times New Roman" w:hAnsi="Times New Roman" w:cs="Times New Roman"/>
          <w:i/>
          <w:iCs/>
          <w:noProof/>
          <w:szCs w:val="24"/>
          <w:lang w:val="en-US"/>
        </w:rPr>
        <w:t>Oncotarget</w:t>
      </w:r>
      <w:r w:rsidR="00771941" w:rsidRPr="00D47A6F">
        <w:rPr>
          <w:rFonts w:ascii="Times New Roman" w:hAnsi="Times New Roman" w:cs="Times New Roman"/>
          <w:noProof/>
          <w:szCs w:val="24"/>
          <w:lang w:val="en-US"/>
        </w:rPr>
        <w:t xml:space="preserve"> 2017; </w:t>
      </w:r>
      <w:r w:rsidR="00771941" w:rsidRPr="00D47A6F">
        <w:rPr>
          <w:rFonts w:ascii="Times New Roman" w:hAnsi="Times New Roman" w:cs="Times New Roman"/>
          <w:b/>
          <w:bCs/>
          <w:noProof/>
          <w:szCs w:val="24"/>
          <w:lang w:val="en-US"/>
        </w:rPr>
        <w:t>8</w:t>
      </w:r>
      <w:r w:rsidR="00771941" w:rsidRPr="00D47A6F">
        <w:rPr>
          <w:rFonts w:ascii="Times New Roman" w:hAnsi="Times New Roman" w:cs="Times New Roman"/>
          <w:noProof/>
          <w:szCs w:val="24"/>
          <w:lang w:val="en-US"/>
        </w:rPr>
        <w:t>:78890–900.</w:t>
      </w:r>
    </w:p>
    <w:p w14:paraId="5BF207B1" w14:textId="77777777" w:rsidR="00771941" w:rsidRPr="00D47A6F" w:rsidRDefault="00771941" w:rsidP="00771941">
      <w:pPr>
        <w:widowControl w:val="0"/>
        <w:autoSpaceDE w:val="0"/>
        <w:autoSpaceDN w:val="0"/>
        <w:adjustRightInd w:val="0"/>
        <w:spacing w:line="240" w:lineRule="auto"/>
        <w:ind w:left="640" w:hanging="640"/>
        <w:rPr>
          <w:rFonts w:ascii="Times New Roman" w:hAnsi="Times New Roman" w:cs="Times New Roman"/>
          <w:noProof/>
          <w:szCs w:val="24"/>
          <w:lang w:val="en-US"/>
        </w:rPr>
      </w:pPr>
      <w:r w:rsidRPr="00D47A6F">
        <w:rPr>
          <w:rFonts w:ascii="Times New Roman" w:hAnsi="Times New Roman" w:cs="Times New Roman"/>
          <w:noProof/>
          <w:szCs w:val="24"/>
          <w:lang w:val="en-US"/>
        </w:rPr>
        <w:t>2</w:t>
      </w:r>
      <w:r w:rsidRPr="00D47A6F">
        <w:rPr>
          <w:rFonts w:ascii="Times New Roman" w:hAnsi="Times New Roman" w:cs="Times New Roman"/>
          <w:noProof/>
          <w:szCs w:val="24"/>
          <w:lang w:val="en-US"/>
        </w:rPr>
        <w:tab/>
        <w:t xml:space="preserve">Xin Y, Dong K, Cao F, </w:t>
      </w:r>
      <w:r w:rsidRPr="00D47A6F">
        <w:rPr>
          <w:rFonts w:ascii="Times New Roman" w:hAnsi="Times New Roman" w:cs="Times New Roman"/>
          <w:i/>
          <w:iCs/>
          <w:noProof/>
          <w:szCs w:val="24"/>
          <w:lang w:val="en-US"/>
        </w:rPr>
        <w:t>et al.</w:t>
      </w:r>
      <w:r w:rsidRPr="00D47A6F">
        <w:rPr>
          <w:rFonts w:ascii="Times New Roman" w:hAnsi="Times New Roman" w:cs="Times New Roman"/>
          <w:noProof/>
          <w:szCs w:val="24"/>
          <w:lang w:val="en-US"/>
        </w:rPr>
        <w:t xml:space="preserve"> Studies of hTERT DNA methylation assays on the human age prediction. </w:t>
      </w:r>
      <w:r w:rsidRPr="00D47A6F">
        <w:rPr>
          <w:rFonts w:ascii="Times New Roman" w:hAnsi="Times New Roman" w:cs="Times New Roman"/>
          <w:i/>
          <w:iCs/>
          <w:noProof/>
          <w:szCs w:val="24"/>
          <w:lang w:val="en-US"/>
        </w:rPr>
        <w:t>Int J Legal Med</w:t>
      </w:r>
      <w:r w:rsidRPr="00D47A6F">
        <w:rPr>
          <w:rFonts w:ascii="Times New Roman" w:hAnsi="Times New Roman" w:cs="Times New Roman"/>
          <w:noProof/>
          <w:szCs w:val="24"/>
          <w:lang w:val="en-US"/>
        </w:rPr>
        <w:t xml:space="preserve"> 2019; </w:t>
      </w:r>
      <w:r w:rsidRPr="00D47A6F">
        <w:rPr>
          <w:rFonts w:ascii="Times New Roman" w:hAnsi="Times New Roman" w:cs="Times New Roman"/>
          <w:b/>
          <w:bCs/>
          <w:noProof/>
          <w:szCs w:val="24"/>
          <w:lang w:val="en-US"/>
        </w:rPr>
        <w:t>133</w:t>
      </w:r>
      <w:r w:rsidRPr="00D47A6F">
        <w:rPr>
          <w:rFonts w:ascii="Times New Roman" w:hAnsi="Times New Roman" w:cs="Times New Roman"/>
          <w:noProof/>
          <w:szCs w:val="24"/>
          <w:lang w:val="en-US"/>
        </w:rPr>
        <w:t>:1333–9.</w:t>
      </w:r>
    </w:p>
    <w:p w14:paraId="6F1DE8D1" w14:textId="77777777" w:rsidR="00771941" w:rsidRPr="00771941" w:rsidRDefault="00771941" w:rsidP="00771941">
      <w:pPr>
        <w:widowControl w:val="0"/>
        <w:autoSpaceDE w:val="0"/>
        <w:autoSpaceDN w:val="0"/>
        <w:adjustRightInd w:val="0"/>
        <w:spacing w:line="240" w:lineRule="auto"/>
        <w:ind w:left="640" w:hanging="640"/>
        <w:rPr>
          <w:rFonts w:ascii="Times New Roman" w:hAnsi="Times New Roman" w:cs="Times New Roman"/>
          <w:noProof/>
        </w:rPr>
      </w:pPr>
      <w:r w:rsidRPr="00D47A6F">
        <w:rPr>
          <w:rFonts w:ascii="Times New Roman" w:hAnsi="Times New Roman" w:cs="Times New Roman"/>
          <w:noProof/>
          <w:szCs w:val="24"/>
          <w:lang w:val="en-US"/>
        </w:rPr>
        <w:t>3</w:t>
      </w:r>
      <w:r w:rsidRPr="00D47A6F">
        <w:rPr>
          <w:rFonts w:ascii="Times New Roman" w:hAnsi="Times New Roman" w:cs="Times New Roman"/>
          <w:noProof/>
          <w:szCs w:val="24"/>
          <w:lang w:val="en-US"/>
        </w:rPr>
        <w:tab/>
        <w:t xml:space="preserve">Lee DD, Leão R, Komosa M, </w:t>
      </w:r>
      <w:r w:rsidRPr="00D47A6F">
        <w:rPr>
          <w:rFonts w:ascii="Times New Roman" w:hAnsi="Times New Roman" w:cs="Times New Roman"/>
          <w:i/>
          <w:iCs/>
          <w:noProof/>
          <w:szCs w:val="24"/>
          <w:lang w:val="en-US"/>
        </w:rPr>
        <w:t>et al.</w:t>
      </w:r>
      <w:r w:rsidRPr="00D47A6F">
        <w:rPr>
          <w:rFonts w:ascii="Times New Roman" w:hAnsi="Times New Roman" w:cs="Times New Roman"/>
          <w:noProof/>
          <w:szCs w:val="24"/>
          <w:lang w:val="en-US"/>
        </w:rPr>
        <w:t xml:space="preserve"> DNA hypermethylation within TERT promoter upregulates TERT expression in cancer. </w:t>
      </w:r>
      <w:r w:rsidRPr="00771941">
        <w:rPr>
          <w:rFonts w:ascii="Times New Roman" w:hAnsi="Times New Roman" w:cs="Times New Roman"/>
          <w:i/>
          <w:iCs/>
          <w:noProof/>
          <w:szCs w:val="24"/>
        </w:rPr>
        <w:t>J Clin Invest</w:t>
      </w:r>
      <w:r w:rsidRPr="00771941">
        <w:rPr>
          <w:rFonts w:ascii="Times New Roman" w:hAnsi="Times New Roman" w:cs="Times New Roman"/>
          <w:noProof/>
          <w:szCs w:val="24"/>
        </w:rPr>
        <w:t xml:space="preserve"> 2019; </w:t>
      </w:r>
      <w:r w:rsidRPr="00771941">
        <w:rPr>
          <w:rFonts w:ascii="Times New Roman" w:hAnsi="Times New Roman" w:cs="Times New Roman"/>
          <w:b/>
          <w:bCs/>
          <w:noProof/>
          <w:szCs w:val="24"/>
        </w:rPr>
        <w:t>129</w:t>
      </w:r>
      <w:r w:rsidRPr="00771941">
        <w:rPr>
          <w:rFonts w:ascii="Times New Roman" w:hAnsi="Times New Roman" w:cs="Times New Roman"/>
          <w:noProof/>
          <w:szCs w:val="24"/>
        </w:rPr>
        <w:t>:223–9.</w:t>
      </w:r>
    </w:p>
    <w:p w14:paraId="697979C2" w14:textId="77777777" w:rsidR="00C732EB" w:rsidRPr="00AB27DE" w:rsidRDefault="00C732EB" w:rsidP="00456B2A">
      <w:pPr>
        <w:jc w:val="both"/>
        <w:rPr>
          <w:rFonts w:ascii="Times New Roman" w:hAnsi="Times New Roman" w:cs="Times New Roman"/>
          <w:u w:val="single"/>
          <w:lang w:val="en-US"/>
        </w:rPr>
      </w:pPr>
      <w:r>
        <w:rPr>
          <w:rFonts w:ascii="Times New Roman" w:hAnsi="Times New Roman" w:cs="Times New Roman"/>
          <w:u w:val="single"/>
          <w:lang w:val="en-US"/>
        </w:rPr>
        <w:fldChar w:fldCharType="end"/>
      </w:r>
    </w:p>
    <w:sectPr w:rsidR="00C732EB" w:rsidRPr="00AB27DE" w:rsidSect="00ED7131">
      <w:footerReference w:type="default" r:id="rId7"/>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1FCB5D" w14:textId="77777777" w:rsidR="00752725" w:rsidRDefault="00752725" w:rsidP="002D6653">
      <w:pPr>
        <w:spacing w:after="0" w:line="240" w:lineRule="auto"/>
      </w:pPr>
      <w:r>
        <w:separator/>
      </w:r>
    </w:p>
  </w:endnote>
  <w:endnote w:type="continuationSeparator" w:id="0">
    <w:p w14:paraId="365B0409" w14:textId="77777777" w:rsidR="00752725" w:rsidRDefault="00752725" w:rsidP="002D6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7201296"/>
      <w:docPartObj>
        <w:docPartGallery w:val="Page Numbers (Bottom of Page)"/>
        <w:docPartUnique/>
      </w:docPartObj>
    </w:sdtPr>
    <w:sdtEndPr/>
    <w:sdtContent>
      <w:p w14:paraId="56A4908B" w14:textId="77777777" w:rsidR="002D6653" w:rsidRDefault="002D6653">
        <w:pPr>
          <w:pStyle w:val="Piedepgina"/>
          <w:jc w:val="right"/>
        </w:pPr>
        <w:r>
          <w:fldChar w:fldCharType="begin"/>
        </w:r>
        <w:r>
          <w:instrText>PAGE   \* MERGEFORMAT</w:instrText>
        </w:r>
        <w:r>
          <w:fldChar w:fldCharType="separate"/>
        </w:r>
        <w:r w:rsidR="006C79AD">
          <w:rPr>
            <w:noProof/>
          </w:rPr>
          <w:t>4</w:t>
        </w:r>
        <w:r>
          <w:fldChar w:fldCharType="end"/>
        </w:r>
      </w:p>
    </w:sdtContent>
  </w:sdt>
  <w:p w14:paraId="024A19FD" w14:textId="77777777" w:rsidR="002D6653" w:rsidRDefault="002D665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5B0BE4" w14:textId="77777777" w:rsidR="00752725" w:rsidRDefault="00752725" w:rsidP="002D6653">
      <w:pPr>
        <w:spacing w:after="0" w:line="240" w:lineRule="auto"/>
      </w:pPr>
      <w:r>
        <w:separator/>
      </w:r>
    </w:p>
  </w:footnote>
  <w:footnote w:type="continuationSeparator" w:id="0">
    <w:p w14:paraId="6E8255ED" w14:textId="77777777" w:rsidR="00752725" w:rsidRDefault="00752725" w:rsidP="002D66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AD8"/>
    <w:rsid w:val="0001562A"/>
    <w:rsid w:val="000A09B6"/>
    <w:rsid w:val="00156056"/>
    <w:rsid w:val="00255024"/>
    <w:rsid w:val="0026528F"/>
    <w:rsid w:val="002D6653"/>
    <w:rsid w:val="00322BD4"/>
    <w:rsid w:val="0039514D"/>
    <w:rsid w:val="003A122C"/>
    <w:rsid w:val="003C6746"/>
    <w:rsid w:val="00456B2A"/>
    <w:rsid w:val="00472BE2"/>
    <w:rsid w:val="00487AC2"/>
    <w:rsid w:val="004F3F4F"/>
    <w:rsid w:val="00563EDD"/>
    <w:rsid w:val="0057592E"/>
    <w:rsid w:val="00590D16"/>
    <w:rsid w:val="005B4AD8"/>
    <w:rsid w:val="005E3949"/>
    <w:rsid w:val="00694E2B"/>
    <w:rsid w:val="006C79AD"/>
    <w:rsid w:val="00752725"/>
    <w:rsid w:val="00771941"/>
    <w:rsid w:val="007D36C0"/>
    <w:rsid w:val="008C3B85"/>
    <w:rsid w:val="00983648"/>
    <w:rsid w:val="00AB27DE"/>
    <w:rsid w:val="00BD742E"/>
    <w:rsid w:val="00C732EB"/>
    <w:rsid w:val="00D47A6F"/>
    <w:rsid w:val="00D628F3"/>
    <w:rsid w:val="00E20E5F"/>
    <w:rsid w:val="00ED713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9F2BC"/>
  <w15:docId w15:val="{C4A540D1-8A55-4E15-A247-340B871EC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456B2A"/>
    <w:pPr>
      <w:autoSpaceDE w:val="0"/>
      <w:autoSpaceDN w:val="0"/>
      <w:adjustRightInd w:val="0"/>
      <w:spacing w:after="0" w:line="240" w:lineRule="auto"/>
    </w:pPr>
    <w:rPr>
      <w:rFonts w:ascii="Times New Roman" w:hAnsi="Times New Roman" w:cs="Times New Roman"/>
      <w:color w:val="000000"/>
      <w:sz w:val="24"/>
      <w:szCs w:val="24"/>
    </w:rPr>
  </w:style>
  <w:style w:type="character" w:styleId="Refdecomentario">
    <w:name w:val="annotation reference"/>
    <w:basedOn w:val="Fuentedeprrafopredeter"/>
    <w:uiPriority w:val="99"/>
    <w:semiHidden/>
    <w:unhideWhenUsed/>
    <w:rsid w:val="00456B2A"/>
    <w:rPr>
      <w:sz w:val="16"/>
      <w:szCs w:val="16"/>
    </w:rPr>
  </w:style>
  <w:style w:type="paragraph" w:styleId="Encabezado">
    <w:name w:val="header"/>
    <w:basedOn w:val="Normal"/>
    <w:link w:val="EncabezadoCar"/>
    <w:uiPriority w:val="99"/>
    <w:unhideWhenUsed/>
    <w:rsid w:val="002D665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D6653"/>
  </w:style>
  <w:style w:type="paragraph" w:styleId="Piedepgina">
    <w:name w:val="footer"/>
    <w:basedOn w:val="Normal"/>
    <w:link w:val="PiedepginaCar"/>
    <w:uiPriority w:val="99"/>
    <w:unhideWhenUsed/>
    <w:rsid w:val="002D665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D6653"/>
  </w:style>
  <w:style w:type="paragraph" w:styleId="Textocomentario">
    <w:name w:val="annotation text"/>
    <w:basedOn w:val="Normal"/>
    <w:link w:val="TextocomentarioCar"/>
    <w:uiPriority w:val="99"/>
    <w:semiHidden/>
    <w:unhideWhenUsed/>
    <w:rsid w:val="00487AC2"/>
    <w:pPr>
      <w:spacing w:after="160" w:line="240" w:lineRule="auto"/>
    </w:pPr>
    <w:rPr>
      <w:sz w:val="20"/>
      <w:szCs w:val="20"/>
    </w:rPr>
  </w:style>
  <w:style w:type="character" w:customStyle="1" w:styleId="TextocomentarioCar">
    <w:name w:val="Texto comentario Car"/>
    <w:basedOn w:val="Fuentedeprrafopredeter"/>
    <w:link w:val="Textocomentario"/>
    <w:uiPriority w:val="99"/>
    <w:semiHidden/>
    <w:rsid w:val="00487AC2"/>
    <w:rPr>
      <w:sz w:val="20"/>
      <w:szCs w:val="20"/>
    </w:rPr>
  </w:style>
  <w:style w:type="paragraph" w:styleId="Textodeglobo">
    <w:name w:val="Balloon Text"/>
    <w:basedOn w:val="Normal"/>
    <w:link w:val="TextodegloboCar"/>
    <w:uiPriority w:val="99"/>
    <w:semiHidden/>
    <w:unhideWhenUsed/>
    <w:rsid w:val="00487AC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7AC2"/>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487AC2"/>
    <w:pPr>
      <w:spacing w:after="200"/>
    </w:pPr>
    <w:rPr>
      <w:b/>
      <w:bCs/>
    </w:rPr>
  </w:style>
  <w:style w:type="character" w:customStyle="1" w:styleId="AsuntodelcomentarioCar">
    <w:name w:val="Asunto del comentario Car"/>
    <w:basedOn w:val="TextocomentarioCar"/>
    <w:link w:val="Asuntodelcomentario"/>
    <w:uiPriority w:val="99"/>
    <w:semiHidden/>
    <w:rsid w:val="00487A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6E255-7A1E-40D7-B6AD-27A3D62D6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5</Pages>
  <Words>3847</Words>
  <Characters>21161</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Adminext</dc:creator>
  <cp:lastModifiedBy>Consejeria de Sanidad</cp:lastModifiedBy>
  <cp:revision>13</cp:revision>
  <dcterms:created xsi:type="dcterms:W3CDTF">2021-11-11T14:07:00Z</dcterms:created>
  <dcterms:modified xsi:type="dcterms:W3CDTF">2022-07-20T11:48:00Z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http://www.zotero.org/styles/american-journal-of-surgical-pathology</vt:lpwstr>
  </property>
  <property fmtid="{D5CDD505-2E9C-101B-9397-08002B2CF9AE}" pid="3" name="Mendeley Recent Style Name 0_1">
    <vt:lpwstr>American Journal of Surgical Pathology</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http://www.zotero.org/styles/british-journal-of-dermatology</vt:lpwstr>
  </property>
  <property fmtid="{D5CDD505-2E9C-101B-9397-08002B2CF9AE}" pid="9" name="Mendeley Recent Style Name 3_1">
    <vt:lpwstr>British Journal of Dermatology</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b4e8ce18-d0aa-3145-8f58-f635c79f7efd</vt:lpwstr>
  </property>
  <property fmtid="{D5CDD505-2E9C-101B-9397-08002B2CF9AE}" pid="24" name="Mendeley Citation Style_1">
    <vt:lpwstr>http://www.zotero.org/styles/british-journal-of-dermatology</vt:lpwstr>
  </property>
</Properties>
</file>