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5CD3F" w14:textId="35EAD4A2" w:rsidR="00297A75" w:rsidRPr="000A51BD" w:rsidRDefault="000A51BD" w:rsidP="000A51BD">
      <w:pPr>
        <w:spacing w:line="360" w:lineRule="auto"/>
        <w:rPr>
          <w:rFonts w:ascii="Times New Roman" w:hAnsi="Times New Roman" w:cs="Times New Roman"/>
          <w:b/>
          <w:sz w:val="22"/>
        </w:rPr>
      </w:pPr>
      <w:r w:rsidRPr="000A51BD">
        <w:rPr>
          <w:rFonts w:ascii="Times New Roman" w:hAnsi="Times New Roman" w:cs="Times New Roman"/>
          <w:b/>
          <w:sz w:val="22"/>
        </w:rPr>
        <w:t>Supplemental information</w:t>
      </w:r>
    </w:p>
    <w:p w14:paraId="6D196D0F" w14:textId="77777777" w:rsidR="00540D53" w:rsidRDefault="00540D53" w:rsidP="000A51BD">
      <w:pPr>
        <w:spacing w:line="360" w:lineRule="auto"/>
        <w:rPr>
          <w:rFonts w:ascii="Times New Roman" w:hAnsi="Times New Roman" w:cs="Times New Roman"/>
          <w:sz w:val="22"/>
        </w:rPr>
      </w:pPr>
    </w:p>
    <w:p w14:paraId="6F8E490F" w14:textId="086D301F" w:rsidR="00540D53" w:rsidRDefault="00540D53" w:rsidP="00540D53">
      <w:pPr>
        <w:spacing w:line="360" w:lineRule="auto"/>
        <w:jc w:val="center"/>
        <w:rPr>
          <w:rFonts w:ascii="Times New Roman" w:hAnsi="Times New Roman" w:cs="Times New Roman"/>
          <w:sz w:val="22"/>
        </w:rPr>
      </w:pPr>
      <w:r w:rsidRPr="00540D53">
        <w:rPr>
          <w:rFonts w:ascii="Times New Roman" w:hAnsi="Times New Roman" w:cs="Times New Roman"/>
          <w:sz w:val="22"/>
        </w:rPr>
        <w:drawing>
          <wp:inline distT="0" distB="0" distL="0" distR="0" wp14:anchorId="5FDBD087" wp14:editId="2FFEBA60">
            <wp:extent cx="5274310" cy="2472055"/>
            <wp:effectExtent l="0" t="0" r="2540" b="4445"/>
            <wp:docPr id="4"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472055"/>
                    </a:xfrm>
                    <a:prstGeom prst="rect">
                      <a:avLst/>
                    </a:prstGeom>
                  </pic:spPr>
                </pic:pic>
              </a:graphicData>
            </a:graphic>
          </wp:inline>
        </w:drawing>
      </w:r>
    </w:p>
    <w:p w14:paraId="5EAF4436" w14:textId="0379B7D6" w:rsidR="000A51BD" w:rsidRPr="000A51BD" w:rsidRDefault="000A51BD" w:rsidP="000A51BD">
      <w:pPr>
        <w:spacing w:line="360" w:lineRule="auto"/>
        <w:rPr>
          <w:rFonts w:ascii="Times New Roman" w:hAnsi="Times New Roman" w:cs="Times New Roman"/>
          <w:sz w:val="22"/>
        </w:rPr>
      </w:pPr>
      <w:r w:rsidRPr="000A51BD">
        <w:rPr>
          <w:rFonts w:ascii="Times New Roman" w:hAnsi="Times New Roman" w:cs="Times New Roman"/>
          <w:sz w:val="22"/>
        </w:rPr>
        <w:t>Fig. S1 Alignments of TfBOP1/2 and AtBOP1/2 proteins. BTB/POZ domain (</w:t>
      </w:r>
      <w:proofErr w:type="spellStart"/>
      <w:r w:rsidRPr="000A51BD">
        <w:rPr>
          <w:rFonts w:ascii="Times New Roman" w:hAnsi="Times New Roman" w:cs="Times New Roman"/>
          <w:sz w:val="22"/>
        </w:rPr>
        <w:t>Pfam</w:t>
      </w:r>
      <w:proofErr w:type="spellEnd"/>
      <w:r w:rsidRPr="000A51BD">
        <w:rPr>
          <w:rFonts w:ascii="Times New Roman" w:hAnsi="Times New Roman" w:cs="Times New Roman"/>
          <w:sz w:val="22"/>
        </w:rPr>
        <w:t>: 00651), DUF3420 domain (</w:t>
      </w:r>
      <w:proofErr w:type="spellStart"/>
      <w:r w:rsidRPr="000A51BD">
        <w:rPr>
          <w:rFonts w:ascii="Times New Roman" w:hAnsi="Times New Roman" w:cs="Times New Roman"/>
          <w:sz w:val="22"/>
        </w:rPr>
        <w:t>Pfam</w:t>
      </w:r>
      <w:proofErr w:type="spellEnd"/>
      <w:r w:rsidRPr="000A51BD">
        <w:rPr>
          <w:rFonts w:ascii="Times New Roman" w:hAnsi="Times New Roman" w:cs="Times New Roman"/>
          <w:sz w:val="22"/>
        </w:rPr>
        <w:t xml:space="preserve">: 11900) and </w:t>
      </w:r>
      <w:proofErr w:type="spellStart"/>
      <w:r w:rsidRPr="000A51BD">
        <w:rPr>
          <w:rFonts w:ascii="Times New Roman" w:hAnsi="Times New Roman" w:cs="Times New Roman"/>
          <w:sz w:val="22"/>
        </w:rPr>
        <w:t>ankryin</w:t>
      </w:r>
      <w:proofErr w:type="spellEnd"/>
      <w:r w:rsidRPr="000A51BD">
        <w:rPr>
          <w:rFonts w:ascii="Times New Roman" w:hAnsi="Times New Roman" w:cs="Times New Roman"/>
          <w:sz w:val="22"/>
        </w:rPr>
        <w:t xml:space="preserve"> (ANK) domain (</w:t>
      </w:r>
      <w:proofErr w:type="spellStart"/>
      <w:r w:rsidRPr="000A51BD">
        <w:rPr>
          <w:rFonts w:ascii="Times New Roman" w:hAnsi="Times New Roman" w:cs="Times New Roman"/>
          <w:sz w:val="22"/>
        </w:rPr>
        <w:t>Pfam</w:t>
      </w:r>
      <w:proofErr w:type="spellEnd"/>
      <w:r w:rsidRPr="000A51BD">
        <w:rPr>
          <w:rFonts w:ascii="Times New Roman" w:hAnsi="Times New Roman" w:cs="Times New Roman"/>
          <w:sz w:val="22"/>
        </w:rPr>
        <w:t>: 00023) are highlighted by red, green and blue boxes, respectively. DUF3420 and ANK domains are partially overlapped.</w:t>
      </w:r>
    </w:p>
    <w:p w14:paraId="66CCEE22" w14:textId="3E24755B" w:rsidR="000A51BD" w:rsidRDefault="000A51BD" w:rsidP="000A51BD">
      <w:pPr>
        <w:spacing w:line="360" w:lineRule="auto"/>
        <w:rPr>
          <w:rFonts w:ascii="Times New Roman" w:hAnsi="Times New Roman" w:cs="Times New Roman"/>
          <w:sz w:val="22"/>
        </w:rPr>
      </w:pPr>
    </w:p>
    <w:p w14:paraId="17B704A5" w14:textId="60CFEE2C" w:rsidR="00540D53" w:rsidRDefault="00540D53" w:rsidP="000A51BD">
      <w:pPr>
        <w:spacing w:line="360" w:lineRule="auto"/>
        <w:rPr>
          <w:rFonts w:ascii="Times New Roman" w:hAnsi="Times New Roman" w:cs="Times New Roman" w:hint="eastAsia"/>
          <w:sz w:val="22"/>
        </w:rPr>
      </w:pPr>
      <w:r w:rsidRPr="00540D53">
        <w:rPr>
          <w:rFonts w:ascii="Times New Roman" w:hAnsi="Times New Roman" w:cs="Times New Roman"/>
          <w:sz w:val="22"/>
        </w:rPr>
        <w:drawing>
          <wp:inline distT="0" distB="0" distL="0" distR="0" wp14:anchorId="23F0EA86" wp14:editId="7FC8A01D">
            <wp:extent cx="5274310" cy="2633980"/>
            <wp:effectExtent l="0" t="0" r="2540" b="0"/>
            <wp:docPr id="1"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633980"/>
                    </a:xfrm>
                    <a:prstGeom prst="rect">
                      <a:avLst/>
                    </a:prstGeom>
                  </pic:spPr>
                </pic:pic>
              </a:graphicData>
            </a:graphic>
          </wp:inline>
        </w:drawing>
      </w:r>
    </w:p>
    <w:p w14:paraId="4C4B9637" w14:textId="77777777" w:rsidR="000A51BD" w:rsidRPr="000A51BD" w:rsidRDefault="000A51BD" w:rsidP="000A51BD">
      <w:pPr>
        <w:spacing w:line="360" w:lineRule="auto"/>
        <w:rPr>
          <w:rFonts w:ascii="Times New Roman" w:hAnsi="Times New Roman" w:cs="Times New Roman"/>
          <w:sz w:val="22"/>
        </w:rPr>
      </w:pPr>
      <w:r w:rsidRPr="000A51BD">
        <w:rPr>
          <w:rFonts w:ascii="Times New Roman" w:hAnsi="Times New Roman" w:cs="Times New Roman"/>
          <w:sz w:val="22"/>
        </w:rPr>
        <w:t xml:space="preserve">Fig. S2 RNA </w:t>
      </w:r>
      <w:r w:rsidRPr="000A51BD">
        <w:rPr>
          <w:rFonts w:ascii="Times New Roman" w:hAnsi="Times New Roman" w:cs="Times New Roman"/>
          <w:i/>
          <w:iCs/>
          <w:sz w:val="22"/>
        </w:rPr>
        <w:t xml:space="preserve">in situ </w:t>
      </w:r>
      <w:r w:rsidRPr="000A51BD">
        <w:rPr>
          <w:rFonts w:ascii="Times New Roman" w:hAnsi="Times New Roman" w:cs="Times New Roman"/>
          <w:sz w:val="22"/>
        </w:rPr>
        <w:t xml:space="preserve">hybridization of </w:t>
      </w:r>
      <w:r w:rsidRPr="000A51BD">
        <w:rPr>
          <w:rFonts w:ascii="Times New Roman" w:hAnsi="Times New Roman" w:cs="Times New Roman"/>
          <w:i/>
          <w:iCs/>
          <w:sz w:val="22"/>
        </w:rPr>
        <w:t>TfBOP2</w:t>
      </w:r>
      <w:r w:rsidRPr="000A51BD">
        <w:rPr>
          <w:rFonts w:ascii="Times New Roman" w:hAnsi="Times New Roman" w:cs="Times New Roman"/>
          <w:sz w:val="22"/>
        </w:rPr>
        <w:t xml:space="preserve"> (A) and </w:t>
      </w:r>
      <w:r w:rsidRPr="000A51BD">
        <w:rPr>
          <w:rFonts w:ascii="Times New Roman" w:hAnsi="Times New Roman" w:cs="Times New Roman"/>
          <w:i/>
          <w:iCs/>
          <w:sz w:val="22"/>
        </w:rPr>
        <w:t>TfBOP1</w:t>
      </w:r>
      <w:r w:rsidRPr="000A51BD">
        <w:rPr>
          <w:rFonts w:ascii="Times New Roman" w:hAnsi="Times New Roman" w:cs="Times New Roman"/>
          <w:sz w:val="22"/>
        </w:rPr>
        <w:t xml:space="preserve"> (B) in stage 8 flower buds of wild-type using sense probes. Scale bars: 100 </w:t>
      </w:r>
      <w:proofErr w:type="spellStart"/>
      <w:r w:rsidRPr="000A51BD">
        <w:rPr>
          <w:rFonts w:ascii="Times New Roman" w:hAnsi="Times New Roman" w:cs="Times New Roman"/>
          <w:sz w:val="22"/>
        </w:rPr>
        <w:t>μm</w:t>
      </w:r>
      <w:proofErr w:type="spellEnd"/>
      <w:r w:rsidRPr="000A51BD">
        <w:rPr>
          <w:rFonts w:ascii="Times New Roman" w:hAnsi="Times New Roman" w:cs="Times New Roman"/>
          <w:sz w:val="22"/>
        </w:rPr>
        <w:t>.</w:t>
      </w:r>
    </w:p>
    <w:p w14:paraId="5D6A48DA" w14:textId="06A3E1B7" w:rsidR="000A51BD" w:rsidRDefault="000A51BD" w:rsidP="000A51BD">
      <w:pPr>
        <w:spacing w:line="360" w:lineRule="auto"/>
        <w:rPr>
          <w:rFonts w:ascii="Times New Roman" w:hAnsi="Times New Roman" w:cs="Times New Roman"/>
          <w:sz w:val="22"/>
        </w:rPr>
      </w:pPr>
    </w:p>
    <w:p w14:paraId="5816EB6B" w14:textId="5FC01ABD" w:rsidR="00540D53" w:rsidRDefault="00540D53" w:rsidP="000A51BD">
      <w:pPr>
        <w:spacing w:line="360" w:lineRule="auto"/>
        <w:rPr>
          <w:rFonts w:ascii="Times New Roman" w:hAnsi="Times New Roman" w:cs="Times New Roman" w:hint="eastAsia"/>
          <w:sz w:val="22"/>
        </w:rPr>
      </w:pPr>
      <w:r>
        <w:rPr>
          <w:rFonts w:ascii="Times New Roman" w:hAnsi="Times New Roman" w:cs="Times New Roman"/>
          <w:noProof/>
          <w:sz w:val="22"/>
        </w:rPr>
        <w:lastRenderedPageBreak/>
        <w:drawing>
          <wp:inline distT="0" distB="0" distL="0" distR="0" wp14:anchorId="579C4296" wp14:editId="07B9EBEC">
            <wp:extent cx="5306597" cy="376428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2221" cy="3782456"/>
                    </a:xfrm>
                    <a:prstGeom prst="rect">
                      <a:avLst/>
                    </a:prstGeom>
                    <a:noFill/>
                  </pic:spPr>
                </pic:pic>
              </a:graphicData>
            </a:graphic>
          </wp:inline>
        </w:drawing>
      </w:r>
    </w:p>
    <w:p w14:paraId="6128A666" w14:textId="77777777" w:rsidR="000A51BD" w:rsidRPr="000A51BD" w:rsidRDefault="000A51BD" w:rsidP="000A51BD">
      <w:pPr>
        <w:spacing w:line="360" w:lineRule="auto"/>
        <w:rPr>
          <w:rFonts w:ascii="Times New Roman" w:hAnsi="Times New Roman" w:cs="Times New Roman"/>
          <w:sz w:val="22"/>
        </w:rPr>
      </w:pPr>
      <w:r w:rsidRPr="000A51BD">
        <w:rPr>
          <w:rFonts w:ascii="Times New Roman" w:hAnsi="Times New Roman" w:cs="Times New Roman"/>
          <w:sz w:val="22"/>
        </w:rPr>
        <w:t xml:space="preserve">Fig. S3 CRISPR/Cas9 genome editing. Upper panel: The genomic DNA sequence of </w:t>
      </w:r>
      <w:r w:rsidRPr="000A51BD">
        <w:rPr>
          <w:rFonts w:ascii="Times New Roman" w:hAnsi="Times New Roman" w:cs="Times New Roman"/>
          <w:i/>
          <w:iCs/>
          <w:sz w:val="22"/>
        </w:rPr>
        <w:t>TfBOP2</w:t>
      </w:r>
      <w:r w:rsidRPr="000A51BD">
        <w:rPr>
          <w:rFonts w:ascii="Times New Roman" w:hAnsi="Times New Roman" w:cs="Times New Roman"/>
          <w:sz w:val="22"/>
        </w:rPr>
        <w:t xml:space="preserve">. The black and red characters represent exons and introns, respectively; PAMs (Protospacer Adjacent Motifs) and different CRISPR/Cas9 targets are highlighted in blue. Lower panel: Mutations in the WT and two </w:t>
      </w:r>
      <w:r w:rsidRPr="000A51BD">
        <w:rPr>
          <w:rFonts w:ascii="Times New Roman" w:hAnsi="Times New Roman" w:cs="Times New Roman"/>
          <w:i/>
          <w:iCs/>
          <w:sz w:val="22"/>
        </w:rPr>
        <w:t>TfBOP2</w:t>
      </w:r>
      <w:r w:rsidRPr="000A51BD">
        <w:rPr>
          <w:rFonts w:ascii="Times New Roman" w:hAnsi="Times New Roman" w:cs="Times New Roman"/>
          <w:sz w:val="22"/>
        </w:rPr>
        <w:t xml:space="preserve">-Cas9 plants analyzed in this study. </w:t>
      </w:r>
    </w:p>
    <w:p w14:paraId="7F197415" w14:textId="029C70BD" w:rsidR="000A51BD" w:rsidRDefault="000A51BD" w:rsidP="000A51BD">
      <w:pPr>
        <w:spacing w:line="360" w:lineRule="auto"/>
        <w:rPr>
          <w:rFonts w:ascii="Times New Roman" w:hAnsi="Times New Roman" w:cs="Times New Roman"/>
          <w:sz w:val="22"/>
        </w:rPr>
      </w:pPr>
    </w:p>
    <w:p w14:paraId="469DB862" w14:textId="6CD835C9" w:rsidR="00540D53" w:rsidRDefault="00540D53" w:rsidP="000A51BD">
      <w:pPr>
        <w:spacing w:line="360" w:lineRule="auto"/>
        <w:rPr>
          <w:rFonts w:ascii="Times New Roman" w:hAnsi="Times New Roman" w:cs="Times New Roman" w:hint="eastAsia"/>
          <w:sz w:val="22"/>
        </w:rPr>
      </w:pPr>
      <w:r w:rsidRPr="00540D53">
        <w:rPr>
          <w:rFonts w:ascii="Times New Roman" w:hAnsi="Times New Roman" w:cs="Times New Roman"/>
          <w:sz w:val="22"/>
        </w:rPr>
        <w:drawing>
          <wp:inline distT="0" distB="0" distL="0" distR="0" wp14:anchorId="3D94616C" wp14:editId="02279DD7">
            <wp:extent cx="5274310" cy="2081530"/>
            <wp:effectExtent l="0" t="0" r="2540" b="0"/>
            <wp:docPr id="3" name="内容占位符 3">
              <a:extLst xmlns:a="http://schemas.openxmlformats.org/drawingml/2006/main">
                <a:ext uri="{FF2B5EF4-FFF2-40B4-BE49-F238E27FC236}">
                  <a16:creationId xmlns:a16="http://schemas.microsoft.com/office/drawing/2014/main" id="{DFCCA379-863D-43D3-920C-7F7137ACEB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a:extLst>
                        <a:ext uri="{FF2B5EF4-FFF2-40B4-BE49-F238E27FC236}">
                          <a16:creationId xmlns:a16="http://schemas.microsoft.com/office/drawing/2014/main" id="{DFCCA379-863D-43D3-920C-7F7137ACEB41}"/>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081530"/>
                    </a:xfrm>
                    <a:prstGeom prst="rect">
                      <a:avLst/>
                    </a:prstGeom>
                  </pic:spPr>
                </pic:pic>
              </a:graphicData>
            </a:graphic>
          </wp:inline>
        </w:drawing>
      </w:r>
    </w:p>
    <w:p w14:paraId="04C85B32" w14:textId="10B99B89" w:rsidR="000A51BD" w:rsidRPr="000A51BD" w:rsidRDefault="000A51BD" w:rsidP="000A51BD">
      <w:pPr>
        <w:spacing w:line="360" w:lineRule="auto"/>
        <w:rPr>
          <w:rFonts w:ascii="Times New Roman" w:hAnsi="Times New Roman" w:cs="Times New Roman"/>
          <w:sz w:val="22"/>
        </w:rPr>
      </w:pPr>
      <w:r w:rsidRPr="000A51BD">
        <w:rPr>
          <w:rFonts w:ascii="Times New Roman" w:hAnsi="Times New Roman" w:cs="Times New Roman"/>
          <w:sz w:val="22"/>
        </w:rPr>
        <w:t>Fig. S4. Neighbor-joining tree for the KNOX transcription factors. The bootstrap value (percentage, based on 1000) is marked at each node, and the accession numbers are indicated as the suffix of each sequence.</w:t>
      </w:r>
      <w:r>
        <w:rPr>
          <w:rFonts w:ascii="Times New Roman" w:hAnsi="Times New Roman" w:cs="Times New Roman"/>
          <w:sz w:val="22"/>
        </w:rPr>
        <w:t xml:space="preserve"> </w:t>
      </w:r>
      <w:r w:rsidRPr="000A51BD">
        <w:rPr>
          <w:rFonts w:ascii="Times New Roman" w:hAnsi="Times New Roman" w:cs="Times New Roman"/>
          <w:sz w:val="22"/>
        </w:rPr>
        <w:t>KNAT3 was chosen as an outgroup.</w:t>
      </w:r>
    </w:p>
    <w:p w14:paraId="2224E948" w14:textId="4C373450" w:rsidR="000A51BD" w:rsidRDefault="000A51BD" w:rsidP="000A51BD">
      <w:pPr>
        <w:spacing w:line="360" w:lineRule="auto"/>
        <w:rPr>
          <w:rFonts w:ascii="Times New Roman" w:hAnsi="Times New Roman" w:cs="Times New Roman"/>
          <w:sz w:val="22"/>
        </w:rPr>
      </w:pPr>
    </w:p>
    <w:p w14:paraId="7CDEABD6" w14:textId="605F3F71" w:rsidR="00540D53" w:rsidRDefault="00540D53" w:rsidP="000A51BD">
      <w:pPr>
        <w:spacing w:line="360" w:lineRule="auto"/>
        <w:rPr>
          <w:rFonts w:ascii="Times New Roman" w:hAnsi="Times New Roman" w:cs="Times New Roman" w:hint="eastAsia"/>
          <w:sz w:val="22"/>
        </w:rPr>
      </w:pPr>
      <w:r w:rsidRPr="00540D53">
        <w:rPr>
          <w:rFonts w:ascii="Times New Roman" w:hAnsi="Times New Roman" w:cs="Times New Roman"/>
          <w:sz w:val="22"/>
        </w:rPr>
        <w:lastRenderedPageBreak/>
        <w:drawing>
          <wp:inline distT="0" distB="0" distL="0" distR="0" wp14:anchorId="4111B063" wp14:editId="381CD9FB">
            <wp:extent cx="5274310" cy="1910715"/>
            <wp:effectExtent l="0" t="0" r="2540" b="0"/>
            <wp:docPr id="5" name="内容占位符 4">
              <a:extLst xmlns:a="http://schemas.openxmlformats.org/drawingml/2006/main">
                <a:ext uri="{FF2B5EF4-FFF2-40B4-BE49-F238E27FC236}">
                  <a16:creationId xmlns:a16="http://schemas.microsoft.com/office/drawing/2014/main" id="{48AD6720-5B7F-456D-905B-BB02DA9A0EB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内容占位符 4">
                      <a:extLst>
                        <a:ext uri="{FF2B5EF4-FFF2-40B4-BE49-F238E27FC236}">
                          <a16:creationId xmlns:a16="http://schemas.microsoft.com/office/drawing/2014/main" id="{48AD6720-5B7F-456D-905B-BB02DA9A0EBF}"/>
                        </a:ext>
                      </a:extLst>
                    </pic:cNvPr>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910715"/>
                    </a:xfrm>
                    <a:prstGeom prst="rect">
                      <a:avLst/>
                    </a:prstGeom>
                  </pic:spPr>
                </pic:pic>
              </a:graphicData>
            </a:graphic>
          </wp:inline>
        </w:drawing>
      </w:r>
    </w:p>
    <w:p w14:paraId="5A05DEEF" w14:textId="77777777" w:rsidR="00193BB0" w:rsidRPr="00193BB0" w:rsidRDefault="00193BB0" w:rsidP="00193BB0">
      <w:pPr>
        <w:spacing w:line="360" w:lineRule="auto"/>
        <w:rPr>
          <w:rFonts w:ascii="Times New Roman" w:hAnsi="Times New Roman" w:cs="Times New Roman"/>
          <w:sz w:val="22"/>
        </w:rPr>
      </w:pPr>
      <w:r w:rsidRPr="00193BB0">
        <w:rPr>
          <w:rFonts w:ascii="Times New Roman" w:hAnsi="Times New Roman" w:cs="Times New Roman"/>
          <w:sz w:val="22"/>
        </w:rPr>
        <w:t xml:space="preserve">Fig. S5 Epidermal cell morphologies of wild-type (A) and </w:t>
      </w:r>
      <w:r w:rsidRPr="00193BB0">
        <w:rPr>
          <w:rFonts w:ascii="Times New Roman" w:hAnsi="Times New Roman" w:cs="Times New Roman"/>
          <w:i/>
          <w:iCs/>
          <w:sz w:val="22"/>
        </w:rPr>
        <w:t>bop1 bop</w:t>
      </w:r>
      <w:proofErr w:type="gramStart"/>
      <w:r w:rsidRPr="00193BB0">
        <w:rPr>
          <w:rFonts w:ascii="Times New Roman" w:hAnsi="Times New Roman" w:cs="Times New Roman"/>
          <w:i/>
          <w:iCs/>
          <w:sz w:val="22"/>
        </w:rPr>
        <w:t>2</w:t>
      </w:r>
      <w:r w:rsidRPr="00193BB0">
        <w:rPr>
          <w:rFonts w:ascii="Times New Roman" w:hAnsi="Times New Roman" w:cs="Times New Roman"/>
          <w:sz w:val="22"/>
        </w:rPr>
        <w:t xml:space="preserve">  (</w:t>
      </w:r>
      <w:proofErr w:type="gramEnd"/>
      <w:r w:rsidRPr="00193BB0">
        <w:rPr>
          <w:rFonts w:ascii="Times New Roman" w:hAnsi="Times New Roman" w:cs="Times New Roman"/>
          <w:sz w:val="22"/>
        </w:rPr>
        <w:t xml:space="preserve">B) mutant of </w:t>
      </w:r>
      <w:r w:rsidRPr="00193BB0">
        <w:rPr>
          <w:rFonts w:ascii="Times New Roman" w:hAnsi="Times New Roman" w:cs="Times New Roman"/>
          <w:i/>
          <w:iCs/>
          <w:sz w:val="22"/>
        </w:rPr>
        <w:t>Arabidopsis thaliana</w:t>
      </w:r>
      <w:r w:rsidRPr="00193BB0">
        <w:rPr>
          <w:rFonts w:ascii="Times New Roman" w:hAnsi="Times New Roman" w:cs="Times New Roman"/>
          <w:sz w:val="22"/>
        </w:rPr>
        <w:t xml:space="preserve">. White lines indicate the proximal claw (right), intermediate (middle) and distal blade (left) regions, respectively. </w:t>
      </w:r>
    </w:p>
    <w:p w14:paraId="3B40356C" w14:textId="573A1AAF" w:rsidR="000A51BD" w:rsidRDefault="000A51BD" w:rsidP="000A51BD">
      <w:pPr>
        <w:spacing w:line="360" w:lineRule="auto"/>
        <w:rPr>
          <w:rFonts w:ascii="Times New Roman" w:hAnsi="Times New Roman" w:cs="Times New Roman"/>
          <w:sz w:val="22"/>
        </w:rPr>
      </w:pPr>
    </w:p>
    <w:p w14:paraId="6B1E8F87" w14:textId="6DF08821" w:rsidR="00540D53" w:rsidRPr="00193BB0" w:rsidRDefault="00540D53" w:rsidP="000A51BD">
      <w:pPr>
        <w:spacing w:line="360" w:lineRule="auto"/>
        <w:rPr>
          <w:rFonts w:ascii="Times New Roman" w:hAnsi="Times New Roman" w:cs="Times New Roman" w:hint="eastAsia"/>
          <w:sz w:val="22"/>
        </w:rPr>
      </w:pPr>
      <w:r w:rsidRPr="00540D53">
        <w:rPr>
          <w:rFonts w:ascii="Times New Roman" w:hAnsi="Times New Roman" w:cs="Times New Roman"/>
          <w:sz w:val="22"/>
        </w:rPr>
        <w:drawing>
          <wp:inline distT="0" distB="0" distL="0" distR="0" wp14:anchorId="3FA35313" wp14:editId="4EF07B63">
            <wp:extent cx="5274310" cy="2386330"/>
            <wp:effectExtent l="0" t="0" r="2540" b="0"/>
            <wp:docPr id="6"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386330"/>
                    </a:xfrm>
                    <a:prstGeom prst="rect">
                      <a:avLst/>
                    </a:prstGeom>
                  </pic:spPr>
                </pic:pic>
              </a:graphicData>
            </a:graphic>
          </wp:inline>
        </w:drawing>
      </w:r>
    </w:p>
    <w:p w14:paraId="22AD54C2" w14:textId="77777777" w:rsidR="000A51BD" w:rsidRPr="000A51BD" w:rsidRDefault="000A51BD" w:rsidP="000A51BD">
      <w:pPr>
        <w:spacing w:line="360" w:lineRule="auto"/>
        <w:rPr>
          <w:rFonts w:ascii="Times New Roman" w:hAnsi="Times New Roman" w:cs="Times New Roman"/>
          <w:sz w:val="22"/>
        </w:rPr>
      </w:pPr>
      <w:r w:rsidRPr="000A51BD">
        <w:rPr>
          <w:rFonts w:ascii="Times New Roman" w:hAnsi="Times New Roman" w:cs="Times New Roman"/>
          <w:sz w:val="22"/>
        </w:rPr>
        <w:t xml:space="preserve">Fig. S6 Application of 200 </w:t>
      </w:r>
      <w:proofErr w:type="spellStart"/>
      <w:r w:rsidRPr="000A51BD">
        <w:rPr>
          <w:rFonts w:ascii="Times New Roman" w:hAnsi="Times New Roman" w:cs="Times New Roman"/>
          <w:sz w:val="22"/>
        </w:rPr>
        <w:t>μl</w:t>
      </w:r>
      <w:proofErr w:type="spellEnd"/>
      <w:r w:rsidRPr="000A51BD">
        <w:rPr>
          <w:rFonts w:ascii="Times New Roman" w:hAnsi="Times New Roman" w:cs="Times New Roman"/>
          <w:sz w:val="22"/>
        </w:rPr>
        <w:t xml:space="preserve"> water containing 0.1% Safranin O to different flowers. The red dashed circle indicates the corolla neck.</w:t>
      </w:r>
    </w:p>
    <w:p w14:paraId="354D8AF4" w14:textId="183C1443" w:rsidR="000A51BD" w:rsidRDefault="000A51BD" w:rsidP="000A51BD">
      <w:pPr>
        <w:spacing w:line="360" w:lineRule="auto"/>
        <w:rPr>
          <w:rFonts w:ascii="Times New Roman" w:hAnsi="Times New Roman" w:cs="Times New Roman"/>
          <w:sz w:val="22"/>
        </w:rPr>
      </w:pPr>
    </w:p>
    <w:p w14:paraId="53E215BF" w14:textId="7023D219" w:rsidR="00540D53" w:rsidRDefault="00540D53" w:rsidP="000A51BD">
      <w:pPr>
        <w:spacing w:line="360" w:lineRule="auto"/>
        <w:rPr>
          <w:rFonts w:ascii="Times New Roman" w:hAnsi="Times New Roman" w:cs="Times New Roman" w:hint="eastAsia"/>
          <w:sz w:val="22"/>
        </w:rPr>
      </w:pPr>
      <w:r>
        <w:rPr>
          <w:rFonts w:ascii="Times New Roman" w:hAnsi="Times New Roman" w:cs="Times New Roman"/>
          <w:noProof/>
          <w:sz w:val="22"/>
        </w:rPr>
        <w:lastRenderedPageBreak/>
        <w:drawing>
          <wp:inline distT="0" distB="0" distL="0" distR="0" wp14:anchorId="063CA49C" wp14:editId="68BEB9B5">
            <wp:extent cx="5165119" cy="22891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1937" cy="2292197"/>
                    </a:xfrm>
                    <a:prstGeom prst="rect">
                      <a:avLst/>
                    </a:prstGeom>
                    <a:noFill/>
                  </pic:spPr>
                </pic:pic>
              </a:graphicData>
            </a:graphic>
          </wp:inline>
        </w:drawing>
      </w:r>
      <w:bookmarkStart w:id="0" w:name="_GoBack"/>
      <w:bookmarkEnd w:id="0"/>
    </w:p>
    <w:p w14:paraId="17B46B2F" w14:textId="77777777" w:rsidR="00193BB0" w:rsidRPr="00193BB0" w:rsidRDefault="00193BB0" w:rsidP="00193BB0">
      <w:pPr>
        <w:spacing w:line="360" w:lineRule="auto"/>
        <w:rPr>
          <w:rFonts w:ascii="Times New Roman" w:hAnsi="Times New Roman" w:cs="Times New Roman"/>
          <w:sz w:val="22"/>
        </w:rPr>
      </w:pPr>
      <w:r w:rsidRPr="00193BB0">
        <w:rPr>
          <w:rFonts w:ascii="Times New Roman" w:hAnsi="Times New Roman" w:cs="Times New Roman"/>
          <w:sz w:val="22"/>
        </w:rPr>
        <w:t xml:space="preserve">Fig. S7 Yeast two-hybrid assays using SD-LW/X-Gal media (SD medium minus </w:t>
      </w:r>
      <w:proofErr w:type="spellStart"/>
      <w:r w:rsidRPr="00193BB0">
        <w:rPr>
          <w:rFonts w:ascii="Times New Roman" w:hAnsi="Times New Roman" w:cs="Times New Roman"/>
          <w:sz w:val="22"/>
        </w:rPr>
        <w:t>Trp</w:t>
      </w:r>
      <w:proofErr w:type="spellEnd"/>
      <w:r w:rsidRPr="00193BB0">
        <w:rPr>
          <w:rFonts w:ascii="Times New Roman" w:hAnsi="Times New Roman" w:cs="Times New Roman"/>
          <w:sz w:val="22"/>
        </w:rPr>
        <w:t xml:space="preserve">, Leu and supplemented with X-Gal) showing that TfBOP2 interacts with TfALOG3 partially through the DUF3420, ANK-repeat and C-terminal domains. </w:t>
      </w:r>
    </w:p>
    <w:p w14:paraId="47D976DE" w14:textId="036B446F" w:rsidR="00193BB0" w:rsidRDefault="00193BB0" w:rsidP="000A51BD">
      <w:pPr>
        <w:spacing w:line="360" w:lineRule="auto"/>
        <w:rPr>
          <w:rFonts w:ascii="Times New Roman" w:hAnsi="Times New Roman" w:cs="Times New Roman"/>
          <w:sz w:val="22"/>
        </w:rPr>
      </w:pPr>
    </w:p>
    <w:p w14:paraId="452D0CCC" w14:textId="03604700" w:rsidR="00193BB0" w:rsidRDefault="00193BB0" w:rsidP="000A51BD">
      <w:pPr>
        <w:spacing w:line="360" w:lineRule="auto"/>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ab. S1 DEGs from the transcriptomic data.</w:t>
      </w:r>
    </w:p>
    <w:p w14:paraId="1F908D64" w14:textId="078CE643" w:rsidR="00193BB0" w:rsidRDefault="00193BB0" w:rsidP="000A51BD">
      <w:pPr>
        <w:spacing w:line="360" w:lineRule="auto"/>
        <w:rPr>
          <w:rFonts w:ascii="Times New Roman" w:hAnsi="Times New Roman" w:cs="Times New Roman"/>
          <w:sz w:val="22"/>
        </w:rPr>
      </w:pPr>
    </w:p>
    <w:p w14:paraId="436A3CE8" w14:textId="58F0F694" w:rsidR="00193BB0" w:rsidRDefault="00193BB0" w:rsidP="000A51BD">
      <w:pPr>
        <w:spacing w:line="360" w:lineRule="auto"/>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ab. S2</w:t>
      </w:r>
      <w:r w:rsidR="00181963">
        <w:rPr>
          <w:rFonts w:ascii="Times New Roman" w:hAnsi="Times New Roman" w:cs="Times New Roman"/>
          <w:sz w:val="22"/>
        </w:rPr>
        <w:t xml:space="preserve"> GO annotation of DEGs</w:t>
      </w:r>
    </w:p>
    <w:p w14:paraId="2F3078F0" w14:textId="719C5B9D" w:rsidR="00181963" w:rsidRDefault="00181963" w:rsidP="000A51BD">
      <w:pPr>
        <w:spacing w:line="360" w:lineRule="auto"/>
        <w:rPr>
          <w:rFonts w:ascii="Times New Roman" w:hAnsi="Times New Roman" w:cs="Times New Roman"/>
          <w:sz w:val="22"/>
        </w:rPr>
      </w:pPr>
    </w:p>
    <w:p w14:paraId="56B48C50" w14:textId="4DC8B809" w:rsidR="00181963" w:rsidRDefault="00181963" w:rsidP="00181963">
      <w:pPr>
        <w:spacing w:line="360" w:lineRule="auto"/>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ab. S3 Possible downstream genes of TfBOP2.</w:t>
      </w:r>
    </w:p>
    <w:p w14:paraId="284910CE" w14:textId="16167905" w:rsidR="00181963" w:rsidRDefault="00181963" w:rsidP="00181963">
      <w:pPr>
        <w:spacing w:line="360" w:lineRule="auto"/>
        <w:rPr>
          <w:rFonts w:ascii="Times New Roman" w:hAnsi="Times New Roman" w:cs="Times New Roman"/>
          <w:sz w:val="22"/>
        </w:rPr>
      </w:pPr>
    </w:p>
    <w:p w14:paraId="772D618C" w14:textId="32708A41" w:rsidR="00181963" w:rsidRPr="00181963" w:rsidRDefault="00181963" w:rsidP="00181963">
      <w:pPr>
        <w:spacing w:line="360" w:lineRule="auto"/>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ab. S4 Primers used in this study</w:t>
      </w:r>
    </w:p>
    <w:p w14:paraId="16737A5E" w14:textId="77777777" w:rsidR="00181963" w:rsidRPr="00181963" w:rsidRDefault="00181963" w:rsidP="000A51BD">
      <w:pPr>
        <w:spacing w:line="360" w:lineRule="auto"/>
        <w:rPr>
          <w:rFonts w:ascii="Times New Roman" w:hAnsi="Times New Roman" w:cs="Times New Roman"/>
          <w:sz w:val="22"/>
        </w:rPr>
      </w:pPr>
    </w:p>
    <w:sectPr w:rsidR="00181963" w:rsidRPr="001819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B6B46" w14:textId="77777777" w:rsidR="00321215" w:rsidRDefault="00321215" w:rsidP="00193BB0">
      <w:r>
        <w:separator/>
      </w:r>
    </w:p>
  </w:endnote>
  <w:endnote w:type="continuationSeparator" w:id="0">
    <w:p w14:paraId="06617C06" w14:textId="77777777" w:rsidR="00321215" w:rsidRDefault="00321215" w:rsidP="0019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D02A3" w14:textId="77777777" w:rsidR="00321215" w:rsidRDefault="00321215" w:rsidP="00193BB0">
      <w:r>
        <w:separator/>
      </w:r>
    </w:p>
  </w:footnote>
  <w:footnote w:type="continuationSeparator" w:id="0">
    <w:p w14:paraId="5DF02283" w14:textId="77777777" w:rsidR="00321215" w:rsidRDefault="00321215" w:rsidP="00193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00"/>
    <w:rsid w:val="000A51BD"/>
    <w:rsid w:val="00181963"/>
    <w:rsid w:val="00193BB0"/>
    <w:rsid w:val="00297A75"/>
    <w:rsid w:val="00321215"/>
    <w:rsid w:val="00540D53"/>
    <w:rsid w:val="007E05AD"/>
    <w:rsid w:val="00FF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9217C"/>
  <w15:chartTrackingRefBased/>
  <w15:docId w15:val="{87E7F054-FF1E-45BA-B2B9-AE9DFA3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BB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3BB0"/>
    <w:rPr>
      <w:sz w:val="18"/>
      <w:szCs w:val="18"/>
    </w:rPr>
  </w:style>
  <w:style w:type="paragraph" w:styleId="a5">
    <w:name w:val="footer"/>
    <w:basedOn w:val="a"/>
    <w:link w:val="a6"/>
    <w:uiPriority w:val="99"/>
    <w:unhideWhenUsed/>
    <w:rsid w:val="00193BB0"/>
    <w:pPr>
      <w:tabs>
        <w:tab w:val="center" w:pos="4153"/>
        <w:tab w:val="right" w:pos="8306"/>
      </w:tabs>
      <w:snapToGrid w:val="0"/>
      <w:jc w:val="left"/>
    </w:pPr>
    <w:rPr>
      <w:sz w:val="18"/>
      <w:szCs w:val="18"/>
    </w:rPr>
  </w:style>
  <w:style w:type="character" w:customStyle="1" w:styleId="a6">
    <w:name w:val="页脚 字符"/>
    <w:basedOn w:val="a0"/>
    <w:link w:val="a5"/>
    <w:uiPriority w:val="99"/>
    <w:rsid w:val="00193B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944288">
      <w:bodyDiv w:val="1"/>
      <w:marLeft w:val="0"/>
      <w:marRight w:val="0"/>
      <w:marTop w:val="0"/>
      <w:marBottom w:val="0"/>
      <w:divBdr>
        <w:top w:val="none" w:sz="0" w:space="0" w:color="auto"/>
        <w:left w:val="none" w:sz="0" w:space="0" w:color="auto"/>
        <w:bottom w:val="none" w:sz="0" w:space="0" w:color="auto"/>
        <w:right w:val="none" w:sz="0" w:space="0" w:color="auto"/>
      </w:divBdr>
    </w:div>
    <w:div w:id="1042899637">
      <w:bodyDiv w:val="1"/>
      <w:marLeft w:val="0"/>
      <w:marRight w:val="0"/>
      <w:marTop w:val="0"/>
      <w:marBottom w:val="0"/>
      <w:divBdr>
        <w:top w:val="none" w:sz="0" w:space="0" w:color="auto"/>
        <w:left w:val="none" w:sz="0" w:space="0" w:color="auto"/>
        <w:bottom w:val="none" w:sz="0" w:space="0" w:color="auto"/>
        <w:right w:val="none" w:sz="0" w:space="0" w:color="auto"/>
      </w:divBdr>
    </w:div>
    <w:div w:id="1102651508">
      <w:bodyDiv w:val="1"/>
      <w:marLeft w:val="0"/>
      <w:marRight w:val="0"/>
      <w:marTop w:val="0"/>
      <w:marBottom w:val="0"/>
      <w:divBdr>
        <w:top w:val="none" w:sz="0" w:space="0" w:color="auto"/>
        <w:left w:val="none" w:sz="0" w:space="0" w:color="auto"/>
        <w:bottom w:val="none" w:sz="0" w:space="0" w:color="auto"/>
        <w:right w:val="none" w:sz="0" w:space="0" w:color="auto"/>
      </w:divBdr>
    </w:div>
    <w:div w:id="1450857399">
      <w:bodyDiv w:val="1"/>
      <w:marLeft w:val="0"/>
      <w:marRight w:val="0"/>
      <w:marTop w:val="0"/>
      <w:marBottom w:val="0"/>
      <w:divBdr>
        <w:top w:val="none" w:sz="0" w:space="0" w:color="auto"/>
        <w:left w:val="none" w:sz="0" w:space="0" w:color="auto"/>
        <w:bottom w:val="none" w:sz="0" w:space="0" w:color="auto"/>
        <w:right w:val="none" w:sz="0" w:space="0" w:color="auto"/>
      </w:divBdr>
    </w:div>
    <w:div w:id="1488592034">
      <w:bodyDiv w:val="1"/>
      <w:marLeft w:val="0"/>
      <w:marRight w:val="0"/>
      <w:marTop w:val="0"/>
      <w:marBottom w:val="0"/>
      <w:divBdr>
        <w:top w:val="none" w:sz="0" w:space="0" w:color="auto"/>
        <w:left w:val="none" w:sz="0" w:space="0" w:color="auto"/>
        <w:bottom w:val="none" w:sz="0" w:space="0" w:color="auto"/>
        <w:right w:val="none" w:sz="0" w:space="0" w:color="auto"/>
      </w:divBdr>
    </w:div>
    <w:div w:id="1663238244">
      <w:bodyDiv w:val="1"/>
      <w:marLeft w:val="0"/>
      <w:marRight w:val="0"/>
      <w:marTop w:val="0"/>
      <w:marBottom w:val="0"/>
      <w:divBdr>
        <w:top w:val="none" w:sz="0" w:space="0" w:color="auto"/>
        <w:left w:val="none" w:sz="0" w:space="0" w:color="auto"/>
        <w:bottom w:val="none" w:sz="0" w:space="0" w:color="auto"/>
        <w:right w:val="none" w:sz="0" w:space="0" w:color="auto"/>
      </w:divBdr>
    </w:div>
    <w:div w:id="2070492232">
      <w:bodyDiv w:val="1"/>
      <w:marLeft w:val="0"/>
      <w:marRight w:val="0"/>
      <w:marTop w:val="0"/>
      <w:marBottom w:val="0"/>
      <w:divBdr>
        <w:top w:val="none" w:sz="0" w:space="0" w:color="auto"/>
        <w:left w:val="none" w:sz="0" w:space="0" w:color="auto"/>
        <w:bottom w:val="none" w:sz="0" w:space="0" w:color="auto"/>
        <w:right w:val="none" w:sz="0" w:space="0" w:color="auto"/>
      </w:divBdr>
    </w:div>
    <w:div w:id="207605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263</Words>
  <Characters>1500</Characters>
  <Application>Microsoft Office Word</Application>
  <DocSecurity>0</DocSecurity>
  <Lines>12</Lines>
  <Paragraphs>3</Paragraphs>
  <ScaleCrop>false</ScaleCrop>
  <Company>中山大学</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Shihao Su</dc:creator>
  <cp:keywords/>
  <dc:description/>
  <cp:lastModifiedBy>Shihao Su</cp:lastModifiedBy>
  <cp:revision>5</cp:revision>
  <dcterms:created xsi:type="dcterms:W3CDTF">2021-11-11T06:22:00Z</dcterms:created>
  <dcterms:modified xsi:type="dcterms:W3CDTF">2022-07-20T18:51:00Z</dcterms:modified>
</cp:coreProperties>
</file>