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2D9F9" w14:textId="77777777" w:rsidR="0053194F" w:rsidRPr="005D6DF7" w:rsidRDefault="0053194F" w:rsidP="0053194F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Supplementary Information</w:t>
      </w:r>
    </w:p>
    <w:p w14:paraId="7B10FE78" w14:textId="77777777" w:rsidR="0053194F" w:rsidRPr="005D6DF7" w:rsidRDefault="0053194F" w:rsidP="0053194F">
      <w:pPr>
        <w:jc w:val="both"/>
        <w:rPr>
          <w:rFonts w:ascii="Times New Roman" w:hAnsi="Times New Roman" w:cs="Times New Roman"/>
          <w:b/>
          <w:u w:val="single"/>
        </w:rPr>
      </w:pPr>
    </w:p>
    <w:p w14:paraId="55FF39B4" w14:textId="77777777" w:rsidR="0053194F" w:rsidRPr="00836256" w:rsidRDefault="0053194F" w:rsidP="0053194F">
      <w:pPr>
        <w:jc w:val="both"/>
        <w:rPr>
          <w:rFonts w:ascii="Times New Roman" w:hAnsi="Times New Roman" w:cs="Times New Roman"/>
          <w:b/>
        </w:rPr>
      </w:pPr>
      <w:r w:rsidRPr="00836256">
        <w:rPr>
          <w:rFonts w:ascii="Times New Roman" w:hAnsi="Times New Roman" w:cs="Times New Roman"/>
          <w:b/>
        </w:rPr>
        <w:t>Table S1</w:t>
      </w:r>
    </w:p>
    <w:p w14:paraId="3B558ED3" w14:textId="77777777" w:rsidR="0053194F" w:rsidRPr="005D6DF7" w:rsidRDefault="0053194F" w:rsidP="0053194F">
      <w:pPr>
        <w:jc w:val="both"/>
        <w:rPr>
          <w:rFonts w:ascii="Times New Roman" w:hAnsi="Times New Roman" w:cs="Times New Roman"/>
          <w:u w:val="single"/>
        </w:rPr>
      </w:pPr>
      <w:r w:rsidRPr="005D6DF7">
        <w:rPr>
          <w:rFonts w:ascii="Times New Roman" w:hAnsi="Times New Roman" w:cs="Times New Roman"/>
        </w:rPr>
        <w:t>Sites of infection and microbiological documentation</w:t>
      </w:r>
      <w:r w:rsidRPr="005D6DF7">
        <w:rPr>
          <w:rFonts w:ascii="Times New Roman" w:hAnsi="Times New Roman" w:cs="Times New Roman"/>
          <w:u w:val="single"/>
        </w:rPr>
        <w:t xml:space="preserve"> </w:t>
      </w:r>
    </w:p>
    <w:p w14:paraId="5C5505B9" w14:textId="77777777" w:rsidR="0053194F" w:rsidRPr="005D6DF7" w:rsidRDefault="0053194F" w:rsidP="0053194F">
      <w:pPr>
        <w:jc w:val="both"/>
        <w:rPr>
          <w:rFonts w:ascii="Times New Roman" w:hAnsi="Times New Roman" w:cs="Times New Roman"/>
          <w:u w:val="single"/>
        </w:rPr>
      </w:pPr>
      <w:r w:rsidRPr="005D6DF7">
        <w:rPr>
          <w:rFonts w:ascii="Times New Roman" w:hAnsi="Times New Roman" w:cs="Times New Roman"/>
          <w:u w:val="single"/>
        </w:rPr>
        <w:t>Legend</w:t>
      </w:r>
      <w:r w:rsidRPr="005D6DF7">
        <w:rPr>
          <w:rFonts w:ascii="Times New Roman" w:hAnsi="Times New Roman" w:cs="Times New Roman"/>
        </w:rPr>
        <w:t>:</w:t>
      </w:r>
    </w:p>
    <w:p w14:paraId="44C97894" w14:textId="77777777" w:rsidR="0053194F" w:rsidRPr="005D6DF7" w:rsidRDefault="0053194F" w:rsidP="0053194F">
      <w:pPr>
        <w:jc w:val="both"/>
        <w:rPr>
          <w:rFonts w:ascii="Times New Roman" w:hAnsi="Times New Roman" w:cs="Times New Roman"/>
        </w:rPr>
      </w:pPr>
      <w:r w:rsidRPr="005D6DF7">
        <w:rPr>
          <w:rFonts w:ascii="Times New Roman" w:hAnsi="Times New Roman" w:cs="Times New Roman"/>
        </w:rPr>
        <w:t>HAP-VAP: hospital-acquired pneumonia</w:t>
      </w:r>
    </w:p>
    <w:p w14:paraId="00238E9A" w14:textId="77777777" w:rsidR="0053194F" w:rsidRPr="005D6DF7" w:rsidRDefault="0053194F" w:rsidP="0053194F">
      <w:pPr>
        <w:jc w:val="both"/>
        <w:rPr>
          <w:rFonts w:ascii="Times New Roman" w:hAnsi="Times New Roman" w:cs="Times New Roman"/>
        </w:rPr>
      </w:pPr>
      <w:r w:rsidRPr="005D6DF7">
        <w:rPr>
          <w:rFonts w:ascii="Times New Roman" w:hAnsi="Times New Roman" w:cs="Times New Roman"/>
        </w:rPr>
        <w:t>VAP: ventilator-associated pneumonia</w:t>
      </w:r>
    </w:p>
    <w:p w14:paraId="6F224C56" w14:textId="77777777" w:rsidR="0053194F" w:rsidRPr="005D6DF7" w:rsidRDefault="0053194F" w:rsidP="0053194F">
      <w:pPr>
        <w:jc w:val="both"/>
        <w:rPr>
          <w:rFonts w:ascii="Times New Roman" w:hAnsi="Times New Roman" w:cs="Times New Roman"/>
        </w:rPr>
      </w:pPr>
      <w:r w:rsidRPr="005D6DF7">
        <w:rPr>
          <w:rFonts w:ascii="Times New Roman" w:hAnsi="Times New Roman" w:cs="Times New Roman"/>
        </w:rPr>
        <w:t>SSTI: surgical site and soft tissue infection</w:t>
      </w:r>
    </w:p>
    <w:p w14:paraId="11D76766" w14:textId="77777777" w:rsidR="0053194F" w:rsidRPr="005D6DF7" w:rsidRDefault="0053194F" w:rsidP="0053194F">
      <w:pPr>
        <w:jc w:val="both"/>
        <w:rPr>
          <w:rFonts w:ascii="Times New Roman" w:hAnsi="Times New Roman" w:cs="Times New Roman"/>
        </w:rPr>
      </w:pPr>
      <w:r w:rsidRPr="005D6DF7">
        <w:rPr>
          <w:rFonts w:ascii="Times New Roman" w:hAnsi="Times New Roman" w:cs="Times New Roman"/>
        </w:rPr>
        <w:t>CLABSI: central line associated blood stream infection</w:t>
      </w:r>
    </w:p>
    <w:p w14:paraId="0FA661FD" w14:textId="77777777" w:rsidR="0053194F" w:rsidRPr="005D6DF7" w:rsidRDefault="0053194F" w:rsidP="0053194F">
      <w:pPr>
        <w:jc w:val="both"/>
        <w:rPr>
          <w:rFonts w:ascii="Times New Roman" w:hAnsi="Times New Roman" w:cs="Times New Roman"/>
        </w:rPr>
      </w:pPr>
      <w:r w:rsidRPr="005D6DF7">
        <w:rPr>
          <w:rFonts w:ascii="Times New Roman" w:hAnsi="Times New Roman" w:cs="Times New Roman"/>
        </w:rPr>
        <w:t>BSI: primary blood stream infection</w:t>
      </w:r>
    </w:p>
    <w:p w14:paraId="7D09E7A5" w14:textId="77777777" w:rsidR="0053194F" w:rsidRPr="005D6DF7" w:rsidRDefault="0053194F" w:rsidP="0053194F">
      <w:pPr>
        <w:jc w:val="both"/>
        <w:rPr>
          <w:rFonts w:ascii="Times New Roman" w:hAnsi="Times New Roman" w:cs="Times New Roman"/>
        </w:rPr>
      </w:pPr>
    </w:p>
    <w:p w14:paraId="0008A2C0" w14:textId="77777777" w:rsidR="0053194F" w:rsidRPr="005D6DF7" w:rsidRDefault="0053194F" w:rsidP="0053194F">
      <w:pPr>
        <w:pStyle w:val="Footer"/>
        <w:jc w:val="both"/>
        <w:rPr>
          <w:rFonts w:ascii="Times New Roman" w:hAnsi="Times New Roman" w:cs="Times New Roman"/>
        </w:rPr>
      </w:pPr>
      <w:r w:rsidRPr="005D6DF7">
        <w:rPr>
          <w:rFonts w:ascii="Times New Roman" w:hAnsi="Times New Roman" w:cs="Times New Roman"/>
        </w:rPr>
        <w:t>Some patients developed more than one infection and some infections were polymicrobial. Two episodes of VAP were clinically diagnosed and empirically treated although no organism grew in culture.</w:t>
      </w:r>
    </w:p>
    <w:p w14:paraId="66585253" w14:textId="77777777" w:rsidR="0053194F" w:rsidRPr="005D6DF7" w:rsidRDefault="0053194F" w:rsidP="0053194F">
      <w:pPr>
        <w:jc w:val="both"/>
        <w:rPr>
          <w:rFonts w:ascii="Times New Roman" w:hAnsi="Times New Roman" w:cs="Times New Roman"/>
          <w:b/>
          <w:highlight w:val="yellow"/>
          <w:u w:val="single"/>
        </w:rPr>
      </w:pPr>
    </w:p>
    <w:p w14:paraId="655B2B4B" w14:textId="77777777" w:rsidR="0053194F" w:rsidRPr="00836256" w:rsidRDefault="0053194F" w:rsidP="0053194F">
      <w:pPr>
        <w:jc w:val="both"/>
        <w:rPr>
          <w:rFonts w:ascii="Times New Roman" w:hAnsi="Times New Roman" w:cs="Times New Roman"/>
          <w:b/>
        </w:rPr>
      </w:pPr>
      <w:r w:rsidRPr="00836256">
        <w:rPr>
          <w:rFonts w:ascii="Times New Roman" w:hAnsi="Times New Roman" w:cs="Times New Roman"/>
          <w:b/>
        </w:rPr>
        <w:t>Fig S1</w:t>
      </w:r>
    </w:p>
    <w:p w14:paraId="7598CE5C" w14:textId="77777777" w:rsidR="0053194F" w:rsidRPr="005D6DF7" w:rsidRDefault="0053194F" w:rsidP="0053194F">
      <w:pPr>
        <w:jc w:val="both"/>
        <w:rPr>
          <w:rFonts w:ascii="Times New Roman" w:hAnsi="Times New Roman" w:cs="Times New Roman"/>
          <w:u w:val="single"/>
        </w:rPr>
      </w:pPr>
      <w:r w:rsidRPr="005D6DF7">
        <w:rPr>
          <w:rFonts w:ascii="Times New Roman" w:hAnsi="Times New Roman" w:cs="Times New Roman"/>
          <w:u w:val="single"/>
        </w:rPr>
        <w:t>Legend:</w:t>
      </w:r>
    </w:p>
    <w:p w14:paraId="023191C4" w14:textId="77777777" w:rsidR="0053194F" w:rsidRPr="005D6DF7" w:rsidRDefault="0053194F" w:rsidP="0053194F">
      <w:pPr>
        <w:rPr>
          <w:rFonts w:ascii="Times New Roman" w:hAnsi="Times New Roman" w:cs="Times New Roman"/>
        </w:rPr>
      </w:pPr>
      <w:r w:rsidRPr="005D6DF7">
        <w:rPr>
          <w:rFonts w:ascii="Times New Roman" w:hAnsi="Times New Roman" w:cs="Times New Roman"/>
        </w:rPr>
        <w:t>Panel A: Measurements at ICU admission in nonseptic and septic patients and in healthy controls (&gt; 50 years).  (</w:t>
      </w:r>
      <w:r w:rsidRPr="005D6DF7">
        <w:rPr>
          <w:rFonts w:ascii="Times New Roman" w:hAnsi="Times New Roman" w:cs="Times New Roman"/>
          <w:i/>
        </w:rPr>
        <w:t>*: p&lt;0.05)</w:t>
      </w:r>
    </w:p>
    <w:p w14:paraId="42B1C6DF" w14:textId="77777777" w:rsidR="0053194F" w:rsidRPr="005D6DF7" w:rsidRDefault="0053194F" w:rsidP="0053194F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lang w:val="en-US"/>
        </w:rPr>
      </w:pPr>
      <w:r w:rsidRPr="005D6DF7">
        <w:rPr>
          <w:rFonts w:ascii="Times New Roman" w:hAnsi="Times New Roman" w:cs="Times New Roman"/>
          <w:iCs/>
          <w:sz w:val="24"/>
          <w:lang w:val="en-US"/>
        </w:rPr>
        <w:t xml:space="preserve">Panel B: </w:t>
      </w:r>
      <w:r w:rsidRPr="005D6DF7">
        <w:rPr>
          <w:rFonts w:ascii="Times New Roman" w:hAnsi="Times New Roman" w:cs="Times New Roman"/>
          <w:sz w:val="24"/>
          <w:lang w:val="en-US"/>
        </w:rPr>
        <w:t xml:space="preserve">Predictive value of monocyte absolute count (/µl) </w:t>
      </w:r>
      <w:r w:rsidRPr="005D6DF7">
        <w:rPr>
          <w:rFonts w:ascii="Times New Roman" w:hAnsi="Times New Roman" w:cs="Times New Roman"/>
          <w:bCs/>
          <w:sz w:val="24"/>
          <w:lang w:val="en-US"/>
        </w:rPr>
        <w:t>obtained at T1</w:t>
      </w:r>
      <w:r w:rsidRPr="005D6DF7">
        <w:rPr>
          <w:rFonts w:ascii="Times New Roman" w:hAnsi="Times New Roman" w:cs="Times New Roman"/>
          <w:sz w:val="24"/>
          <w:lang w:val="en-US"/>
        </w:rPr>
        <w:t>. ROC curve analysis of sepsis occurrence based on levels of monocytes and of SOFA is shown.</w:t>
      </w:r>
    </w:p>
    <w:p w14:paraId="39273B78" w14:textId="77777777" w:rsidR="0053194F" w:rsidRPr="00836256" w:rsidRDefault="0053194F" w:rsidP="0053194F">
      <w:pPr>
        <w:jc w:val="both"/>
        <w:rPr>
          <w:rFonts w:ascii="Times New Roman" w:hAnsi="Times New Roman" w:cs="Times New Roman"/>
          <w:b/>
        </w:rPr>
      </w:pPr>
      <w:r w:rsidRPr="00836256">
        <w:rPr>
          <w:rFonts w:ascii="Times New Roman" w:hAnsi="Times New Roman" w:cs="Times New Roman"/>
          <w:b/>
        </w:rPr>
        <w:t>Fig S2</w:t>
      </w:r>
    </w:p>
    <w:p w14:paraId="31214F00" w14:textId="77777777" w:rsidR="0053194F" w:rsidRPr="005D6DF7" w:rsidRDefault="0053194F" w:rsidP="0053194F">
      <w:pPr>
        <w:jc w:val="both"/>
        <w:rPr>
          <w:rFonts w:ascii="Times New Roman" w:hAnsi="Times New Roman" w:cs="Times New Roman"/>
        </w:rPr>
      </w:pPr>
      <w:r w:rsidRPr="005D6DF7">
        <w:rPr>
          <w:rFonts w:ascii="Times New Roman" w:hAnsi="Times New Roman" w:cs="Times New Roman"/>
          <w:u w:val="single"/>
        </w:rPr>
        <w:t>Legend:</w:t>
      </w:r>
    </w:p>
    <w:p w14:paraId="65E075C2" w14:textId="77777777" w:rsidR="0053194F" w:rsidRPr="005D6DF7" w:rsidRDefault="0053194F" w:rsidP="0053194F">
      <w:pPr>
        <w:jc w:val="both"/>
        <w:rPr>
          <w:rFonts w:ascii="Times New Roman" w:hAnsi="Times New Roman" w:cs="Times New Roman"/>
          <w:szCs w:val="32"/>
        </w:rPr>
      </w:pPr>
      <w:r w:rsidRPr="005D6DF7">
        <w:rPr>
          <w:rFonts w:ascii="Times New Roman" w:hAnsi="Times New Roman" w:cs="Times New Roman"/>
          <w:szCs w:val="32"/>
        </w:rPr>
        <w:t>Absolute count of CD62L</w:t>
      </w:r>
      <w:r w:rsidRPr="005D6DF7">
        <w:rPr>
          <w:rFonts w:ascii="Times New Roman" w:hAnsi="Times New Roman" w:cs="Times New Roman"/>
          <w:szCs w:val="32"/>
          <w:vertAlign w:val="subscript"/>
        </w:rPr>
        <w:t>neg</w:t>
      </w:r>
      <w:r w:rsidRPr="005D6DF7">
        <w:rPr>
          <w:rFonts w:ascii="Times New Roman" w:hAnsi="Times New Roman" w:cs="Times New Roman"/>
          <w:szCs w:val="32"/>
        </w:rPr>
        <w:t xml:space="preserve"> monocytes (/µl): evolution of septic patients (N=12 patients with measurement at ICU admission, 48 to 72h later and on the day of sepsis diagnosis). (ns: not statistically significant).</w:t>
      </w:r>
    </w:p>
    <w:p w14:paraId="6F128D9B" w14:textId="77777777" w:rsidR="0053194F" w:rsidRPr="00836256" w:rsidRDefault="0053194F" w:rsidP="0053194F">
      <w:pPr>
        <w:jc w:val="both"/>
        <w:rPr>
          <w:rFonts w:ascii="Times New Roman" w:hAnsi="Times New Roman" w:cs="Times New Roman"/>
          <w:b/>
        </w:rPr>
      </w:pPr>
      <w:r w:rsidRPr="00836256">
        <w:rPr>
          <w:rFonts w:ascii="Times New Roman" w:hAnsi="Times New Roman" w:cs="Times New Roman"/>
          <w:b/>
        </w:rPr>
        <w:t>Fig S3</w:t>
      </w:r>
    </w:p>
    <w:p w14:paraId="35CF765C" w14:textId="77777777" w:rsidR="0053194F" w:rsidRPr="005D6DF7" w:rsidRDefault="0053194F" w:rsidP="0053194F">
      <w:pPr>
        <w:jc w:val="both"/>
        <w:rPr>
          <w:rFonts w:ascii="Times New Roman" w:hAnsi="Times New Roman" w:cs="Times New Roman"/>
        </w:rPr>
      </w:pPr>
      <w:r w:rsidRPr="005D6DF7">
        <w:rPr>
          <w:rFonts w:ascii="Times New Roman" w:hAnsi="Times New Roman" w:cs="Times New Roman"/>
          <w:u w:val="single"/>
        </w:rPr>
        <w:t>Legend</w:t>
      </w:r>
      <w:r w:rsidRPr="005D6DF7">
        <w:rPr>
          <w:rFonts w:ascii="Times New Roman" w:hAnsi="Times New Roman" w:cs="Times New Roman"/>
        </w:rPr>
        <w:t>:</w:t>
      </w:r>
    </w:p>
    <w:p w14:paraId="72FC756B" w14:textId="77777777" w:rsidR="0053194F" w:rsidRPr="005D6DF7" w:rsidRDefault="0053194F" w:rsidP="0053194F">
      <w:pPr>
        <w:jc w:val="both"/>
        <w:rPr>
          <w:rFonts w:ascii="Times New Roman" w:hAnsi="Times New Roman" w:cs="Times New Roman"/>
          <w:b/>
          <w:sz w:val="20"/>
          <w:u w:val="single"/>
        </w:rPr>
      </w:pPr>
      <w:r w:rsidRPr="005D6DF7">
        <w:rPr>
          <w:rFonts w:ascii="Times New Roman" w:hAnsi="Times New Roman" w:cs="Times New Roman"/>
          <w:szCs w:val="32"/>
        </w:rPr>
        <w:t>Intermediate monocytes (CD14++CD16+) median HLA-DR (MFI): evolution of septic patients (N=7 with measurement at ICU admission, 48 to 72h later and on the day of sepsis diagnosis). (ns: not statistically significant).</w:t>
      </w:r>
    </w:p>
    <w:p w14:paraId="30976329" w14:textId="77777777" w:rsidR="00E1715D" w:rsidRDefault="0053194F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4F"/>
    <w:rsid w:val="001942F0"/>
    <w:rsid w:val="002C0857"/>
    <w:rsid w:val="003F01F8"/>
    <w:rsid w:val="0053194F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44A9D"/>
  <w15:chartTrackingRefBased/>
  <w15:docId w15:val="{CC5BADB3-E14A-411B-A87B-BF46AEC6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94F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94F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fr-BE" w:eastAsia="en-US"/>
    </w:rPr>
  </w:style>
  <w:style w:type="paragraph" w:styleId="Footer">
    <w:name w:val="footer"/>
    <w:basedOn w:val="Normal"/>
    <w:link w:val="FooterChar"/>
    <w:uiPriority w:val="99"/>
    <w:unhideWhenUsed/>
    <w:rsid w:val="005319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94F"/>
    <w:rPr>
      <w:rFonts w:eastAsiaTheme="minorEastAsia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>Springer Nature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2022-12-16T17:21:00Z</dcterms:created>
  <dcterms:modified xsi:type="dcterms:W3CDTF">2022-12-16T17:22:00Z</dcterms:modified>
</cp:coreProperties>
</file>