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B85A4" w14:textId="6A117B06" w:rsidR="00616CE5" w:rsidRPr="005E12B5" w:rsidRDefault="00E561F6" w:rsidP="00E561F6">
      <w:pPr>
        <w:pStyle w:val="Title"/>
        <w:rPr>
          <w:lang w:val="en-US"/>
        </w:rPr>
      </w:pPr>
      <w:bookmarkStart w:id="0" w:name="_Hlk100130827"/>
      <w:bookmarkEnd w:id="0"/>
      <w:r w:rsidRPr="005E12B5">
        <w:rPr>
          <w:lang w:val="en-US"/>
        </w:rPr>
        <w:t>Supplementary Material</w:t>
      </w:r>
    </w:p>
    <w:p w14:paraId="3BA99442" w14:textId="73A98436" w:rsidR="00E561F6" w:rsidRPr="005E12B5" w:rsidRDefault="00E561F6" w:rsidP="00E561F6">
      <w:pPr>
        <w:rPr>
          <w:lang w:val="en-US"/>
        </w:rPr>
      </w:pPr>
    </w:p>
    <w:p w14:paraId="14A18FE0" w14:textId="4BDC8528" w:rsidR="00E561F6" w:rsidRPr="00E561F6" w:rsidRDefault="00E561F6" w:rsidP="005E12B5">
      <w:pPr>
        <w:jc w:val="both"/>
        <w:rPr>
          <w:lang w:val="en-US"/>
        </w:rPr>
      </w:pPr>
      <w:r w:rsidRPr="00E561F6">
        <w:rPr>
          <w:lang w:val="en-US"/>
        </w:rPr>
        <w:t>To assess the ability o</w:t>
      </w:r>
      <w:r>
        <w:rPr>
          <w:lang w:val="en-US"/>
        </w:rPr>
        <w:t xml:space="preserve">f our preprocessing to remove eye-related artifacts, the correlation of the channel data with the electrooculographic (EOG) channels was assessed </w:t>
      </w:r>
      <w:r w:rsidR="002E31FC">
        <w:rPr>
          <w:lang w:val="en-US"/>
        </w:rPr>
        <w:t xml:space="preserve">before </w:t>
      </w:r>
      <w:r>
        <w:rPr>
          <w:lang w:val="en-US"/>
        </w:rPr>
        <w:t xml:space="preserve">and </w:t>
      </w:r>
      <w:r w:rsidR="002E31FC">
        <w:rPr>
          <w:lang w:val="en-US"/>
        </w:rPr>
        <w:t xml:space="preserve">after </w:t>
      </w:r>
      <w:r>
        <w:rPr>
          <w:lang w:val="en-US"/>
        </w:rPr>
        <w:t>the artifact rejection carried out by means of independent component analysis (ICA).</w:t>
      </w:r>
      <w:r w:rsidR="000C26CE">
        <w:rPr>
          <w:lang w:val="en-US"/>
        </w:rPr>
        <w:t xml:space="preserve"> </w:t>
      </w:r>
      <w:r w:rsidR="005E12B5">
        <w:rPr>
          <w:lang w:val="en-US"/>
        </w:rPr>
        <w:t xml:space="preserve">In the figures below it is depicted the correlation of the EEG channels with the different EOG channels, </w:t>
      </w:r>
      <w:r w:rsidR="005E12B5" w:rsidRPr="005E12B5">
        <w:rPr>
          <w:lang w:val="en-US"/>
        </w:rPr>
        <w:t>before (left) and after (right) the application of ICA</w:t>
      </w:r>
      <w:r w:rsidR="005E12B5">
        <w:rPr>
          <w:lang w:val="en-US"/>
        </w:rPr>
        <w:t xml:space="preserve">. </w:t>
      </w:r>
      <w:r w:rsidR="000C26CE">
        <w:rPr>
          <w:lang w:val="en-US"/>
        </w:rPr>
        <w:t xml:space="preserve">It can be observed that the correlation of the EEG data with the EOG channels dramatically decrease after the ICA component rejection. Thus, it can be concluded that the influence of the eye artifacts in the preprocessed signals can be neglected. </w:t>
      </w:r>
    </w:p>
    <w:p w14:paraId="48FF89F8" w14:textId="77777777" w:rsidR="00E561F6" w:rsidRDefault="00E561F6" w:rsidP="00E561F6">
      <w:pPr>
        <w:keepNext/>
        <w:jc w:val="center"/>
      </w:pPr>
      <w:r w:rsidRPr="00873457">
        <w:rPr>
          <w:rFonts w:cstheme="minorHAnsi"/>
          <w:noProof/>
          <w:lang w:val="en-US"/>
        </w:rPr>
        <w:drawing>
          <wp:inline distT="0" distB="0" distL="0" distR="0" wp14:anchorId="27FB9FC5" wp14:editId="20B5E406">
            <wp:extent cx="3053080" cy="2509381"/>
            <wp:effectExtent l="0" t="0" r="0" b="5715"/>
            <wp:docPr id="3" name="Imagen 3" descr="Gráfico, Forma, Gráfico de burbuj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áfico, Forma, Gráfico de burbujas&#10;&#10;Descripción generada automáticamente"/>
                    <pic:cNvPicPr/>
                  </pic:nvPicPr>
                  <pic:blipFill rotWithShape="1">
                    <a:blip r:embed="rId4"/>
                    <a:srcRect r="31278"/>
                    <a:stretch/>
                  </pic:blipFill>
                  <pic:spPr bwMode="auto">
                    <a:xfrm>
                      <a:off x="0" y="0"/>
                      <a:ext cx="3059420" cy="2514592"/>
                    </a:xfrm>
                    <a:prstGeom prst="rect">
                      <a:avLst/>
                    </a:prstGeom>
                    <a:ln>
                      <a:noFill/>
                    </a:ln>
                    <a:extLst>
                      <a:ext uri="{53640926-AAD7-44D8-BBD7-CCE9431645EC}">
                        <a14:shadowObscured xmlns:a14="http://schemas.microsoft.com/office/drawing/2010/main"/>
                      </a:ext>
                    </a:extLst>
                  </pic:spPr>
                </pic:pic>
              </a:graphicData>
            </a:graphic>
          </wp:inline>
        </w:drawing>
      </w:r>
    </w:p>
    <w:p w14:paraId="032D1B9F" w14:textId="55591EB1" w:rsidR="00E561F6" w:rsidRDefault="00E561F6" w:rsidP="00E561F6">
      <w:pPr>
        <w:pStyle w:val="Caption"/>
        <w:rPr>
          <w:lang w:val="en-US"/>
        </w:rPr>
      </w:pPr>
      <w:r w:rsidRPr="00E561F6">
        <w:rPr>
          <w:b/>
          <w:bCs/>
          <w:lang w:val="en-US"/>
        </w:rPr>
        <w:t>Figure S1</w:t>
      </w:r>
      <w:r w:rsidRPr="00E561F6">
        <w:rPr>
          <w:lang w:val="en-US"/>
        </w:rPr>
        <w:t>. Correlation</w:t>
      </w:r>
      <w:r>
        <w:rPr>
          <w:lang w:val="en-US"/>
        </w:rPr>
        <w:t xml:space="preserve"> values</w:t>
      </w:r>
      <w:r w:rsidRPr="00E561F6">
        <w:rPr>
          <w:lang w:val="en-US"/>
        </w:rPr>
        <w:t xml:space="preserve"> of valid deductive signals </w:t>
      </w:r>
      <w:r w:rsidR="002E31FC">
        <w:rPr>
          <w:lang w:val="en-US"/>
        </w:rPr>
        <w:t>before</w:t>
      </w:r>
      <w:r w:rsidR="002E31FC" w:rsidRPr="00E561F6">
        <w:rPr>
          <w:lang w:val="en-US"/>
        </w:rPr>
        <w:t xml:space="preserve"> </w:t>
      </w:r>
      <w:r w:rsidRPr="00E561F6">
        <w:rPr>
          <w:lang w:val="en-US"/>
        </w:rPr>
        <w:t xml:space="preserve">(left) and </w:t>
      </w:r>
      <w:r w:rsidR="002E31FC">
        <w:rPr>
          <w:lang w:val="en-US"/>
        </w:rPr>
        <w:t>after</w:t>
      </w:r>
      <w:r w:rsidR="002E31FC" w:rsidRPr="00E561F6">
        <w:rPr>
          <w:lang w:val="en-US"/>
        </w:rPr>
        <w:t xml:space="preserve"> </w:t>
      </w:r>
      <w:r w:rsidRPr="00E561F6">
        <w:rPr>
          <w:lang w:val="en-US"/>
        </w:rPr>
        <w:t>(</w:t>
      </w:r>
      <w:r>
        <w:rPr>
          <w:lang w:val="en-US"/>
        </w:rPr>
        <w:t>right) the application of ICA. The first row corresponds with the horizontal EOG channel, the second one with the right vertical EOG channel, and the third row with the left vertical EOG channel.</w:t>
      </w:r>
    </w:p>
    <w:p w14:paraId="2B663E29" w14:textId="4F2E7D85" w:rsidR="00E561F6" w:rsidRDefault="00E561F6" w:rsidP="005E12B5">
      <w:pPr>
        <w:jc w:val="center"/>
        <w:rPr>
          <w:lang w:val="en-US"/>
        </w:rPr>
      </w:pPr>
      <w:r w:rsidRPr="0007704E">
        <w:rPr>
          <w:rFonts w:cstheme="minorHAnsi"/>
          <w:noProof/>
          <w:lang w:val="en-US"/>
        </w:rPr>
        <w:drawing>
          <wp:inline distT="0" distB="0" distL="0" distR="0" wp14:anchorId="0B874E53" wp14:editId="2FCFBA65">
            <wp:extent cx="3042920" cy="2619757"/>
            <wp:effectExtent l="0" t="0" r="5080" b="9525"/>
            <wp:docPr id="8" name="Imagen 8" descr="Gráfico, Gráfico de burbuj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Gráfico, Gráfico de burbujas&#10;&#10;Descripción generada automáticamente"/>
                    <pic:cNvPicPr/>
                  </pic:nvPicPr>
                  <pic:blipFill rotWithShape="1">
                    <a:blip r:embed="rId5"/>
                    <a:srcRect r="33066"/>
                    <a:stretch/>
                  </pic:blipFill>
                  <pic:spPr bwMode="auto">
                    <a:xfrm>
                      <a:off x="0" y="0"/>
                      <a:ext cx="3047452" cy="2623659"/>
                    </a:xfrm>
                    <a:prstGeom prst="rect">
                      <a:avLst/>
                    </a:prstGeom>
                    <a:ln>
                      <a:noFill/>
                    </a:ln>
                    <a:extLst>
                      <a:ext uri="{53640926-AAD7-44D8-BBD7-CCE9431645EC}">
                        <a14:shadowObscured xmlns:a14="http://schemas.microsoft.com/office/drawing/2010/main"/>
                      </a:ext>
                    </a:extLst>
                  </pic:spPr>
                </pic:pic>
              </a:graphicData>
            </a:graphic>
          </wp:inline>
        </w:drawing>
      </w:r>
    </w:p>
    <w:p w14:paraId="11E47527" w14:textId="03E6606A" w:rsidR="00E561F6" w:rsidRDefault="00E561F6" w:rsidP="00E561F6">
      <w:pPr>
        <w:pStyle w:val="Caption"/>
        <w:rPr>
          <w:lang w:val="en-US"/>
        </w:rPr>
      </w:pPr>
      <w:r w:rsidRPr="00E561F6">
        <w:rPr>
          <w:b/>
          <w:bCs/>
          <w:lang w:val="en-US"/>
        </w:rPr>
        <w:t>Figure S</w:t>
      </w:r>
      <w:r>
        <w:rPr>
          <w:b/>
          <w:bCs/>
          <w:lang w:val="en-US"/>
        </w:rPr>
        <w:t>2</w:t>
      </w:r>
      <w:r w:rsidRPr="00E561F6">
        <w:rPr>
          <w:lang w:val="en-US"/>
        </w:rPr>
        <w:t>. Correlation</w:t>
      </w:r>
      <w:r>
        <w:rPr>
          <w:lang w:val="en-US"/>
        </w:rPr>
        <w:t xml:space="preserve"> values</w:t>
      </w:r>
      <w:r w:rsidRPr="00E561F6">
        <w:rPr>
          <w:lang w:val="en-US"/>
        </w:rPr>
        <w:t xml:space="preserve"> of </w:t>
      </w:r>
      <w:r>
        <w:rPr>
          <w:lang w:val="en-US"/>
        </w:rPr>
        <w:t>in</w:t>
      </w:r>
      <w:r w:rsidRPr="00E561F6">
        <w:rPr>
          <w:lang w:val="en-US"/>
        </w:rPr>
        <w:t xml:space="preserve">valid deductive signals </w:t>
      </w:r>
      <w:r w:rsidR="002E31FC">
        <w:rPr>
          <w:lang w:val="en-US"/>
        </w:rPr>
        <w:t>before</w:t>
      </w:r>
      <w:r w:rsidR="002E31FC" w:rsidRPr="00E561F6">
        <w:rPr>
          <w:lang w:val="en-US"/>
        </w:rPr>
        <w:t xml:space="preserve"> </w:t>
      </w:r>
      <w:r w:rsidRPr="00E561F6">
        <w:rPr>
          <w:lang w:val="en-US"/>
        </w:rPr>
        <w:t xml:space="preserve">(left) and </w:t>
      </w:r>
      <w:r w:rsidR="002E31FC">
        <w:rPr>
          <w:lang w:val="en-US"/>
        </w:rPr>
        <w:t>after</w:t>
      </w:r>
      <w:r w:rsidR="002E31FC" w:rsidRPr="00E561F6">
        <w:rPr>
          <w:lang w:val="en-US"/>
        </w:rPr>
        <w:t xml:space="preserve"> </w:t>
      </w:r>
      <w:r w:rsidRPr="00E561F6">
        <w:rPr>
          <w:lang w:val="en-US"/>
        </w:rPr>
        <w:t>(</w:t>
      </w:r>
      <w:r>
        <w:rPr>
          <w:lang w:val="en-US"/>
        </w:rPr>
        <w:t>right) the application of ICA. The first row corresponds with the horizontal EOG channel, the second one with the right vertical EOG channel, and the third row with the left vertical EOG channel.</w:t>
      </w:r>
    </w:p>
    <w:p w14:paraId="4592466F" w14:textId="4280A6B7" w:rsidR="00E561F6" w:rsidRDefault="00E908D6" w:rsidP="005E12B5">
      <w:pPr>
        <w:pStyle w:val="Caption"/>
        <w:rPr>
          <w:lang w:val="en-US"/>
        </w:rPr>
      </w:pPr>
      <w:r>
        <w:rPr>
          <w:noProof/>
        </w:rPr>
        <w:lastRenderedPageBreak/>
        <w:drawing>
          <wp:anchor distT="0" distB="0" distL="114300" distR="114300" simplePos="0" relativeHeight="251658240" behindDoc="1" locked="0" layoutInCell="1" allowOverlap="1" wp14:anchorId="31573753" wp14:editId="764B7009">
            <wp:simplePos x="0" y="0"/>
            <wp:positionH relativeFrom="margin">
              <wp:align>right</wp:align>
            </wp:positionH>
            <wp:positionV relativeFrom="paragraph">
              <wp:posOffset>0</wp:posOffset>
            </wp:positionV>
            <wp:extent cx="5396230" cy="3631565"/>
            <wp:effectExtent l="0" t="0" r="0" b="6985"/>
            <wp:wrapTight wrapText="bothSides">
              <wp:wrapPolygon edited="0">
                <wp:start x="0" y="0"/>
                <wp:lineTo x="0" y="21528"/>
                <wp:lineTo x="21503" y="21528"/>
                <wp:lineTo x="21503" y="0"/>
                <wp:lineTo x="0" y="0"/>
              </wp:wrapPolygon>
            </wp:wrapTight>
            <wp:docPr id="18" name="Imagen 18"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Gráfico&#10;&#10;Descripción generada automá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96230" cy="3631565"/>
                    </a:xfrm>
                    <a:prstGeom prst="rect">
                      <a:avLst/>
                    </a:prstGeom>
                    <a:noFill/>
                    <a:ln>
                      <a:noFill/>
                    </a:ln>
                  </pic:spPr>
                </pic:pic>
              </a:graphicData>
            </a:graphic>
          </wp:anchor>
        </w:drawing>
      </w:r>
      <w:r w:rsidRPr="00E561F6">
        <w:rPr>
          <w:b/>
          <w:bCs/>
          <w:lang w:val="en-US"/>
        </w:rPr>
        <w:t>Figure S</w:t>
      </w:r>
      <w:r>
        <w:rPr>
          <w:b/>
          <w:bCs/>
          <w:lang w:val="en-US"/>
        </w:rPr>
        <w:t>3</w:t>
      </w:r>
      <w:r w:rsidRPr="00E561F6">
        <w:rPr>
          <w:lang w:val="en-US"/>
        </w:rPr>
        <w:t xml:space="preserve">. </w:t>
      </w:r>
      <w:r w:rsidRPr="00E908D6">
        <w:rPr>
          <w:lang w:val="en-US"/>
        </w:rPr>
        <w:t>Grand- average of the time-frequency representations of invalid deductive and valid deductive. The representations have been normalized by the baseline mean (-500 - 0ms) in each time point. Baseline has been shaded. In right axis, the conventional EEG frequency bands have been delimited and tagged</w:t>
      </w:r>
      <w:r>
        <w:rPr>
          <w:lang w:val="en-US"/>
        </w:rPr>
        <w:t>.</w:t>
      </w:r>
    </w:p>
    <w:p w14:paraId="10C773E9" w14:textId="765BAF06" w:rsidR="00991BFE" w:rsidRDefault="00991BFE" w:rsidP="00991BFE">
      <w:pPr>
        <w:rPr>
          <w:lang w:val="en-US"/>
        </w:rPr>
      </w:pPr>
      <w:r>
        <w:rPr>
          <w:noProof/>
        </w:rPr>
        <w:drawing>
          <wp:inline distT="0" distB="0" distL="0" distR="0" wp14:anchorId="24CBF012" wp14:editId="0C250789">
            <wp:extent cx="5400040" cy="3806825"/>
            <wp:effectExtent l="0" t="0" r="0" b="3175"/>
            <wp:docPr id="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Interfaz de usuario gráfica&#10;&#10;Descripción generada automá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3806825"/>
                    </a:xfrm>
                    <a:prstGeom prst="rect">
                      <a:avLst/>
                    </a:prstGeom>
                    <a:noFill/>
                    <a:ln>
                      <a:noFill/>
                    </a:ln>
                  </pic:spPr>
                </pic:pic>
              </a:graphicData>
            </a:graphic>
          </wp:inline>
        </w:drawing>
      </w:r>
    </w:p>
    <w:p w14:paraId="466926E6" w14:textId="039ED72F" w:rsidR="00991BFE" w:rsidRPr="00991BFE" w:rsidRDefault="00991BFE" w:rsidP="00991BFE">
      <w:pPr>
        <w:jc w:val="both"/>
        <w:rPr>
          <w:b/>
          <w:bCs/>
          <w:i/>
          <w:iCs/>
          <w:color w:val="44546A" w:themeColor="text2"/>
          <w:sz w:val="18"/>
          <w:szCs w:val="18"/>
          <w:lang w:val="en-US"/>
        </w:rPr>
      </w:pPr>
      <w:r w:rsidRPr="00991BFE">
        <w:rPr>
          <w:b/>
          <w:bCs/>
          <w:i/>
          <w:iCs/>
          <w:color w:val="44546A" w:themeColor="text2"/>
          <w:sz w:val="18"/>
          <w:szCs w:val="18"/>
          <w:lang w:val="en-US"/>
        </w:rPr>
        <w:t xml:space="preserve">Figure </w:t>
      </w:r>
      <w:r>
        <w:rPr>
          <w:b/>
          <w:bCs/>
          <w:i/>
          <w:iCs/>
          <w:color w:val="44546A" w:themeColor="text2"/>
          <w:sz w:val="18"/>
          <w:szCs w:val="18"/>
          <w:lang w:val="en-US"/>
        </w:rPr>
        <w:t>S4</w:t>
      </w:r>
      <w:r w:rsidRPr="00991BFE">
        <w:rPr>
          <w:b/>
          <w:bCs/>
          <w:i/>
          <w:iCs/>
          <w:color w:val="44546A" w:themeColor="text2"/>
          <w:sz w:val="18"/>
          <w:szCs w:val="18"/>
          <w:lang w:val="en-US"/>
        </w:rPr>
        <w:t xml:space="preserve">. </w:t>
      </w:r>
      <w:r w:rsidRPr="00991BFE">
        <w:rPr>
          <w:i/>
          <w:iCs/>
          <w:color w:val="44546A" w:themeColor="text2"/>
          <w:sz w:val="18"/>
          <w:szCs w:val="18"/>
          <w:lang w:val="en-US"/>
        </w:rPr>
        <w:t xml:space="preserve">Statistically significant differences (p-values &lt; 0.01, Wilcoxon signed rank test) found between invalid and valid conditions for: A): left </w:t>
      </w:r>
      <w:r>
        <w:rPr>
          <w:i/>
          <w:iCs/>
          <w:color w:val="44546A" w:themeColor="text2"/>
          <w:sz w:val="18"/>
          <w:szCs w:val="18"/>
          <w:lang w:val="en-US"/>
        </w:rPr>
        <w:t>frontal</w:t>
      </w:r>
      <w:r w:rsidRPr="00991BFE">
        <w:rPr>
          <w:i/>
          <w:iCs/>
          <w:color w:val="44546A" w:themeColor="text2"/>
          <w:sz w:val="18"/>
          <w:szCs w:val="18"/>
          <w:lang w:val="en-US"/>
        </w:rPr>
        <w:t>; B): left</w:t>
      </w:r>
      <w:r>
        <w:rPr>
          <w:i/>
          <w:iCs/>
          <w:color w:val="44546A" w:themeColor="text2"/>
          <w:sz w:val="18"/>
          <w:szCs w:val="18"/>
          <w:lang w:val="en-US"/>
        </w:rPr>
        <w:t xml:space="preserve"> parietal</w:t>
      </w:r>
      <w:r w:rsidRPr="00991BFE">
        <w:rPr>
          <w:i/>
          <w:iCs/>
          <w:color w:val="44546A" w:themeColor="text2"/>
          <w:sz w:val="18"/>
          <w:szCs w:val="18"/>
          <w:lang w:val="en-US"/>
        </w:rPr>
        <w:t>. Baseline period has been shaded. In left axis, the conventional EEG frequency bands have been delimited and tagged. Red points indicate statistically significant differences for which invalid deductive has more power, while blue differences represent time-frequency bins in which valid deductive process obtained higher power than invalid one.</w:t>
      </w:r>
    </w:p>
    <w:sectPr w:rsidR="00991BFE" w:rsidRPr="00991BF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1F6"/>
    <w:rsid w:val="000C26CE"/>
    <w:rsid w:val="000F5B64"/>
    <w:rsid w:val="002E31FC"/>
    <w:rsid w:val="005E12B5"/>
    <w:rsid w:val="00616CE5"/>
    <w:rsid w:val="0069691D"/>
    <w:rsid w:val="006F110D"/>
    <w:rsid w:val="00991BFE"/>
    <w:rsid w:val="00E561F6"/>
    <w:rsid w:val="00E908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EC6AE"/>
  <w15:chartTrackingRefBased/>
  <w15:docId w15:val="{934CEDD9-CB01-4FF4-9E01-D98DAC99A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561F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61F6"/>
    <w:rPr>
      <w:rFonts w:asciiTheme="majorHAnsi" w:eastAsiaTheme="majorEastAsia" w:hAnsiTheme="majorHAnsi" w:cstheme="majorBidi"/>
      <w:spacing w:val="-10"/>
      <w:kern w:val="28"/>
      <w:sz w:val="56"/>
      <w:szCs w:val="56"/>
    </w:rPr>
  </w:style>
  <w:style w:type="paragraph" w:styleId="Caption">
    <w:name w:val="caption"/>
    <w:basedOn w:val="Normal"/>
    <w:next w:val="Normal"/>
    <w:uiPriority w:val="35"/>
    <w:unhideWhenUsed/>
    <w:qFormat/>
    <w:rsid w:val="00E561F6"/>
    <w:pPr>
      <w:spacing w:after="200" w:line="240" w:lineRule="auto"/>
    </w:pPr>
    <w:rPr>
      <w:i/>
      <w:iCs/>
      <w:color w:val="44546A" w:themeColor="text2"/>
      <w:sz w:val="18"/>
      <w:szCs w:val="18"/>
    </w:rPr>
  </w:style>
  <w:style w:type="paragraph" w:styleId="Revision">
    <w:name w:val="Revision"/>
    <w:hidden/>
    <w:uiPriority w:val="99"/>
    <w:semiHidden/>
    <w:rsid w:val="0069691D"/>
    <w:pPr>
      <w:spacing w:after="0" w:line="240" w:lineRule="auto"/>
    </w:pPr>
  </w:style>
  <w:style w:type="character" w:styleId="CommentReference">
    <w:name w:val="annotation reference"/>
    <w:basedOn w:val="DefaultParagraphFont"/>
    <w:uiPriority w:val="99"/>
    <w:semiHidden/>
    <w:unhideWhenUsed/>
    <w:rsid w:val="0069691D"/>
    <w:rPr>
      <w:sz w:val="16"/>
      <w:szCs w:val="16"/>
    </w:rPr>
  </w:style>
  <w:style w:type="paragraph" w:styleId="CommentText">
    <w:name w:val="annotation text"/>
    <w:basedOn w:val="Normal"/>
    <w:link w:val="CommentTextChar"/>
    <w:uiPriority w:val="99"/>
    <w:unhideWhenUsed/>
    <w:rsid w:val="0069691D"/>
    <w:pPr>
      <w:spacing w:line="240" w:lineRule="auto"/>
    </w:pPr>
    <w:rPr>
      <w:sz w:val="20"/>
      <w:szCs w:val="20"/>
    </w:rPr>
  </w:style>
  <w:style w:type="character" w:customStyle="1" w:styleId="CommentTextChar">
    <w:name w:val="Comment Text Char"/>
    <w:basedOn w:val="DefaultParagraphFont"/>
    <w:link w:val="CommentText"/>
    <w:uiPriority w:val="99"/>
    <w:rsid w:val="0069691D"/>
    <w:rPr>
      <w:sz w:val="20"/>
      <w:szCs w:val="20"/>
    </w:rPr>
  </w:style>
  <w:style w:type="paragraph" w:styleId="CommentSubject">
    <w:name w:val="annotation subject"/>
    <w:basedOn w:val="CommentText"/>
    <w:next w:val="CommentText"/>
    <w:link w:val="CommentSubjectChar"/>
    <w:uiPriority w:val="99"/>
    <w:semiHidden/>
    <w:unhideWhenUsed/>
    <w:rsid w:val="0069691D"/>
    <w:rPr>
      <w:b/>
      <w:bCs/>
    </w:rPr>
  </w:style>
  <w:style w:type="character" w:customStyle="1" w:styleId="CommentSubjectChar">
    <w:name w:val="Comment Subject Char"/>
    <w:basedOn w:val="CommentTextChar"/>
    <w:link w:val="CommentSubject"/>
    <w:uiPriority w:val="99"/>
    <w:semiHidden/>
    <w:rsid w:val="0069691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313</Words>
  <Characters>1790</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Rodriguez</dc:creator>
  <cp:keywords/>
  <dc:description/>
  <cp:lastModifiedBy>Francisco Salto Alemany</cp:lastModifiedBy>
  <cp:revision>2</cp:revision>
  <dcterms:created xsi:type="dcterms:W3CDTF">2022-04-20T09:19:00Z</dcterms:created>
  <dcterms:modified xsi:type="dcterms:W3CDTF">2022-04-20T09:19:00Z</dcterms:modified>
</cp:coreProperties>
</file>