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A7567" w14:textId="371BBC5E" w:rsidR="00700F1F" w:rsidRDefault="00700F1F" w:rsidP="00700F1F">
      <w:pPr>
        <w:rPr>
          <w:rFonts w:ascii="Arial" w:hAnsi="Arial" w:cs="Arial"/>
          <w:b/>
        </w:rPr>
      </w:pPr>
      <w:r>
        <w:rPr>
          <w:rFonts w:ascii="Arial" w:hAnsi="Arial" w:cs="Arial"/>
          <w:b/>
        </w:rPr>
        <w:t>HUMAN SUBJECTS CONSIDERATIONS</w:t>
      </w:r>
    </w:p>
    <w:p w14:paraId="3E163252" w14:textId="77777777" w:rsidR="00700F1F" w:rsidRPr="00CE7CB0" w:rsidRDefault="00700F1F" w:rsidP="00700F1F">
      <w:pPr>
        <w:rPr>
          <w:rFonts w:ascii="Arial" w:hAnsi="Arial" w:cs="Arial"/>
          <w:b/>
        </w:rPr>
      </w:pPr>
    </w:p>
    <w:p w14:paraId="7D977817" w14:textId="6F4E09E0" w:rsidR="00700F1F" w:rsidRDefault="00700F1F" w:rsidP="00700F1F">
      <w:pPr>
        <w:ind w:firstLine="720"/>
        <w:rPr>
          <w:rFonts w:ascii="Arial" w:hAnsi="Arial" w:cs="Arial"/>
        </w:rPr>
      </w:pPr>
      <w:r>
        <w:rPr>
          <w:rFonts w:ascii="Arial" w:hAnsi="Arial" w:cs="Arial"/>
        </w:rPr>
        <w:t xml:space="preserve">The patient’s parents provided their consent to participate in this trial, although it was deemed “not research” (but rather off-label treatment) by the Phoenix Children’s Hospital IRB. The family provided separate written informed consent to have CSF magnesium concentrations determined by ICP-MS via a research protocol and to have their child’s findings published in their present form. </w:t>
      </w:r>
    </w:p>
    <w:p w14:paraId="14300C60" w14:textId="77777777" w:rsidR="00702C4E" w:rsidRDefault="00702C4E" w:rsidP="00700F1F">
      <w:pPr>
        <w:ind w:firstLine="720"/>
        <w:rPr>
          <w:rFonts w:ascii="Arial" w:hAnsi="Arial" w:cs="Arial"/>
        </w:rPr>
      </w:pPr>
    </w:p>
    <w:p w14:paraId="36E7022B" w14:textId="6941964E" w:rsidR="00700F1F" w:rsidRDefault="00700F1F" w:rsidP="00700F1F">
      <w:pPr>
        <w:ind w:firstLine="720"/>
        <w:rPr>
          <w:rFonts w:ascii="Arial" w:hAnsi="Arial" w:cs="Arial"/>
        </w:rPr>
      </w:pPr>
      <w:r>
        <w:rPr>
          <w:rFonts w:ascii="Arial" w:hAnsi="Arial" w:cs="Arial"/>
        </w:rPr>
        <w:t xml:space="preserve">This study was considered level 2 evidence based on </w:t>
      </w:r>
      <w:r w:rsidRPr="00CE7CB0">
        <w:rPr>
          <w:rFonts w:ascii="Arial" w:hAnsi="Arial" w:cs="Arial"/>
        </w:rPr>
        <w:t>Oxford Centre for Evidence-Based Medicine 2011 Levels of Evidence</w:t>
      </w:r>
      <w:r>
        <w:rPr>
          <w:rFonts w:ascii="Arial" w:hAnsi="Arial" w:cs="Arial"/>
        </w:rPr>
        <w:t xml:space="preserve"> guidelines, downgraded slightly because the intervention in question was not blinded.</w:t>
      </w:r>
    </w:p>
    <w:p w14:paraId="71366A57" w14:textId="00F393FC" w:rsidR="00700F1F" w:rsidRDefault="00700F1F" w:rsidP="00661E73">
      <w:pPr>
        <w:rPr>
          <w:rFonts w:ascii="Arial" w:hAnsi="Arial" w:cs="Arial"/>
          <w:b/>
        </w:rPr>
      </w:pPr>
    </w:p>
    <w:p w14:paraId="1B80DA94" w14:textId="77777777" w:rsidR="00700F1F" w:rsidRDefault="00700F1F" w:rsidP="00661E73">
      <w:pPr>
        <w:rPr>
          <w:rFonts w:ascii="Arial" w:hAnsi="Arial" w:cs="Arial"/>
          <w:b/>
        </w:rPr>
      </w:pPr>
    </w:p>
    <w:p w14:paraId="2E30C111" w14:textId="12C6D718" w:rsidR="00661E73" w:rsidRPr="00661E73" w:rsidRDefault="00661E73" w:rsidP="00661E73">
      <w:pPr>
        <w:rPr>
          <w:rFonts w:ascii="Arial" w:hAnsi="Arial" w:cs="Arial"/>
          <w:b/>
        </w:rPr>
      </w:pPr>
      <w:r w:rsidRPr="00661E73">
        <w:rPr>
          <w:rFonts w:ascii="Arial" w:hAnsi="Arial" w:cs="Arial"/>
          <w:b/>
        </w:rPr>
        <w:t>SUPPLEMENTAL CLINICAL DATA</w:t>
      </w:r>
    </w:p>
    <w:p w14:paraId="1F6B7B00" w14:textId="77777777" w:rsidR="00661E73" w:rsidRPr="00661E73" w:rsidRDefault="00661E73" w:rsidP="00661E73">
      <w:pPr>
        <w:rPr>
          <w:rFonts w:ascii="Arial" w:hAnsi="Arial" w:cs="Arial"/>
          <w:b/>
        </w:rPr>
      </w:pPr>
    </w:p>
    <w:p w14:paraId="795A6FF6" w14:textId="3F8E5B15" w:rsidR="00661E73" w:rsidRDefault="002B44BB" w:rsidP="00702C4E">
      <w:pPr>
        <w:ind w:firstLine="720"/>
        <w:rPr>
          <w:rFonts w:ascii="Arial" w:hAnsi="Arial" w:cs="Arial"/>
        </w:rPr>
      </w:pPr>
      <w:r>
        <w:rPr>
          <w:rFonts w:ascii="Arial" w:hAnsi="Arial" w:cs="Arial"/>
        </w:rPr>
        <w:t>M</w:t>
      </w:r>
      <w:r w:rsidRPr="00661E73">
        <w:rPr>
          <w:rFonts w:ascii="Arial" w:hAnsi="Arial" w:cs="Arial"/>
        </w:rPr>
        <w:t xml:space="preserve">otor and language development </w:t>
      </w:r>
      <w:r>
        <w:rPr>
          <w:rFonts w:ascii="Arial" w:hAnsi="Arial" w:cs="Arial"/>
        </w:rPr>
        <w:t>was</w:t>
      </w:r>
      <w:r w:rsidRPr="00661E73">
        <w:rPr>
          <w:rFonts w:ascii="Arial" w:hAnsi="Arial" w:cs="Arial"/>
        </w:rPr>
        <w:t xml:space="preserve"> minimal. </w:t>
      </w:r>
      <w:r>
        <w:rPr>
          <w:rFonts w:ascii="Arial" w:hAnsi="Arial" w:cs="Arial"/>
        </w:rPr>
        <w:t>The patient</w:t>
      </w:r>
      <w:r w:rsidRPr="00661E73">
        <w:rPr>
          <w:rFonts w:ascii="Arial" w:hAnsi="Arial" w:cs="Arial"/>
        </w:rPr>
        <w:t xml:space="preserve"> slept much of the day. While awake, he exhibited marked irritability, impaired awareness, limited interaction, and a paucity of volitional movement. Head control was poor, and he did not roll, sit, or reach for toys consistently.</w:t>
      </w:r>
      <w:r w:rsidR="00702C4E">
        <w:rPr>
          <w:rFonts w:ascii="Arial" w:hAnsi="Arial" w:cs="Arial"/>
        </w:rPr>
        <w:t xml:space="preserve"> </w:t>
      </w:r>
      <w:r>
        <w:rPr>
          <w:rFonts w:ascii="Arial" w:hAnsi="Arial" w:cs="Arial"/>
        </w:rPr>
        <w:t xml:space="preserve">Neurological examination revealed generalized hypotonia, a paucity of volitional movement, and diminished visual attention. Episodes of oculogyric crisis were noted. Brain MRI revealed diminished cerebral volume and thin corpus callosum. </w:t>
      </w:r>
    </w:p>
    <w:p w14:paraId="1D861CB7" w14:textId="77777777" w:rsidR="00D22888" w:rsidRDefault="00D22888" w:rsidP="00661E73">
      <w:pPr>
        <w:rPr>
          <w:rFonts w:ascii="Arial" w:hAnsi="Arial" w:cs="Arial"/>
        </w:rPr>
      </w:pPr>
    </w:p>
    <w:p w14:paraId="3D086522" w14:textId="77777777" w:rsidR="00D22888" w:rsidRDefault="00D22888" w:rsidP="007421D5">
      <w:pPr>
        <w:ind w:firstLine="720"/>
        <w:rPr>
          <w:rFonts w:ascii="Arial" w:hAnsi="Arial" w:cs="Arial"/>
        </w:rPr>
      </w:pPr>
      <w:r>
        <w:rPr>
          <w:rFonts w:ascii="Arial" w:hAnsi="Arial" w:cs="Arial"/>
        </w:rPr>
        <w:t xml:space="preserve">Ineffective </w:t>
      </w:r>
      <w:r w:rsidR="000355C6">
        <w:rPr>
          <w:rFonts w:ascii="Arial" w:hAnsi="Arial" w:cs="Arial"/>
        </w:rPr>
        <w:t>and/or discontinued anti-epileptic medications at the time of the n=1 trial included t</w:t>
      </w:r>
      <w:r w:rsidRPr="00D22888">
        <w:rPr>
          <w:rFonts w:ascii="Arial" w:hAnsi="Arial" w:cs="Arial"/>
        </w:rPr>
        <w:t>opiramate</w:t>
      </w:r>
      <w:r w:rsidR="000355C6">
        <w:rPr>
          <w:rFonts w:ascii="Arial" w:hAnsi="Arial" w:cs="Arial"/>
        </w:rPr>
        <w:t xml:space="preserve"> (</w:t>
      </w:r>
      <w:r w:rsidRPr="00D22888">
        <w:rPr>
          <w:rFonts w:ascii="Arial" w:hAnsi="Arial" w:cs="Arial"/>
        </w:rPr>
        <w:t>lack of</w:t>
      </w:r>
      <w:r w:rsidR="000355C6">
        <w:rPr>
          <w:rFonts w:ascii="Arial" w:hAnsi="Arial" w:cs="Arial"/>
        </w:rPr>
        <w:t xml:space="preserve"> efficacy), </w:t>
      </w:r>
      <w:r w:rsidRPr="00D22888">
        <w:rPr>
          <w:rFonts w:ascii="Arial" w:hAnsi="Arial" w:cs="Arial"/>
        </w:rPr>
        <w:t>oxcarbazepine</w:t>
      </w:r>
      <w:r w:rsidR="000355C6">
        <w:rPr>
          <w:rFonts w:ascii="Arial" w:hAnsi="Arial" w:cs="Arial"/>
        </w:rPr>
        <w:t xml:space="preserve"> (</w:t>
      </w:r>
      <w:r w:rsidR="000355C6" w:rsidRPr="000355C6">
        <w:rPr>
          <w:rFonts w:ascii="Arial" w:hAnsi="Arial" w:cs="Arial"/>
        </w:rPr>
        <w:t>lack of efficacy)</w:t>
      </w:r>
      <w:r w:rsidR="000355C6">
        <w:rPr>
          <w:rFonts w:ascii="Arial" w:hAnsi="Arial" w:cs="Arial"/>
        </w:rPr>
        <w:t>, p</w:t>
      </w:r>
      <w:r w:rsidRPr="00D22888">
        <w:rPr>
          <w:rFonts w:ascii="Arial" w:hAnsi="Arial" w:cs="Arial"/>
        </w:rPr>
        <w:t>henobarbital (</w:t>
      </w:r>
      <w:r w:rsidR="000355C6">
        <w:rPr>
          <w:rFonts w:ascii="Arial" w:hAnsi="Arial" w:cs="Arial"/>
        </w:rPr>
        <w:t xml:space="preserve">only </w:t>
      </w:r>
      <w:r w:rsidRPr="00D22888">
        <w:rPr>
          <w:rFonts w:ascii="Arial" w:hAnsi="Arial" w:cs="Arial"/>
        </w:rPr>
        <w:t>transient</w:t>
      </w:r>
      <w:r w:rsidR="000355C6">
        <w:rPr>
          <w:rFonts w:ascii="Arial" w:hAnsi="Arial" w:cs="Arial"/>
        </w:rPr>
        <w:t xml:space="preserve"> </w:t>
      </w:r>
      <w:r w:rsidRPr="00D22888">
        <w:rPr>
          <w:rFonts w:ascii="Arial" w:hAnsi="Arial" w:cs="Arial"/>
        </w:rPr>
        <w:t xml:space="preserve">efficacy), fosphenytoin </w:t>
      </w:r>
      <w:r w:rsidR="000355C6">
        <w:rPr>
          <w:rFonts w:ascii="Arial" w:hAnsi="Arial" w:cs="Arial"/>
        </w:rPr>
        <w:t>(only t</w:t>
      </w:r>
      <w:r w:rsidRPr="00D22888">
        <w:rPr>
          <w:rFonts w:ascii="Arial" w:hAnsi="Arial" w:cs="Arial"/>
        </w:rPr>
        <w:t>ransient improvement in</w:t>
      </w:r>
      <w:r>
        <w:rPr>
          <w:rFonts w:ascii="Arial" w:hAnsi="Arial" w:cs="Arial"/>
        </w:rPr>
        <w:t xml:space="preserve"> </w:t>
      </w:r>
      <w:r w:rsidRPr="00D22888">
        <w:rPr>
          <w:rFonts w:ascii="Arial" w:hAnsi="Arial" w:cs="Arial"/>
        </w:rPr>
        <w:t>seizure burden), zonisamide</w:t>
      </w:r>
      <w:r w:rsidR="000355C6">
        <w:rPr>
          <w:rFonts w:ascii="Arial" w:hAnsi="Arial" w:cs="Arial"/>
        </w:rPr>
        <w:t xml:space="preserve"> (</w:t>
      </w:r>
      <w:r w:rsidRPr="00D22888">
        <w:rPr>
          <w:rFonts w:ascii="Arial" w:hAnsi="Arial" w:cs="Arial"/>
        </w:rPr>
        <w:t>limited efficacy), clobazam</w:t>
      </w:r>
      <w:r w:rsidR="000355C6">
        <w:rPr>
          <w:rFonts w:ascii="Arial" w:hAnsi="Arial" w:cs="Arial"/>
        </w:rPr>
        <w:t xml:space="preserve"> (</w:t>
      </w:r>
      <w:r w:rsidRPr="00D22888">
        <w:rPr>
          <w:rFonts w:ascii="Arial" w:hAnsi="Arial" w:cs="Arial"/>
        </w:rPr>
        <w:t>limited efficacy</w:t>
      </w:r>
      <w:r w:rsidR="000355C6">
        <w:rPr>
          <w:rFonts w:ascii="Arial" w:hAnsi="Arial" w:cs="Arial"/>
        </w:rPr>
        <w:t xml:space="preserve"> </w:t>
      </w:r>
      <w:r w:rsidRPr="00D22888">
        <w:rPr>
          <w:rFonts w:ascii="Arial" w:hAnsi="Arial" w:cs="Arial"/>
        </w:rPr>
        <w:t>and irritability), levetiracetam</w:t>
      </w:r>
      <w:r w:rsidR="000355C6">
        <w:rPr>
          <w:rFonts w:ascii="Arial" w:hAnsi="Arial" w:cs="Arial"/>
        </w:rPr>
        <w:t xml:space="preserve"> (i</w:t>
      </w:r>
      <w:r w:rsidRPr="00D22888">
        <w:rPr>
          <w:rFonts w:ascii="Arial" w:hAnsi="Arial" w:cs="Arial"/>
        </w:rPr>
        <w:t>rritability),</w:t>
      </w:r>
      <w:r w:rsidR="000355C6">
        <w:rPr>
          <w:rFonts w:ascii="Arial" w:hAnsi="Arial" w:cs="Arial"/>
        </w:rPr>
        <w:t xml:space="preserve"> p</w:t>
      </w:r>
      <w:r w:rsidRPr="00D22888">
        <w:rPr>
          <w:rFonts w:ascii="Arial" w:hAnsi="Arial" w:cs="Arial"/>
        </w:rPr>
        <w:t xml:space="preserve">erampanel </w:t>
      </w:r>
      <w:r w:rsidR="000355C6">
        <w:rPr>
          <w:rFonts w:ascii="Arial" w:hAnsi="Arial" w:cs="Arial"/>
        </w:rPr>
        <w:t>(li</w:t>
      </w:r>
      <w:r w:rsidRPr="00D22888">
        <w:rPr>
          <w:rFonts w:ascii="Arial" w:hAnsi="Arial" w:cs="Arial"/>
        </w:rPr>
        <w:t>mited efficacy</w:t>
      </w:r>
      <w:r w:rsidR="000355C6">
        <w:rPr>
          <w:rFonts w:ascii="Arial" w:hAnsi="Arial" w:cs="Arial"/>
        </w:rPr>
        <w:t xml:space="preserve"> </w:t>
      </w:r>
      <w:r w:rsidRPr="00D22888">
        <w:rPr>
          <w:rFonts w:ascii="Arial" w:hAnsi="Arial" w:cs="Arial"/>
        </w:rPr>
        <w:t>and irritability), lacosamide</w:t>
      </w:r>
      <w:r w:rsidR="000355C6">
        <w:rPr>
          <w:rFonts w:ascii="Arial" w:hAnsi="Arial" w:cs="Arial"/>
        </w:rPr>
        <w:t xml:space="preserve"> (associated with </w:t>
      </w:r>
      <w:r w:rsidRPr="00D22888">
        <w:rPr>
          <w:rFonts w:ascii="Arial" w:hAnsi="Arial" w:cs="Arial"/>
        </w:rPr>
        <w:t>worsening of seizures),</w:t>
      </w:r>
      <w:r w:rsidR="000355C6">
        <w:rPr>
          <w:rFonts w:ascii="Arial" w:hAnsi="Arial" w:cs="Arial"/>
        </w:rPr>
        <w:t xml:space="preserve"> c</w:t>
      </w:r>
      <w:r w:rsidRPr="00D22888">
        <w:rPr>
          <w:rFonts w:ascii="Arial" w:hAnsi="Arial" w:cs="Arial"/>
        </w:rPr>
        <w:t>annabidiol</w:t>
      </w:r>
      <w:r w:rsidR="000355C6">
        <w:rPr>
          <w:rFonts w:ascii="Arial" w:hAnsi="Arial" w:cs="Arial"/>
        </w:rPr>
        <w:t xml:space="preserve"> </w:t>
      </w:r>
      <w:r w:rsidRPr="00D22888">
        <w:rPr>
          <w:rFonts w:ascii="Arial" w:hAnsi="Arial" w:cs="Arial"/>
        </w:rPr>
        <w:t xml:space="preserve"> </w:t>
      </w:r>
      <w:r w:rsidR="000355C6">
        <w:rPr>
          <w:rFonts w:ascii="Arial" w:hAnsi="Arial" w:cs="Arial"/>
        </w:rPr>
        <w:t>(improved seizure control to discontinued due to worsening dystonia), and memantine (</w:t>
      </w:r>
      <w:r w:rsidRPr="00D22888">
        <w:rPr>
          <w:rFonts w:ascii="Arial" w:hAnsi="Arial" w:cs="Arial"/>
        </w:rPr>
        <w:t>marked</w:t>
      </w:r>
      <w:r w:rsidR="000355C6">
        <w:rPr>
          <w:rFonts w:ascii="Arial" w:hAnsi="Arial" w:cs="Arial"/>
        </w:rPr>
        <w:t xml:space="preserve"> </w:t>
      </w:r>
      <w:r w:rsidRPr="00D22888">
        <w:rPr>
          <w:rFonts w:ascii="Arial" w:hAnsi="Arial" w:cs="Arial"/>
        </w:rPr>
        <w:t xml:space="preserve"> increase</w:t>
      </w:r>
      <w:r w:rsidR="000355C6">
        <w:rPr>
          <w:rFonts w:ascii="Arial" w:hAnsi="Arial" w:cs="Arial"/>
        </w:rPr>
        <w:t xml:space="preserve"> </w:t>
      </w:r>
      <w:r w:rsidRPr="00D22888">
        <w:rPr>
          <w:rFonts w:ascii="Arial" w:hAnsi="Arial" w:cs="Arial"/>
        </w:rPr>
        <w:t>in seizures</w:t>
      </w:r>
      <w:r w:rsidR="000355C6">
        <w:rPr>
          <w:rFonts w:ascii="Arial" w:hAnsi="Arial" w:cs="Arial"/>
        </w:rPr>
        <w:t xml:space="preserve">; discontinued after only 5 days). </w:t>
      </w:r>
    </w:p>
    <w:p w14:paraId="061C9C3A" w14:textId="77777777" w:rsidR="00D22888" w:rsidRDefault="00D22888" w:rsidP="00661E73">
      <w:pPr>
        <w:rPr>
          <w:rFonts w:ascii="Arial" w:hAnsi="Arial" w:cs="Arial"/>
        </w:rPr>
      </w:pPr>
    </w:p>
    <w:p w14:paraId="12A20C81" w14:textId="64721FD4" w:rsidR="000355C6" w:rsidRDefault="00D22888" w:rsidP="007421D5">
      <w:pPr>
        <w:ind w:firstLine="720"/>
        <w:rPr>
          <w:rFonts w:ascii="Arial" w:hAnsi="Arial" w:cs="Arial"/>
        </w:rPr>
      </w:pPr>
      <w:r>
        <w:rPr>
          <w:rFonts w:ascii="Arial" w:hAnsi="Arial" w:cs="Arial"/>
        </w:rPr>
        <w:t xml:space="preserve">At the time of the n=1 trial, the patient was taking </w:t>
      </w:r>
      <w:r w:rsidRPr="00D22888">
        <w:rPr>
          <w:rFonts w:ascii="Arial" w:hAnsi="Arial" w:cs="Arial"/>
        </w:rPr>
        <w:t>brivaracetam</w:t>
      </w:r>
      <w:r>
        <w:rPr>
          <w:rFonts w:ascii="Arial" w:hAnsi="Arial" w:cs="Arial"/>
        </w:rPr>
        <w:t xml:space="preserve"> </w:t>
      </w:r>
      <w:r w:rsidR="000355C6">
        <w:rPr>
          <w:rFonts w:ascii="Arial" w:hAnsi="Arial" w:cs="Arial"/>
        </w:rPr>
        <w:t>(</w:t>
      </w:r>
      <w:r w:rsidRPr="00D22888">
        <w:rPr>
          <w:rFonts w:ascii="Arial" w:hAnsi="Arial" w:cs="Arial"/>
        </w:rPr>
        <w:t>2 mg/kg/day</w:t>
      </w:r>
      <w:r w:rsidR="000355C6">
        <w:rPr>
          <w:rFonts w:ascii="Arial" w:hAnsi="Arial" w:cs="Arial"/>
        </w:rPr>
        <w:t>)</w:t>
      </w:r>
      <w:r w:rsidRPr="00D22888">
        <w:rPr>
          <w:rFonts w:ascii="Arial" w:hAnsi="Arial" w:cs="Arial"/>
        </w:rPr>
        <w:t xml:space="preserve">, </w:t>
      </w:r>
      <w:proofErr w:type="spellStart"/>
      <w:r>
        <w:rPr>
          <w:rFonts w:ascii="Arial" w:hAnsi="Arial" w:cs="Arial"/>
        </w:rPr>
        <w:t>perampanel</w:t>
      </w:r>
      <w:proofErr w:type="spellEnd"/>
      <w:r>
        <w:rPr>
          <w:rFonts w:ascii="Arial" w:hAnsi="Arial" w:cs="Arial"/>
        </w:rPr>
        <w:t xml:space="preserve"> </w:t>
      </w:r>
      <w:r w:rsidR="000355C6">
        <w:rPr>
          <w:rFonts w:ascii="Arial" w:hAnsi="Arial" w:cs="Arial"/>
        </w:rPr>
        <w:t xml:space="preserve">(0.1 </w:t>
      </w:r>
      <w:r>
        <w:rPr>
          <w:rFonts w:ascii="Arial" w:hAnsi="Arial" w:cs="Arial"/>
        </w:rPr>
        <w:t>mg</w:t>
      </w:r>
      <w:r w:rsidR="000355C6">
        <w:rPr>
          <w:rFonts w:ascii="Arial" w:hAnsi="Arial" w:cs="Arial"/>
        </w:rPr>
        <w:t>/kg/day)</w:t>
      </w:r>
      <w:r w:rsidRPr="00D22888">
        <w:rPr>
          <w:rFonts w:ascii="Arial" w:hAnsi="Arial" w:cs="Arial"/>
        </w:rPr>
        <w:t>, and valproic acid</w:t>
      </w:r>
      <w:r>
        <w:rPr>
          <w:rFonts w:ascii="Arial" w:hAnsi="Arial" w:cs="Arial"/>
        </w:rPr>
        <w:t xml:space="preserve"> </w:t>
      </w:r>
      <w:r w:rsidRPr="00D22888">
        <w:rPr>
          <w:rFonts w:ascii="Arial" w:hAnsi="Arial" w:cs="Arial"/>
        </w:rPr>
        <w:t>(45 mg/kg/day</w:t>
      </w:r>
      <w:r>
        <w:rPr>
          <w:rFonts w:ascii="Arial" w:hAnsi="Arial" w:cs="Arial"/>
        </w:rPr>
        <w:t xml:space="preserve">). </w:t>
      </w:r>
      <w:r w:rsidR="000355C6">
        <w:rPr>
          <w:rFonts w:ascii="Arial" w:hAnsi="Arial" w:cs="Arial"/>
        </w:rPr>
        <w:t>He was on a k</w:t>
      </w:r>
      <w:r w:rsidR="000355C6" w:rsidRPr="000355C6">
        <w:rPr>
          <w:rFonts w:ascii="Arial" w:hAnsi="Arial" w:cs="Arial"/>
        </w:rPr>
        <w:t>etogenic diet (2.5:1 ratio)</w:t>
      </w:r>
      <w:r w:rsidR="000355C6">
        <w:rPr>
          <w:rFonts w:ascii="Arial" w:hAnsi="Arial" w:cs="Arial"/>
        </w:rPr>
        <w:t xml:space="preserve"> controlled via G-tube feedings. An implanted </w:t>
      </w:r>
      <w:proofErr w:type="spellStart"/>
      <w:r w:rsidR="000355C6">
        <w:rPr>
          <w:rFonts w:ascii="Arial" w:hAnsi="Arial" w:cs="Arial"/>
        </w:rPr>
        <w:t>vagus</w:t>
      </w:r>
      <w:proofErr w:type="spellEnd"/>
      <w:r w:rsidR="000355C6">
        <w:rPr>
          <w:rFonts w:ascii="Arial" w:hAnsi="Arial" w:cs="Arial"/>
        </w:rPr>
        <w:t xml:space="preserve"> nerve stimulator was in place </w:t>
      </w:r>
      <w:r w:rsidR="00E21E3E">
        <w:rPr>
          <w:rFonts w:ascii="Arial" w:hAnsi="Arial" w:cs="Arial"/>
        </w:rPr>
        <w:t>and</w:t>
      </w:r>
      <w:r w:rsidR="000355C6">
        <w:rPr>
          <w:rFonts w:ascii="Arial" w:hAnsi="Arial" w:cs="Arial"/>
        </w:rPr>
        <w:t xml:space="preserve"> confirmed to be in good working order</w:t>
      </w:r>
      <w:r w:rsidR="007421D5">
        <w:rPr>
          <w:rFonts w:ascii="Arial" w:hAnsi="Arial" w:cs="Arial"/>
        </w:rPr>
        <w:t>.</w:t>
      </w:r>
    </w:p>
    <w:p w14:paraId="093BFC4F" w14:textId="77777777" w:rsidR="007421D5" w:rsidRDefault="007421D5" w:rsidP="007421D5">
      <w:pPr>
        <w:ind w:firstLine="720"/>
        <w:rPr>
          <w:rFonts w:ascii="Arial" w:hAnsi="Arial" w:cs="Arial"/>
        </w:rPr>
      </w:pPr>
    </w:p>
    <w:p w14:paraId="6DC66383" w14:textId="6E339D42" w:rsidR="000355C6" w:rsidRPr="007421D5" w:rsidRDefault="007421D5" w:rsidP="000355C6">
      <w:pPr>
        <w:rPr>
          <w:rFonts w:ascii="Arial" w:hAnsi="Arial" w:cs="Arial"/>
          <w:b/>
          <w:bCs/>
        </w:rPr>
      </w:pPr>
      <w:proofErr w:type="spellStart"/>
      <w:r w:rsidRPr="007421D5">
        <w:rPr>
          <w:rFonts w:ascii="Arial" w:hAnsi="Arial" w:cs="Arial"/>
          <w:b/>
          <w:bCs/>
        </w:rPr>
        <w:t>Vagus</w:t>
      </w:r>
      <w:proofErr w:type="spellEnd"/>
      <w:r w:rsidRPr="007421D5">
        <w:rPr>
          <w:rFonts w:ascii="Arial" w:hAnsi="Arial" w:cs="Arial"/>
          <w:b/>
          <w:bCs/>
        </w:rPr>
        <w:t xml:space="preserve"> nerve stimulator settings</w:t>
      </w:r>
      <w:r w:rsidR="00702C4E">
        <w:rPr>
          <w:rFonts w:ascii="Arial" w:hAnsi="Arial" w:cs="Arial"/>
          <w:b/>
          <w:bCs/>
        </w:rPr>
        <w:t xml:space="preserve"> </w:t>
      </w:r>
      <w:r w:rsidR="00702C4E" w:rsidRPr="00702C4E">
        <w:rPr>
          <w:rFonts w:ascii="Arial" w:hAnsi="Arial" w:cs="Arial"/>
        </w:rPr>
        <w:t>(at time of trial)</w:t>
      </w:r>
    </w:p>
    <w:p w14:paraId="6EE490B3" w14:textId="77777777" w:rsidR="000355C6" w:rsidRPr="000355C6" w:rsidRDefault="000355C6" w:rsidP="000355C6">
      <w:pPr>
        <w:rPr>
          <w:rFonts w:ascii="Arial" w:hAnsi="Arial" w:cs="Arial"/>
        </w:rPr>
      </w:pPr>
      <w:r w:rsidRPr="000355C6">
        <w:rPr>
          <w:rFonts w:ascii="Arial" w:hAnsi="Arial" w:cs="Arial"/>
        </w:rPr>
        <w:t>Output current: 1.75 mA</w:t>
      </w:r>
    </w:p>
    <w:p w14:paraId="51900376" w14:textId="77777777" w:rsidR="000355C6" w:rsidRPr="000355C6" w:rsidRDefault="000355C6" w:rsidP="000355C6">
      <w:pPr>
        <w:rPr>
          <w:rFonts w:ascii="Arial" w:hAnsi="Arial" w:cs="Arial"/>
        </w:rPr>
      </w:pPr>
      <w:r w:rsidRPr="000355C6">
        <w:rPr>
          <w:rFonts w:ascii="Arial" w:hAnsi="Arial" w:cs="Arial"/>
        </w:rPr>
        <w:t xml:space="preserve">Signal frequency: 30 </w:t>
      </w:r>
      <w:r>
        <w:rPr>
          <w:rFonts w:ascii="Arial" w:hAnsi="Arial" w:cs="Arial"/>
        </w:rPr>
        <w:t>Hz</w:t>
      </w:r>
    </w:p>
    <w:p w14:paraId="1CE19704" w14:textId="77777777" w:rsidR="000355C6" w:rsidRPr="000355C6" w:rsidRDefault="000355C6" w:rsidP="000355C6">
      <w:pPr>
        <w:rPr>
          <w:rFonts w:ascii="Arial" w:hAnsi="Arial" w:cs="Arial"/>
        </w:rPr>
      </w:pPr>
      <w:r w:rsidRPr="000355C6">
        <w:rPr>
          <w:rFonts w:ascii="Arial" w:hAnsi="Arial" w:cs="Arial"/>
        </w:rPr>
        <w:t xml:space="preserve">Pulse width: 500 </w:t>
      </w:r>
      <w:r w:rsidRPr="000355C6">
        <w:rPr>
          <w:rFonts w:ascii="Symbol" w:hAnsi="Symbol" w:cs="Arial"/>
        </w:rPr>
        <w:t></w:t>
      </w:r>
      <w:r>
        <w:rPr>
          <w:rFonts w:ascii="Arial" w:hAnsi="Arial" w:cs="Arial"/>
        </w:rPr>
        <w:t>s</w:t>
      </w:r>
    </w:p>
    <w:p w14:paraId="156B436E" w14:textId="77777777" w:rsidR="000355C6" w:rsidRPr="000355C6" w:rsidRDefault="000355C6" w:rsidP="000355C6">
      <w:pPr>
        <w:rPr>
          <w:rFonts w:ascii="Arial" w:hAnsi="Arial" w:cs="Arial"/>
        </w:rPr>
      </w:pPr>
      <w:r w:rsidRPr="000355C6">
        <w:rPr>
          <w:rFonts w:ascii="Arial" w:hAnsi="Arial" w:cs="Arial"/>
        </w:rPr>
        <w:t>On-time: 30 seconds</w:t>
      </w:r>
    </w:p>
    <w:p w14:paraId="4F0697AB" w14:textId="77777777" w:rsidR="000355C6" w:rsidRDefault="000355C6" w:rsidP="000355C6">
      <w:pPr>
        <w:rPr>
          <w:rFonts w:ascii="Arial" w:hAnsi="Arial" w:cs="Arial"/>
        </w:rPr>
      </w:pPr>
      <w:r w:rsidRPr="000355C6">
        <w:rPr>
          <w:rFonts w:ascii="Arial" w:hAnsi="Arial" w:cs="Arial"/>
        </w:rPr>
        <w:t>Off-time: 3 minutes</w:t>
      </w:r>
    </w:p>
    <w:p w14:paraId="4AF56A9D" w14:textId="77777777" w:rsidR="000355C6" w:rsidRPr="000355C6" w:rsidRDefault="000355C6" w:rsidP="000355C6">
      <w:pPr>
        <w:rPr>
          <w:rFonts w:ascii="Arial" w:hAnsi="Arial" w:cs="Arial"/>
        </w:rPr>
      </w:pPr>
    </w:p>
    <w:p w14:paraId="4407EDAA" w14:textId="77777777" w:rsidR="000355C6" w:rsidRPr="000355C6" w:rsidRDefault="000355C6" w:rsidP="000355C6">
      <w:pPr>
        <w:rPr>
          <w:rFonts w:ascii="Arial" w:hAnsi="Arial" w:cs="Arial"/>
        </w:rPr>
      </w:pPr>
      <w:proofErr w:type="spellStart"/>
      <w:r>
        <w:rPr>
          <w:rFonts w:ascii="Arial" w:hAnsi="Arial" w:cs="Arial"/>
        </w:rPr>
        <w:t>Autostim</w:t>
      </w:r>
      <w:proofErr w:type="spellEnd"/>
      <w:r>
        <w:rPr>
          <w:rFonts w:ascii="Arial" w:hAnsi="Arial" w:cs="Arial"/>
        </w:rPr>
        <w:t xml:space="preserve"> Cycle</w:t>
      </w:r>
    </w:p>
    <w:p w14:paraId="7F356A6C" w14:textId="77777777" w:rsidR="000355C6" w:rsidRPr="000355C6" w:rsidRDefault="000355C6" w:rsidP="000355C6">
      <w:pPr>
        <w:rPr>
          <w:rFonts w:ascii="Arial" w:hAnsi="Arial" w:cs="Arial"/>
        </w:rPr>
      </w:pPr>
      <w:r w:rsidRPr="000355C6">
        <w:rPr>
          <w:rFonts w:ascii="Arial" w:hAnsi="Arial" w:cs="Arial"/>
        </w:rPr>
        <w:t>Output current: 1.875 mA</w:t>
      </w:r>
    </w:p>
    <w:p w14:paraId="3F409F01" w14:textId="77777777" w:rsidR="000355C6" w:rsidRPr="000355C6" w:rsidRDefault="000355C6" w:rsidP="000355C6">
      <w:pPr>
        <w:rPr>
          <w:rFonts w:ascii="Arial" w:hAnsi="Arial" w:cs="Arial"/>
        </w:rPr>
      </w:pPr>
      <w:r w:rsidRPr="000355C6">
        <w:rPr>
          <w:rFonts w:ascii="Arial" w:hAnsi="Arial" w:cs="Arial"/>
        </w:rPr>
        <w:t xml:space="preserve">Pulse width: 500 </w:t>
      </w:r>
      <w:r w:rsidRPr="000355C6">
        <w:rPr>
          <w:rFonts w:ascii="Symbol" w:hAnsi="Symbol" w:cs="Arial"/>
        </w:rPr>
        <w:t></w:t>
      </w:r>
      <w:r w:rsidRPr="000355C6">
        <w:rPr>
          <w:rFonts w:ascii="Arial" w:hAnsi="Arial" w:cs="Arial"/>
        </w:rPr>
        <w:t>s</w:t>
      </w:r>
    </w:p>
    <w:p w14:paraId="2D20C740" w14:textId="77777777" w:rsidR="000355C6" w:rsidRPr="000355C6" w:rsidRDefault="000355C6" w:rsidP="000355C6">
      <w:pPr>
        <w:rPr>
          <w:rFonts w:ascii="Arial" w:hAnsi="Arial" w:cs="Arial"/>
        </w:rPr>
      </w:pPr>
      <w:r w:rsidRPr="000355C6">
        <w:rPr>
          <w:rFonts w:ascii="Arial" w:hAnsi="Arial" w:cs="Arial"/>
        </w:rPr>
        <w:t>On-time: 30 seconds</w:t>
      </w:r>
    </w:p>
    <w:p w14:paraId="5D88AC94" w14:textId="77777777" w:rsidR="000355C6" w:rsidRPr="000355C6" w:rsidRDefault="000355C6" w:rsidP="000355C6">
      <w:pPr>
        <w:rPr>
          <w:rFonts w:ascii="Arial" w:hAnsi="Arial" w:cs="Arial"/>
        </w:rPr>
      </w:pPr>
      <w:r w:rsidRPr="000355C6">
        <w:rPr>
          <w:rFonts w:ascii="Arial" w:hAnsi="Arial" w:cs="Arial"/>
        </w:rPr>
        <w:t>HR sensitivity: 3</w:t>
      </w:r>
    </w:p>
    <w:p w14:paraId="5F518ACC" w14:textId="77777777" w:rsidR="000355C6" w:rsidRPr="000355C6" w:rsidRDefault="000355C6" w:rsidP="000355C6">
      <w:pPr>
        <w:rPr>
          <w:rFonts w:ascii="Arial" w:hAnsi="Arial" w:cs="Arial"/>
        </w:rPr>
      </w:pPr>
      <w:r w:rsidRPr="000355C6">
        <w:rPr>
          <w:rFonts w:ascii="Arial" w:hAnsi="Arial" w:cs="Arial"/>
        </w:rPr>
        <w:t>Threshold: 20%</w:t>
      </w:r>
    </w:p>
    <w:p w14:paraId="56469690" w14:textId="77777777" w:rsidR="000355C6" w:rsidRDefault="000355C6" w:rsidP="000355C6">
      <w:pPr>
        <w:rPr>
          <w:rFonts w:ascii="Arial" w:hAnsi="Arial" w:cs="Arial"/>
        </w:rPr>
      </w:pPr>
      <w:r w:rsidRPr="000355C6">
        <w:rPr>
          <w:rFonts w:ascii="Arial" w:hAnsi="Arial" w:cs="Arial"/>
        </w:rPr>
        <w:t>Average</w:t>
      </w:r>
      <w:r>
        <w:rPr>
          <w:rFonts w:ascii="Arial" w:hAnsi="Arial" w:cs="Arial"/>
        </w:rPr>
        <w:t xml:space="preserve"> </w:t>
      </w:r>
      <w:proofErr w:type="spellStart"/>
      <w:r w:rsidRPr="000355C6">
        <w:rPr>
          <w:rFonts w:ascii="Arial" w:hAnsi="Arial" w:cs="Arial"/>
        </w:rPr>
        <w:t>autostim</w:t>
      </w:r>
      <w:proofErr w:type="spellEnd"/>
      <w:r w:rsidRPr="000355C6">
        <w:rPr>
          <w:rFonts w:ascii="Arial" w:hAnsi="Arial" w:cs="Arial"/>
        </w:rPr>
        <w:t>/day: 180</w:t>
      </w:r>
    </w:p>
    <w:p w14:paraId="6D0B0613" w14:textId="77777777" w:rsidR="000355C6" w:rsidRPr="000355C6" w:rsidRDefault="000355C6" w:rsidP="000355C6">
      <w:pPr>
        <w:rPr>
          <w:rFonts w:ascii="Arial" w:hAnsi="Arial" w:cs="Arial"/>
        </w:rPr>
      </w:pPr>
    </w:p>
    <w:p w14:paraId="5AF4F917" w14:textId="77777777" w:rsidR="000355C6" w:rsidRPr="000355C6" w:rsidRDefault="000355C6" w:rsidP="000355C6">
      <w:pPr>
        <w:rPr>
          <w:rFonts w:ascii="Arial" w:hAnsi="Arial" w:cs="Arial"/>
        </w:rPr>
      </w:pPr>
      <w:r>
        <w:rPr>
          <w:rFonts w:ascii="Arial" w:hAnsi="Arial" w:cs="Arial"/>
        </w:rPr>
        <w:t>Magnet Activation</w:t>
      </w:r>
    </w:p>
    <w:p w14:paraId="0304E0AB" w14:textId="77777777" w:rsidR="000355C6" w:rsidRPr="000355C6" w:rsidRDefault="000355C6" w:rsidP="000355C6">
      <w:pPr>
        <w:rPr>
          <w:rFonts w:ascii="Arial" w:hAnsi="Arial" w:cs="Arial"/>
        </w:rPr>
      </w:pPr>
      <w:r w:rsidRPr="000355C6">
        <w:rPr>
          <w:rFonts w:ascii="Arial" w:hAnsi="Arial" w:cs="Arial"/>
        </w:rPr>
        <w:lastRenderedPageBreak/>
        <w:t>Output current: 2 mA</w:t>
      </w:r>
    </w:p>
    <w:p w14:paraId="6D2BB684" w14:textId="77777777" w:rsidR="000355C6" w:rsidRPr="000355C6" w:rsidRDefault="000355C6" w:rsidP="000355C6">
      <w:pPr>
        <w:rPr>
          <w:rFonts w:ascii="Arial" w:hAnsi="Arial" w:cs="Arial"/>
        </w:rPr>
      </w:pPr>
      <w:r w:rsidRPr="000355C6">
        <w:rPr>
          <w:rFonts w:ascii="Arial" w:hAnsi="Arial" w:cs="Arial"/>
        </w:rPr>
        <w:t xml:space="preserve">Pulse width: 500 </w:t>
      </w:r>
      <w:r w:rsidRPr="000355C6">
        <w:rPr>
          <w:rFonts w:ascii="Symbol" w:hAnsi="Symbol" w:cs="Arial"/>
        </w:rPr>
        <w:t></w:t>
      </w:r>
      <w:r w:rsidRPr="000355C6">
        <w:rPr>
          <w:rFonts w:ascii="Arial" w:hAnsi="Arial" w:cs="Arial"/>
        </w:rPr>
        <w:t>s</w:t>
      </w:r>
    </w:p>
    <w:p w14:paraId="4105E136" w14:textId="77777777" w:rsidR="00661E73" w:rsidRPr="00661E73" w:rsidRDefault="000355C6" w:rsidP="00661E73">
      <w:pPr>
        <w:rPr>
          <w:rFonts w:ascii="Arial" w:hAnsi="Arial" w:cs="Arial"/>
          <w:b/>
        </w:rPr>
      </w:pPr>
      <w:r w:rsidRPr="000355C6">
        <w:rPr>
          <w:rFonts w:ascii="Arial" w:hAnsi="Arial" w:cs="Arial"/>
        </w:rPr>
        <w:t>On-time: 60 seconds</w:t>
      </w:r>
      <w:r w:rsidRPr="000355C6">
        <w:rPr>
          <w:rFonts w:ascii="Arial" w:hAnsi="Arial" w:cs="Arial"/>
        </w:rPr>
        <w:cr/>
      </w:r>
    </w:p>
    <w:p w14:paraId="199DBDBF" w14:textId="77777777" w:rsidR="00661E73" w:rsidRPr="00661E73" w:rsidRDefault="00661E73" w:rsidP="00661E73">
      <w:pPr>
        <w:rPr>
          <w:rFonts w:ascii="Arial" w:hAnsi="Arial" w:cs="Arial"/>
          <w:b/>
        </w:rPr>
      </w:pPr>
    </w:p>
    <w:p w14:paraId="5384F5CB" w14:textId="77777777" w:rsidR="00661E73" w:rsidRPr="00661E73" w:rsidRDefault="00661E73" w:rsidP="00661E73">
      <w:pPr>
        <w:rPr>
          <w:rFonts w:ascii="Arial" w:hAnsi="Arial" w:cs="Arial"/>
          <w:b/>
        </w:rPr>
      </w:pPr>
      <w:r w:rsidRPr="00661E73">
        <w:rPr>
          <w:rFonts w:ascii="Arial" w:hAnsi="Arial" w:cs="Arial"/>
          <w:b/>
        </w:rPr>
        <w:t>SUPPLEMENTAL METHODS</w:t>
      </w:r>
    </w:p>
    <w:p w14:paraId="2ED6496F" w14:textId="77777777" w:rsidR="00661E73" w:rsidRPr="00661E73" w:rsidRDefault="00661E73" w:rsidP="00661E73">
      <w:pPr>
        <w:rPr>
          <w:rFonts w:ascii="Arial" w:hAnsi="Arial" w:cs="Arial"/>
          <w:b/>
        </w:rPr>
      </w:pPr>
    </w:p>
    <w:p w14:paraId="6DCBF53F" w14:textId="250DC801" w:rsidR="00661E73" w:rsidRDefault="007C7C46" w:rsidP="00661E73">
      <w:pPr>
        <w:rPr>
          <w:rFonts w:ascii="Arial" w:hAnsi="Arial" w:cs="Arial"/>
        </w:rPr>
      </w:pPr>
      <w:r w:rsidRPr="007C7C46">
        <w:rPr>
          <w:rFonts w:ascii="Arial" w:hAnsi="Arial" w:cs="Arial"/>
          <w:b/>
        </w:rPr>
        <w:t>ELECTROPHYSIOLOGY</w:t>
      </w:r>
      <w:r w:rsidR="00661E73" w:rsidRPr="007C7C46">
        <w:rPr>
          <w:rFonts w:ascii="Arial" w:hAnsi="Arial" w:cs="Arial"/>
          <w:b/>
        </w:rPr>
        <w:br/>
      </w:r>
    </w:p>
    <w:p w14:paraId="1CBEA06A" w14:textId="264E634E" w:rsidR="00343ED4" w:rsidRDefault="00343ED4" w:rsidP="00661E73">
      <w:pPr>
        <w:rPr>
          <w:rFonts w:ascii="Arial" w:hAnsi="Arial" w:cs="Arial"/>
        </w:rPr>
      </w:pPr>
      <w:r>
        <w:rPr>
          <w:rFonts w:ascii="Arial" w:hAnsi="Arial" w:cs="Arial"/>
        </w:rPr>
        <w:tab/>
      </w:r>
      <w:r w:rsidRPr="00661E73">
        <w:rPr>
          <w:rFonts w:ascii="Arial" w:hAnsi="Arial" w:cs="Arial"/>
        </w:rPr>
        <w:t xml:space="preserve">cDNA for the variant receptor GluN1-M641I was generated using </w:t>
      </w:r>
      <w:proofErr w:type="spellStart"/>
      <w:r w:rsidRPr="00661E73">
        <w:rPr>
          <w:rFonts w:ascii="Arial" w:hAnsi="Arial" w:cs="Arial"/>
        </w:rPr>
        <w:t>QuikChange</w:t>
      </w:r>
      <w:proofErr w:type="spellEnd"/>
      <w:r w:rsidRPr="00661E73">
        <w:rPr>
          <w:rFonts w:ascii="Arial" w:hAnsi="Arial" w:cs="Arial"/>
        </w:rPr>
        <w:t xml:space="preserve"> (</w:t>
      </w:r>
      <w:proofErr w:type="spellStart"/>
      <w:r w:rsidRPr="00661E73">
        <w:rPr>
          <w:rFonts w:ascii="Arial" w:hAnsi="Arial" w:cs="Arial"/>
        </w:rPr>
        <w:t>Stratagene</w:t>
      </w:r>
      <w:proofErr w:type="spellEnd"/>
      <w:r w:rsidRPr="00661E73">
        <w:rPr>
          <w:rFonts w:ascii="Arial" w:hAnsi="Arial" w:cs="Arial"/>
        </w:rPr>
        <w:t xml:space="preserve">, Inc). </w:t>
      </w:r>
      <w:r>
        <w:rPr>
          <w:rFonts w:ascii="Arial" w:hAnsi="Arial" w:cs="Arial"/>
        </w:rPr>
        <w:t>Trafficking studies with this variant have shown it to exhibit normal membrane localization (Xu, et al. 2021).</w:t>
      </w:r>
    </w:p>
    <w:p w14:paraId="619F3938" w14:textId="77777777" w:rsidR="00343ED4" w:rsidRPr="007C7C46" w:rsidRDefault="00343ED4" w:rsidP="00661E73">
      <w:pPr>
        <w:rPr>
          <w:rFonts w:ascii="Arial" w:hAnsi="Arial" w:cs="Arial"/>
        </w:rPr>
      </w:pPr>
    </w:p>
    <w:p w14:paraId="448C6E7E" w14:textId="4B5F6910" w:rsidR="00661E73" w:rsidRPr="00661E73" w:rsidRDefault="00661E73" w:rsidP="00661E73">
      <w:pPr>
        <w:rPr>
          <w:rFonts w:ascii="Arial" w:hAnsi="Arial" w:cs="Arial"/>
        </w:rPr>
      </w:pPr>
      <w:r w:rsidRPr="00661E73">
        <w:rPr>
          <w:rFonts w:ascii="Arial" w:hAnsi="Arial" w:cs="Arial"/>
          <w:b/>
        </w:rPr>
        <w:t>mRNA injections</w:t>
      </w:r>
      <w:r w:rsidRPr="00661E73">
        <w:rPr>
          <w:rFonts w:ascii="Arial" w:hAnsi="Arial" w:cs="Arial"/>
        </w:rPr>
        <w:tab/>
        <w:t>Introduction of the variant into the human GluN1 cDNA (</w:t>
      </w:r>
      <w:proofErr w:type="spellStart"/>
      <w:r w:rsidRPr="00661E73">
        <w:rPr>
          <w:rFonts w:ascii="Arial" w:hAnsi="Arial" w:cs="Arial"/>
        </w:rPr>
        <w:t>RefSeq</w:t>
      </w:r>
      <w:proofErr w:type="spellEnd"/>
      <w:r w:rsidRPr="00661E73">
        <w:rPr>
          <w:rFonts w:ascii="Arial" w:hAnsi="Arial" w:cs="Arial"/>
        </w:rPr>
        <w:t xml:space="preserve"> NM_007327.3) was verified with Sanger sequencing (Eurofins). The </w:t>
      </w:r>
      <w:proofErr w:type="spellStart"/>
      <w:r w:rsidRPr="00661E73">
        <w:rPr>
          <w:rFonts w:ascii="Arial" w:hAnsi="Arial" w:cs="Arial"/>
        </w:rPr>
        <w:t>cRNAs</w:t>
      </w:r>
      <w:proofErr w:type="spellEnd"/>
      <w:r w:rsidRPr="00661E73">
        <w:rPr>
          <w:rFonts w:ascii="Arial" w:hAnsi="Arial" w:cs="Arial"/>
        </w:rPr>
        <w:t xml:space="preserve"> for GluN1-M641I or GluN1-WT (control reference allele) were separately combined with human GluN2A-WT </w:t>
      </w:r>
      <w:proofErr w:type="spellStart"/>
      <w:r w:rsidRPr="00661E73">
        <w:rPr>
          <w:rFonts w:ascii="Arial" w:hAnsi="Arial" w:cs="Arial"/>
        </w:rPr>
        <w:t>cRNA</w:t>
      </w:r>
      <w:proofErr w:type="spellEnd"/>
      <w:r w:rsidRPr="00661E73">
        <w:rPr>
          <w:rFonts w:ascii="Arial" w:hAnsi="Arial" w:cs="Arial"/>
        </w:rPr>
        <w:t xml:space="preserve"> and injected into stage V and VI oocytes and incubated at 16</w:t>
      </w:r>
      <w:r w:rsidRPr="00661E73">
        <w:rPr>
          <w:rFonts w:ascii="Arial" w:hAnsi="Arial" w:cs="Arial"/>
          <w:vertAlign w:val="superscript"/>
        </w:rPr>
        <w:t>o</w:t>
      </w:r>
      <w:r w:rsidRPr="00661E73">
        <w:rPr>
          <w:rFonts w:ascii="Arial" w:hAnsi="Arial" w:cs="Arial"/>
        </w:rPr>
        <w:t xml:space="preserve"> C for 2–7 days in Barth’s culture medium containing 88 mM NaCl, 2.4 mM NaHCO</w:t>
      </w:r>
      <w:r w:rsidRPr="00702C4E">
        <w:rPr>
          <w:rFonts w:ascii="Arial" w:hAnsi="Arial" w:cs="Arial"/>
          <w:vertAlign w:val="subscript"/>
        </w:rPr>
        <w:t>3</w:t>
      </w:r>
      <w:r w:rsidRPr="00661E73">
        <w:rPr>
          <w:rFonts w:ascii="Arial" w:hAnsi="Arial" w:cs="Arial"/>
        </w:rPr>
        <w:t xml:space="preserve">, 1 mM </w:t>
      </w:r>
      <w:proofErr w:type="spellStart"/>
      <w:r w:rsidRPr="00661E73">
        <w:rPr>
          <w:rFonts w:ascii="Arial" w:hAnsi="Arial" w:cs="Arial"/>
        </w:rPr>
        <w:t>KCl</w:t>
      </w:r>
      <w:proofErr w:type="spellEnd"/>
      <w:r w:rsidRPr="00661E73">
        <w:rPr>
          <w:rFonts w:ascii="Arial" w:hAnsi="Arial" w:cs="Arial"/>
        </w:rPr>
        <w:t>, 0.33 mM Ca(NO</w:t>
      </w:r>
      <w:r w:rsidRPr="00702C4E">
        <w:rPr>
          <w:rFonts w:ascii="Arial" w:hAnsi="Arial" w:cs="Arial"/>
          <w:vertAlign w:val="subscript"/>
        </w:rPr>
        <w:t>3</w:t>
      </w:r>
      <w:r w:rsidRPr="00661E73">
        <w:rPr>
          <w:rFonts w:ascii="Arial" w:hAnsi="Arial" w:cs="Arial"/>
        </w:rPr>
        <w:t>)2, 0.41 mM CaCl</w:t>
      </w:r>
      <w:r w:rsidRPr="00702C4E">
        <w:rPr>
          <w:rFonts w:ascii="Arial" w:hAnsi="Arial" w:cs="Arial"/>
          <w:vertAlign w:val="subscript"/>
        </w:rPr>
        <w:t>2</w:t>
      </w:r>
      <w:r w:rsidRPr="00661E73">
        <w:rPr>
          <w:rFonts w:ascii="Arial" w:hAnsi="Arial" w:cs="Arial"/>
        </w:rPr>
        <w:t>, 0.82 mM MgSO</w:t>
      </w:r>
      <w:r w:rsidRPr="00702C4E">
        <w:rPr>
          <w:rFonts w:ascii="Arial" w:hAnsi="Arial" w:cs="Arial"/>
          <w:vertAlign w:val="subscript"/>
        </w:rPr>
        <w:t>4</w:t>
      </w:r>
      <w:r w:rsidRPr="00661E73">
        <w:rPr>
          <w:rFonts w:ascii="Arial" w:hAnsi="Arial" w:cs="Arial"/>
        </w:rPr>
        <w:t xml:space="preserve">, and 5 mM Tris/HCl (pH 7.4). For experiments, oocytes were removed from the incubator and perfused in recording Barth’s solution for two-electrode voltage clamp (TEVC) electrophysiological recordings. </w:t>
      </w:r>
    </w:p>
    <w:p w14:paraId="5A77B44F" w14:textId="77777777" w:rsidR="00661E73" w:rsidRPr="00661E73" w:rsidRDefault="00661E73" w:rsidP="00661E73">
      <w:pPr>
        <w:rPr>
          <w:rFonts w:ascii="Arial" w:hAnsi="Arial" w:cs="Arial"/>
        </w:rPr>
      </w:pPr>
    </w:p>
    <w:p w14:paraId="3D4D210D" w14:textId="77777777" w:rsidR="00661E73" w:rsidRPr="00661E73" w:rsidRDefault="00661E73" w:rsidP="00661E73">
      <w:pPr>
        <w:rPr>
          <w:rFonts w:ascii="Arial" w:hAnsi="Arial" w:cs="Arial"/>
        </w:rPr>
      </w:pPr>
      <w:r w:rsidRPr="00661E73">
        <w:rPr>
          <w:rFonts w:ascii="Arial" w:hAnsi="Arial" w:cs="Arial"/>
          <w:b/>
        </w:rPr>
        <w:t>L-Glutamate dose response studies</w:t>
      </w:r>
      <w:r w:rsidRPr="00661E73">
        <w:rPr>
          <w:rFonts w:ascii="Arial" w:hAnsi="Arial" w:cs="Arial"/>
        </w:rPr>
        <w:tab/>
        <w:t xml:space="preserve">The Barth’s solution for these studies contained 90 mM NaCl, 1.0 mM </w:t>
      </w:r>
      <w:proofErr w:type="spellStart"/>
      <w:r w:rsidRPr="00661E73">
        <w:rPr>
          <w:rFonts w:ascii="Arial" w:hAnsi="Arial" w:cs="Arial"/>
        </w:rPr>
        <w:t>KCl</w:t>
      </w:r>
      <w:proofErr w:type="spellEnd"/>
      <w:r w:rsidRPr="00661E73">
        <w:rPr>
          <w:rFonts w:ascii="Arial" w:hAnsi="Arial" w:cs="Arial"/>
        </w:rPr>
        <w:t>, 0.5 mM BaCl</w:t>
      </w:r>
      <w:r w:rsidRPr="00702C4E">
        <w:rPr>
          <w:rFonts w:ascii="Arial" w:hAnsi="Arial" w:cs="Arial"/>
          <w:vertAlign w:val="subscript"/>
        </w:rPr>
        <w:t>2</w:t>
      </w:r>
      <w:r w:rsidRPr="00661E73">
        <w:rPr>
          <w:rFonts w:ascii="Arial" w:hAnsi="Arial" w:cs="Arial"/>
        </w:rPr>
        <w:t>, 10 mM HEPES, 0.01 mM EDTA, adjusted to pH 7.4 (at 23</w:t>
      </w:r>
      <w:r w:rsidRPr="00661E73">
        <w:rPr>
          <w:rFonts w:ascii="Arial" w:hAnsi="Arial" w:cs="Arial"/>
          <w:vertAlign w:val="superscript"/>
        </w:rPr>
        <w:t>o</w:t>
      </w:r>
      <w:r w:rsidRPr="00661E73">
        <w:rPr>
          <w:rFonts w:ascii="Arial" w:hAnsi="Arial" w:cs="Arial"/>
        </w:rPr>
        <w:t xml:space="preserve"> C) with NaOH. The oocyte membrane potential was clamped at -40 mV. After a steady baseline was obtained, oocytes were perfused with increasing concentrations of L-glutamate (7 concentrations selected from 0.01, 0.03, 0.1, 0.3, 1, 3, 10, 30, 100, 300, or 1000 </w:t>
      </w:r>
      <w:proofErr w:type="spellStart"/>
      <w:r w:rsidRPr="00661E73">
        <w:rPr>
          <w:rFonts w:ascii="Arial" w:hAnsi="Arial" w:cs="Arial"/>
        </w:rPr>
        <w:t>uM</w:t>
      </w:r>
      <w:proofErr w:type="spellEnd"/>
      <w:r w:rsidRPr="00661E73">
        <w:rPr>
          <w:rFonts w:ascii="Arial" w:hAnsi="Arial" w:cs="Arial"/>
        </w:rPr>
        <w:t xml:space="preserve">) for 1 min duration each in the continuous presence of 100 </w:t>
      </w:r>
      <w:proofErr w:type="spellStart"/>
      <w:r w:rsidRPr="00661E73">
        <w:rPr>
          <w:rFonts w:ascii="Arial" w:hAnsi="Arial" w:cs="Arial"/>
        </w:rPr>
        <w:t>uM</w:t>
      </w:r>
      <w:proofErr w:type="spellEnd"/>
      <w:r w:rsidRPr="00661E73">
        <w:rPr>
          <w:rFonts w:ascii="Arial" w:hAnsi="Arial" w:cs="Arial"/>
        </w:rPr>
        <w:t xml:space="preserve"> glycine. Results at each L-glutamate concentration were normalized to the maximum receptor activation levels (defined as 100%) and the EC</w:t>
      </w:r>
      <w:r w:rsidRPr="00702C4E">
        <w:rPr>
          <w:rFonts w:ascii="Arial" w:hAnsi="Arial" w:cs="Arial"/>
          <w:vertAlign w:val="subscript"/>
        </w:rPr>
        <w:t>50</w:t>
      </w:r>
      <w:r w:rsidRPr="00661E73">
        <w:rPr>
          <w:rFonts w:ascii="Arial" w:hAnsi="Arial" w:cs="Arial"/>
        </w:rPr>
        <w:t xml:space="preserve"> values obtained by fitting concentration-response data with Equation 1:</w:t>
      </w:r>
    </w:p>
    <w:p w14:paraId="52F9CE35" w14:textId="77777777" w:rsidR="00661E73" w:rsidRPr="00661E73" w:rsidRDefault="00661E73" w:rsidP="00661E73">
      <w:pPr>
        <w:rPr>
          <w:rFonts w:ascii="Arial" w:hAnsi="Arial" w:cs="Arial"/>
        </w:rPr>
      </w:pPr>
    </w:p>
    <w:p w14:paraId="5468A2F7" w14:textId="77777777" w:rsidR="00661E73" w:rsidRPr="00661E73" w:rsidRDefault="00661E73" w:rsidP="00661E73">
      <w:pPr>
        <w:rPr>
          <w:rFonts w:ascii="Arial" w:hAnsi="Arial" w:cs="Arial"/>
        </w:rPr>
      </w:pPr>
    </w:p>
    <w:p w14:paraId="4D40C428" w14:textId="77777777" w:rsidR="00661E73" w:rsidRPr="00661E73" w:rsidRDefault="00661E73" w:rsidP="00661E73">
      <w:pPr>
        <w:rPr>
          <w:rFonts w:ascii="Arial" w:hAnsi="Arial" w:cs="Arial"/>
        </w:rPr>
      </w:pPr>
      <w:r w:rsidRPr="00661E73">
        <w:rPr>
          <w:rFonts w:ascii="Arial" w:hAnsi="Arial" w:cs="Arial"/>
          <w:b/>
        </w:rPr>
        <w:t xml:space="preserve">Equation 1: </w:t>
      </w:r>
      <w:r w:rsidRPr="00661E73">
        <w:rPr>
          <w:rFonts w:ascii="Arial" w:hAnsi="Arial" w:cs="Arial"/>
        </w:rPr>
        <w:t>Response = 100 / ( ( 1 + EC</w:t>
      </w:r>
      <w:r w:rsidRPr="00EF0608">
        <w:rPr>
          <w:rFonts w:ascii="Arial" w:hAnsi="Arial" w:cs="Arial"/>
          <w:vertAlign w:val="subscript"/>
        </w:rPr>
        <w:t>50</w:t>
      </w:r>
      <w:r w:rsidRPr="00661E73">
        <w:rPr>
          <w:rFonts w:ascii="Arial" w:hAnsi="Arial" w:cs="Arial"/>
        </w:rPr>
        <w:t xml:space="preserve"> / [agonist] ) </w:t>
      </w:r>
      <w:proofErr w:type="spellStart"/>
      <w:r w:rsidRPr="00661E73">
        <w:rPr>
          <w:rFonts w:ascii="Arial" w:hAnsi="Arial" w:cs="Arial"/>
        </w:rPr>
        <w:t>nH</w:t>
      </w:r>
      <w:proofErr w:type="spellEnd"/>
      <w:r w:rsidRPr="00661E73">
        <w:rPr>
          <w:rFonts w:ascii="Arial" w:hAnsi="Arial" w:cs="Arial"/>
        </w:rPr>
        <w:t xml:space="preserve"> ); where EC</w:t>
      </w:r>
      <w:r w:rsidRPr="00EF0608">
        <w:rPr>
          <w:rFonts w:ascii="Arial" w:hAnsi="Arial" w:cs="Arial"/>
          <w:vertAlign w:val="subscript"/>
        </w:rPr>
        <w:t>50</w:t>
      </w:r>
      <w:r w:rsidRPr="00661E73">
        <w:rPr>
          <w:rFonts w:ascii="Arial" w:hAnsi="Arial" w:cs="Arial"/>
        </w:rPr>
        <w:t xml:space="preserve"> is the agonist concentration that elicited the half maximal response, and </w:t>
      </w:r>
      <w:proofErr w:type="spellStart"/>
      <w:r w:rsidRPr="00661E73">
        <w:rPr>
          <w:rFonts w:ascii="Arial" w:hAnsi="Arial" w:cs="Arial"/>
        </w:rPr>
        <w:t>nH</w:t>
      </w:r>
      <w:proofErr w:type="spellEnd"/>
      <w:r w:rsidRPr="00661E73">
        <w:rPr>
          <w:rFonts w:ascii="Arial" w:hAnsi="Arial" w:cs="Arial"/>
        </w:rPr>
        <w:t xml:space="preserve"> is the Hill slope.</w:t>
      </w:r>
    </w:p>
    <w:p w14:paraId="48B217FC" w14:textId="77777777" w:rsidR="00661E73" w:rsidRPr="00661E73" w:rsidRDefault="00661E73" w:rsidP="00661E73">
      <w:pPr>
        <w:rPr>
          <w:rFonts w:ascii="Arial" w:hAnsi="Arial" w:cs="Arial"/>
        </w:rPr>
      </w:pPr>
      <w:r w:rsidRPr="00661E73">
        <w:rPr>
          <w:rFonts w:ascii="Arial" w:hAnsi="Arial" w:cs="Arial"/>
        </w:rPr>
        <w:t>Statisti</w:t>
      </w:r>
      <w:r w:rsidR="00EF0608">
        <w:rPr>
          <w:rFonts w:ascii="Arial" w:hAnsi="Arial" w:cs="Arial"/>
        </w:rPr>
        <w:t>cal comparisons: WT vs v</w:t>
      </w:r>
      <w:r w:rsidRPr="00661E73">
        <w:rPr>
          <w:rFonts w:ascii="Arial" w:hAnsi="Arial" w:cs="Arial"/>
        </w:rPr>
        <w:t>ariant receptor results were compared using a two-tailed unpaired t-Test (</w:t>
      </w:r>
      <w:proofErr w:type="spellStart"/>
      <w:r w:rsidRPr="00661E73">
        <w:rPr>
          <w:rFonts w:ascii="Arial" w:hAnsi="Arial" w:cs="Arial"/>
        </w:rPr>
        <w:t>GraphPadPrism</w:t>
      </w:r>
      <w:proofErr w:type="spellEnd"/>
      <w:r w:rsidRPr="00661E73">
        <w:rPr>
          <w:rFonts w:ascii="Arial" w:hAnsi="Arial" w:cs="Arial"/>
        </w:rPr>
        <w:t xml:space="preserve"> 5.0). The log values of the IC</w:t>
      </w:r>
      <w:r w:rsidRPr="00EF0608">
        <w:rPr>
          <w:rFonts w:ascii="Arial" w:hAnsi="Arial" w:cs="Arial"/>
          <w:vertAlign w:val="subscript"/>
        </w:rPr>
        <w:t>50</w:t>
      </w:r>
      <w:r w:rsidRPr="00661E73">
        <w:rPr>
          <w:rFonts w:ascii="Arial" w:hAnsi="Arial" w:cs="Arial"/>
        </w:rPr>
        <w:t xml:space="preserve"> or EC</w:t>
      </w:r>
      <w:r w:rsidRPr="00EF0608">
        <w:rPr>
          <w:rFonts w:ascii="Arial" w:hAnsi="Arial" w:cs="Arial"/>
          <w:vertAlign w:val="subscript"/>
        </w:rPr>
        <w:t>50</w:t>
      </w:r>
      <w:r w:rsidRPr="00661E73">
        <w:rPr>
          <w:rFonts w:ascii="Arial" w:hAnsi="Arial" w:cs="Arial"/>
        </w:rPr>
        <w:t xml:space="preserve"> were used for comparison.</w:t>
      </w:r>
    </w:p>
    <w:p w14:paraId="734EF623" w14:textId="77777777" w:rsidR="00661E73" w:rsidRPr="00661E73" w:rsidRDefault="00661E73" w:rsidP="00661E73">
      <w:pPr>
        <w:rPr>
          <w:rFonts w:ascii="Arial" w:hAnsi="Arial" w:cs="Arial"/>
        </w:rPr>
      </w:pPr>
    </w:p>
    <w:p w14:paraId="37458384" w14:textId="77777777" w:rsidR="00661E73" w:rsidRPr="00661E73" w:rsidRDefault="00661E73" w:rsidP="00661E73">
      <w:pPr>
        <w:rPr>
          <w:rFonts w:ascii="Arial" w:hAnsi="Arial" w:cs="Arial"/>
        </w:rPr>
      </w:pPr>
    </w:p>
    <w:p w14:paraId="00D340E3" w14:textId="77777777" w:rsidR="00661E73" w:rsidRPr="00661E73" w:rsidRDefault="00661E73" w:rsidP="00661E73">
      <w:pPr>
        <w:rPr>
          <w:rFonts w:ascii="Arial" w:hAnsi="Arial" w:cs="Arial"/>
        </w:rPr>
      </w:pPr>
      <w:r w:rsidRPr="00661E73">
        <w:rPr>
          <w:rFonts w:ascii="Arial" w:hAnsi="Arial" w:cs="Arial"/>
          <w:b/>
        </w:rPr>
        <w:t>Glycine dose response studies</w:t>
      </w:r>
      <w:r w:rsidRPr="00661E73">
        <w:rPr>
          <w:rFonts w:ascii="Arial" w:hAnsi="Arial" w:cs="Arial"/>
        </w:rPr>
        <w:tab/>
        <w:t xml:space="preserve">The Barth’s solution for these studies was the same as for the L-glutamate studies. Oocyte membrane potential was clamped at -40 mV. After a steady baseline was obtained, oocytes were perfused with increasing concentrations of glycine (7 concentrations selected from 0.01, 0.03, 0.1, 0.3, 1, 3, 10, 30, 100, 300, or 1000 </w:t>
      </w:r>
      <w:proofErr w:type="spellStart"/>
      <w:r w:rsidRPr="00661E73">
        <w:rPr>
          <w:rFonts w:ascii="Arial" w:hAnsi="Arial" w:cs="Arial"/>
        </w:rPr>
        <w:t>uM</w:t>
      </w:r>
      <w:proofErr w:type="spellEnd"/>
      <w:r w:rsidRPr="00661E73">
        <w:rPr>
          <w:rFonts w:ascii="Arial" w:hAnsi="Arial" w:cs="Arial"/>
        </w:rPr>
        <w:t xml:space="preserve">) for 1 min duration each in the continuous presence of 100 </w:t>
      </w:r>
      <w:proofErr w:type="spellStart"/>
      <w:r w:rsidRPr="00661E73">
        <w:rPr>
          <w:rFonts w:ascii="Arial" w:hAnsi="Arial" w:cs="Arial"/>
        </w:rPr>
        <w:t>uM</w:t>
      </w:r>
      <w:proofErr w:type="spellEnd"/>
      <w:r w:rsidRPr="00661E73">
        <w:rPr>
          <w:rFonts w:ascii="Arial" w:hAnsi="Arial" w:cs="Arial"/>
        </w:rPr>
        <w:t xml:space="preserve"> L-glutamate. Results at each glycine concentration were normalized to the maximum receptor activation levels (defined as 100%) and the EC</w:t>
      </w:r>
      <w:r w:rsidRPr="00EF0608">
        <w:rPr>
          <w:rFonts w:ascii="Arial" w:hAnsi="Arial" w:cs="Arial"/>
          <w:vertAlign w:val="subscript"/>
        </w:rPr>
        <w:t>50</w:t>
      </w:r>
      <w:r w:rsidRPr="00661E73">
        <w:rPr>
          <w:rFonts w:ascii="Arial" w:hAnsi="Arial" w:cs="Arial"/>
        </w:rPr>
        <w:t xml:space="preserve"> values obtained by fitting concentration-response data with Equation 1.</w:t>
      </w:r>
    </w:p>
    <w:p w14:paraId="436D0773" w14:textId="77777777" w:rsidR="00661E73" w:rsidRPr="00661E73" w:rsidRDefault="00661E73" w:rsidP="00661E73">
      <w:pPr>
        <w:rPr>
          <w:rFonts w:ascii="Arial" w:hAnsi="Arial" w:cs="Arial"/>
        </w:rPr>
      </w:pPr>
    </w:p>
    <w:p w14:paraId="48C3AF74" w14:textId="77777777" w:rsidR="00661E73" w:rsidRPr="00661E73" w:rsidRDefault="00661E73" w:rsidP="00661E73">
      <w:pPr>
        <w:rPr>
          <w:rFonts w:ascii="Arial" w:hAnsi="Arial" w:cs="Arial"/>
        </w:rPr>
      </w:pPr>
      <w:r w:rsidRPr="00661E73">
        <w:rPr>
          <w:rFonts w:ascii="Arial" w:hAnsi="Arial" w:cs="Arial"/>
          <w:b/>
        </w:rPr>
        <w:t>Mg</w:t>
      </w:r>
      <w:r w:rsidRPr="00661E73">
        <w:rPr>
          <w:rFonts w:ascii="Arial" w:hAnsi="Arial" w:cs="Arial"/>
          <w:b/>
          <w:vertAlign w:val="superscript"/>
        </w:rPr>
        <w:t xml:space="preserve">++ </w:t>
      </w:r>
      <w:r w:rsidRPr="00661E73">
        <w:rPr>
          <w:rFonts w:ascii="Arial" w:hAnsi="Arial" w:cs="Arial"/>
          <w:b/>
        </w:rPr>
        <w:t>dose inhibition studies</w:t>
      </w:r>
      <w:r w:rsidRPr="00661E73">
        <w:rPr>
          <w:rFonts w:ascii="Arial" w:hAnsi="Arial" w:cs="Arial"/>
        </w:rPr>
        <w:tab/>
        <w:t>The Barth’s solution for Mg</w:t>
      </w:r>
      <w:r w:rsidRPr="00661E73">
        <w:rPr>
          <w:rFonts w:ascii="Arial" w:hAnsi="Arial" w:cs="Arial"/>
          <w:vertAlign w:val="superscript"/>
        </w:rPr>
        <w:t>++</w:t>
      </w:r>
      <w:r w:rsidRPr="00661E73">
        <w:rPr>
          <w:rFonts w:ascii="Arial" w:hAnsi="Arial" w:cs="Arial"/>
        </w:rPr>
        <w:t xml:space="preserve"> studies was identical to that of the L-glutamate dose-response studies except that EDTA was omitted for this condition. The oocyte membrane potential was clamped at -60 mV. After a steady baseline was obtained, oocytes were maximally activated with 100 </w:t>
      </w:r>
      <w:proofErr w:type="spellStart"/>
      <w:r w:rsidRPr="00661E73">
        <w:rPr>
          <w:rFonts w:ascii="Arial" w:hAnsi="Arial" w:cs="Arial"/>
        </w:rPr>
        <w:t>uM</w:t>
      </w:r>
      <w:proofErr w:type="spellEnd"/>
      <w:r w:rsidRPr="00661E73">
        <w:rPr>
          <w:rFonts w:ascii="Arial" w:hAnsi="Arial" w:cs="Arial"/>
        </w:rPr>
        <w:t xml:space="preserve"> L-glutamate and 100 </w:t>
      </w:r>
      <w:proofErr w:type="spellStart"/>
      <w:r w:rsidRPr="00661E73">
        <w:rPr>
          <w:rFonts w:ascii="Arial" w:hAnsi="Arial" w:cs="Arial"/>
        </w:rPr>
        <w:t>uM</w:t>
      </w:r>
      <w:proofErr w:type="spellEnd"/>
      <w:r w:rsidRPr="00661E73">
        <w:rPr>
          <w:rFonts w:ascii="Arial" w:hAnsi="Arial" w:cs="Arial"/>
        </w:rPr>
        <w:t xml:space="preserve"> glycine and, in the </w:t>
      </w:r>
      <w:r w:rsidRPr="00661E73">
        <w:rPr>
          <w:rFonts w:ascii="Arial" w:hAnsi="Arial" w:cs="Arial"/>
        </w:rPr>
        <w:lastRenderedPageBreak/>
        <w:t>continuous presence of maximal L-glutamate and glycine, were perfused with increasing concentrations of Mg</w:t>
      </w:r>
      <w:r w:rsidRPr="00661E73">
        <w:rPr>
          <w:rFonts w:ascii="Arial" w:hAnsi="Arial" w:cs="Arial"/>
          <w:vertAlign w:val="superscript"/>
        </w:rPr>
        <w:t>++</w:t>
      </w:r>
      <w:r w:rsidRPr="00661E73">
        <w:rPr>
          <w:rFonts w:ascii="Arial" w:hAnsi="Arial" w:cs="Arial"/>
        </w:rPr>
        <w:t xml:space="preserve"> (3, 10, 30, 100, 300, and 1000 </w:t>
      </w:r>
      <w:proofErr w:type="spellStart"/>
      <w:r w:rsidRPr="00661E73">
        <w:rPr>
          <w:rFonts w:ascii="Arial" w:hAnsi="Arial" w:cs="Arial"/>
        </w:rPr>
        <w:t>uM</w:t>
      </w:r>
      <w:proofErr w:type="spellEnd"/>
      <w:r w:rsidRPr="00661E73">
        <w:rPr>
          <w:rFonts w:ascii="Arial" w:hAnsi="Arial" w:cs="Arial"/>
        </w:rPr>
        <w:t>). Results at each Mg</w:t>
      </w:r>
      <w:r w:rsidRPr="00661E73">
        <w:rPr>
          <w:rFonts w:ascii="Arial" w:hAnsi="Arial" w:cs="Arial"/>
          <w:vertAlign w:val="superscript"/>
        </w:rPr>
        <w:t>++</w:t>
      </w:r>
      <w:r w:rsidRPr="00661E73">
        <w:rPr>
          <w:rFonts w:ascii="Arial" w:hAnsi="Arial" w:cs="Arial"/>
        </w:rPr>
        <w:t xml:space="preserve"> concentration </w:t>
      </w:r>
      <w:proofErr w:type="gramStart"/>
      <w:r w:rsidRPr="00661E73">
        <w:rPr>
          <w:rFonts w:ascii="Arial" w:hAnsi="Arial" w:cs="Arial"/>
        </w:rPr>
        <w:t>were</w:t>
      </w:r>
      <w:proofErr w:type="gramEnd"/>
      <w:r w:rsidRPr="00661E73">
        <w:rPr>
          <w:rFonts w:ascii="Arial" w:hAnsi="Arial" w:cs="Arial"/>
        </w:rPr>
        <w:t xml:space="preserve"> normalized to maximum receptor activation levels (defined as 100%) and IC</w:t>
      </w:r>
      <w:r w:rsidRPr="00EF0608">
        <w:rPr>
          <w:rFonts w:ascii="Arial" w:hAnsi="Arial" w:cs="Arial"/>
          <w:vertAlign w:val="subscript"/>
        </w:rPr>
        <w:t>50</w:t>
      </w:r>
      <w:r w:rsidRPr="00661E73">
        <w:rPr>
          <w:rFonts w:ascii="Arial" w:hAnsi="Arial" w:cs="Arial"/>
        </w:rPr>
        <w:t xml:space="preserve"> values were obtained by fitting concentration-inhibition data with Equation 2:</w:t>
      </w:r>
    </w:p>
    <w:p w14:paraId="162ED0EE" w14:textId="77777777" w:rsidR="00661E73" w:rsidRPr="00661E73" w:rsidRDefault="00661E73" w:rsidP="00661E73">
      <w:pPr>
        <w:rPr>
          <w:rFonts w:ascii="Arial" w:hAnsi="Arial" w:cs="Arial"/>
        </w:rPr>
      </w:pPr>
    </w:p>
    <w:p w14:paraId="1D12017F" w14:textId="77777777" w:rsidR="00661E73" w:rsidRPr="00661E73" w:rsidRDefault="00661E73" w:rsidP="00661E73">
      <w:pPr>
        <w:rPr>
          <w:rFonts w:ascii="Arial" w:hAnsi="Arial" w:cs="Arial"/>
        </w:rPr>
      </w:pPr>
    </w:p>
    <w:p w14:paraId="56D0201B" w14:textId="77777777" w:rsidR="00661E73" w:rsidRPr="00661E73" w:rsidRDefault="00661E73" w:rsidP="00661E73">
      <w:pPr>
        <w:rPr>
          <w:rFonts w:ascii="Arial" w:hAnsi="Arial" w:cs="Arial"/>
        </w:rPr>
      </w:pPr>
      <w:r w:rsidRPr="00661E73">
        <w:rPr>
          <w:rFonts w:ascii="Arial" w:hAnsi="Arial" w:cs="Arial"/>
          <w:b/>
        </w:rPr>
        <w:t>Equation 2:</w:t>
      </w:r>
      <w:r w:rsidRPr="00661E73">
        <w:rPr>
          <w:rFonts w:ascii="Arial" w:hAnsi="Arial" w:cs="Arial"/>
        </w:rPr>
        <w:t xml:space="preserve"> Response = (100 - minimum) / (1 + ([concentration] / IC</w:t>
      </w:r>
      <w:r w:rsidRPr="00EF0608">
        <w:rPr>
          <w:rFonts w:ascii="Arial" w:hAnsi="Arial" w:cs="Arial"/>
          <w:vertAlign w:val="subscript"/>
        </w:rPr>
        <w:t>50</w:t>
      </w:r>
      <w:r w:rsidRPr="00661E73">
        <w:rPr>
          <w:rFonts w:ascii="Arial" w:hAnsi="Arial" w:cs="Arial"/>
        </w:rPr>
        <w:t>)</w:t>
      </w:r>
      <w:proofErr w:type="spellStart"/>
      <w:r w:rsidRPr="00661E73">
        <w:rPr>
          <w:rFonts w:ascii="Arial" w:hAnsi="Arial" w:cs="Arial"/>
        </w:rPr>
        <w:t>nH</w:t>
      </w:r>
      <w:proofErr w:type="spellEnd"/>
      <w:r w:rsidRPr="00661E73">
        <w:rPr>
          <w:rFonts w:ascii="Arial" w:hAnsi="Arial" w:cs="Arial"/>
        </w:rPr>
        <w:t xml:space="preserve"> ) + minimum; where minimum is the residual percent response in saturating concentration (constrained to &gt; 0) of the experimental compounds, IC</w:t>
      </w:r>
      <w:r w:rsidRPr="00EF0608">
        <w:rPr>
          <w:rFonts w:ascii="Arial" w:hAnsi="Arial" w:cs="Arial"/>
          <w:vertAlign w:val="subscript"/>
        </w:rPr>
        <w:t>50</w:t>
      </w:r>
      <w:r w:rsidRPr="00661E73">
        <w:rPr>
          <w:rFonts w:ascii="Arial" w:hAnsi="Arial" w:cs="Arial"/>
        </w:rPr>
        <w:t xml:space="preserve"> is the concentration of antagonist that causes half maximal inhibition, and </w:t>
      </w:r>
      <w:proofErr w:type="spellStart"/>
      <w:r w:rsidRPr="00661E73">
        <w:rPr>
          <w:rFonts w:ascii="Arial" w:hAnsi="Arial" w:cs="Arial"/>
        </w:rPr>
        <w:t>nH</w:t>
      </w:r>
      <w:proofErr w:type="spellEnd"/>
      <w:r w:rsidRPr="00661E73">
        <w:rPr>
          <w:rFonts w:ascii="Arial" w:hAnsi="Arial" w:cs="Arial"/>
        </w:rPr>
        <w:t xml:space="preserve"> is the Hill slope.</w:t>
      </w:r>
    </w:p>
    <w:p w14:paraId="096C83C7" w14:textId="77777777" w:rsidR="00661E73" w:rsidRPr="00661E73" w:rsidRDefault="00661E73" w:rsidP="00661E73">
      <w:pPr>
        <w:rPr>
          <w:rFonts w:ascii="Arial" w:hAnsi="Arial" w:cs="Arial"/>
        </w:rPr>
      </w:pPr>
    </w:p>
    <w:p w14:paraId="23082636" w14:textId="77777777" w:rsidR="00661E73" w:rsidRPr="00661E73" w:rsidRDefault="00661E73" w:rsidP="00661E73">
      <w:pPr>
        <w:rPr>
          <w:rFonts w:ascii="Arial" w:hAnsi="Arial" w:cs="Arial"/>
        </w:rPr>
      </w:pPr>
    </w:p>
    <w:p w14:paraId="0AAEB2F2" w14:textId="77777777" w:rsidR="00661E73" w:rsidRPr="00661E73" w:rsidRDefault="00661E73" w:rsidP="00661E73">
      <w:pPr>
        <w:rPr>
          <w:rFonts w:ascii="Arial" w:hAnsi="Arial" w:cs="Arial"/>
        </w:rPr>
      </w:pPr>
      <w:r w:rsidRPr="00661E73">
        <w:rPr>
          <w:rFonts w:ascii="Arial" w:hAnsi="Arial" w:cs="Arial"/>
          <w:b/>
        </w:rPr>
        <w:t>pH studies</w:t>
      </w:r>
      <w:r w:rsidRPr="00661E73">
        <w:rPr>
          <w:rFonts w:ascii="Arial" w:hAnsi="Arial" w:cs="Arial"/>
        </w:rPr>
        <w:tab/>
        <w:t xml:space="preserve">The Barth’s solution for these studies was identical to that used in the L-glutamate studies. The oocyte membrane potential was clamped at -40 mV. After a steady baseline was obtained in pH 7.6 recording buffer, the oocytes were maximally activated with 100 </w:t>
      </w:r>
      <w:proofErr w:type="spellStart"/>
      <w:r w:rsidRPr="00661E73">
        <w:rPr>
          <w:rFonts w:ascii="Arial" w:hAnsi="Arial" w:cs="Arial"/>
        </w:rPr>
        <w:t>uM</w:t>
      </w:r>
      <w:proofErr w:type="spellEnd"/>
      <w:r w:rsidRPr="00661E73">
        <w:rPr>
          <w:rFonts w:ascii="Arial" w:hAnsi="Arial" w:cs="Arial"/>
        </w:rPr>
        <w:t xml:space="preserve"> L-glutamate and 100 </w:t>
      </w:r>
      <w:proofErr w:type="spellStart"/>
      <w:r w:rsidRPr="00661E73">
        <w:rPr>
          <w:rFonts w:ascii="Arial" w:hAnsi="Arial" w:cs="Arial"/>
        </w:rPr>
        <w:t>uM</w:t>
      </w:r>
      <w:proofErr w:type="spellEnd"/>
      <w:r w:rsidRPr="00661E73">
        <w:rPr>
          <w:rFonts w:ascii="Arial" w:hAnsi="Arial" w:cs="Arial"/>
        </w:rPr>
        <w:t xml:space="preserve"> glycine in pH 7.6 buffer. Following a washout period to reestablish baseline, the oocytes were then maximally activated with 100 </w:t>
      </w:r>
      <w:proofErr w:type="spellStart"/>
      <w:r w:rsidRPr="00661E73">
        <w:rPr>
          <w:rFonts w:ascii="Arial" w:hAnsi="Arial" w:cs="Arial"/>
        </w:rPr>
        <w:t>uM</w:t>
      </w:r>
      <w:proofErr w:type="spellEnd"/>
      <w:r w:rsidRPr="00661E73">
        <w:rPr>
          <w:rFonts w:ascii="Arial" w:hAnsi="Arial" w:cs="Arial"/>
        </w:rPr>
        <w:t xml:space="preserve"> L-glutamate and 100 </w:t>
      </w:r>
      <w:proofErr w:type="spellStart"/>
      <w:r w:rsidRPr="00661E73">
        <w:rPr>
          <w:rFonts w:ascii="Arial" w:hAnsi="Arial" w:cs="Arial"/>
        </w:rPr>
        <w:t>uM</w:t>
      </w:r>
      <w:proofErr w:type="spellEnd"/>
      <w:r w:rsidRPr="00661E73">
        <w:rPr>
          <w:rFonts w:ascii="Arial" w:hAnsi="Arial" w:cs="Arial"/>
        </w:rPr>
        <w:t xml:space="preserve"> glycine in pH 6.8 buffer. The % current at pH 6.8 was then determined compared to the current at pH 7.6 (defined as 100%).</w:t>
      </w:r>
    </w:p>
    <w:p w14:paraId="6B13B2C5" w14:textId="77777777" w:rsidR="00661E73" w:rsidRPr="00661E73" w:rsidRDefault="00661E73" w:rsidP="00661E73">
      <w:pPr>
        <w:rPr>
          <w:rFonts w:ascii="Arial" w:hAnsi="Arial" w:cs="Arial"/>
        </w:rPr>
      </w:pPr>
    </w:p>
    <w:p w14:paraId="6DBE2CFE" w14:textId="77777777" w:rsidR="00661E73" w:rsidRPr="00661E73" w:rsidRDefault="00661E73" w:rsidP="00661E73">
      <w:pPr>
        <w:rPr>
          <w:rFonts w:ascii="Arial" w:hAnsi="Arial" w:cs="Arial"/>
        </w:rPr>
      </w:pPr>
      <w:r w:rsidRPr="00661E73">
        <w:rPr>
          <w:rFonts w:ascii="Arial" w:hAnsi="Arial" w:cs="Arial"/>
          <w:b/>
        </w:rPr>
        <w:t>Zn</w:t>
      </w:r>
      <w:r w:rsidRPr="00661E73">
        <w:rPr>
          <w:rFonts w:ascii="Arial" w:hAnsi="Arial" w:cs="Arial"/>
          <w:b/>
          <w:vertAlign w:val="superscript"/>
        </w:rPr>
        <w:t>++</w:t>
      </w:r>
      <w:r w:rsidRPr="00661E73">
        <w:rPr>
          <w:rFonts w:ascii="Arial" w:hAnsi="Arial" w:cs="Arial"/>
          <w:b/>
        </w:rPr>
        <w:t xml:space="preserve"> dose inhibition studies</w:t>
      </w:r>
      <w:r w:rsidRPr="00661E73">
        <w:rPr>
          <w:rFonts w:ascii="Arial" w:hAnsi="Arial" w:cs="Arial"/>
        </w:rPr>
        <w:tab/>
        <w:t>Oocytes expressing recombinant human glutamate receptors were perfused with Barth’s solution identical to that of the L-glutamate dose-response studies except that pH was adjusted to 7.3 (at 23</w:t>
      </w:r>
      <w:r w:rsidR="00EF0608" w:rsidRPr="00EF0608">
        <w:rPr>
          <w:rFonts w:ascii="Arial" w:hAnsi="Arial" w:cs="Arial"/>
          <w:vertAlign w:val="superscript"/>
        </w:rPr>
        <w:t>o</w:t>
      </w:r>
      <w:r w:rsidRPr="00661E73">
        <w:rPr>
          <w:rFonts w:ascii="Arial" w:hAnsi="Arial" w:cs="Arial"/>
        </w:rPr>
        <w:t xml:space="preserve">C). The oocyte membrane potential was clamped at -20 mV. After a steady baseline was obtained, oocytes were maximally activated with 50 </w:t>
      </w:r>
      <w:proofErr w:type="spellStart"/>
      <w:r w:rsidRPr="00661E73">
        <w:rPr>
          <w:rFonts w:ascii="Arial" w:hAnsi="Arial" w:cs="Arial"/>
        </w:rPr>
        <w:t>uM</w:t>
      </w:r>
      <w:proofErr w:type="spellEnd"/>
      <w:r w:rsidRPr="00661E73">
        <w:rPr>
          <w:rFonts w:ascii="Arial" w:hAnsi="Arial" w:cs="Arial"/>
        </w:rPr>
        <w:t xml:space="preserve"> L-glutamate and 50 </w:t>
      </w:r>
      <w:proofErr w:type="spellStart"/>
      <w:r w:rsidRPr="00661E73">
        <w:rPr>
          <w:rFonts w:ascii="Arial" w:hAnsi="Arial" w:cs="Arial"/>
        </w:rPr>
        <w:t>uM</w:t>
      </w:r>
      <w:proofErr w:type="spellEnd"/>
      <w:r w:rsidRPr="00661E73">
        <w:rPr>
          <w:rFonts w:ascii="Arial" w:hAnsi="Arial" w:cs="Arial"/>
        </w:rPr>
        <w:t xml:space="preserve"> glycine, and then in the continuous presence of maximal glutamate and glycine were perfused with increasing concentrations of Zn</w:t>
      </w:r>
      <w:r w:rsidRPr="00661E73">
        <w:rPr>
          <w:rFonts w:ascii="Arial" w:hAnsi="Arial" w:cs="Arial"/>
          <w:vertAlign w:val="superscript"/>
        </w:rPr>
        <w:t>++</w:t>
      </w:r>
      <w:r w:rsidRPr="00661E73">
        <w:rPr>
          <w:rFonts w:ascii="Arial" w:hAnsi="Arial" w:cs="Arial"/>
        </w:rPr>
        <w:t xml:space="preserve"> (concentration varies depending on the specific receptor and variant tested). Results at each Zn</w:t>
      </w:r>
      <w:r w:rsidRPr="00661E73">
        <w:rPr>
          <w:rFonts w:ascii="Arial" w:hAnsi="Arial" w:cs="Arial"/>
          <w:vertAlign w:val="superscript"/>
        </w:rPr>
        <w:t>++</w:t>
      </w:r>
      <w:r w:rsidRPr="00661E73">
        <w:rPr>
          <w:rFonts w:ascii="Arial" w:hAnsi="Arial" w:cs="Arial"/>
        </w:rPr>
        <w:t xml:space="preserve"> concentration </w:t>
      </w:r>
      <w:proofErr w:type="gramStart"/>
      <w:r w:rsidRPr="00661E73">
        <w:rPr>
          <w:rFonts w:ascii="Arial" w:hAnsi="Arial" w:cs="Arial"/>
        </w:rPr>
        <w:t>are</w:t>
      </w:r>
      <w:proofErr w:type="gramEnd"/>
      <w:r w:rsidRPr="00661E73">
        <w:rPr>
          <w:rFonts w:ascii="Arial" w:hAnsi="Arial" w:cs="Arial"/>
        </w:rPr>
        <w:t xml:space="preserve"> normalized to the maximum receptor activation levels without Zn</w:t>
      </w:r>
      <w:r w:rsidRPr="00661E73">
        <w:rPr>
          <w:rFonts w:ascii="Arial" w:hAnsi="Arial" w:cs="Arial"/>
          <w:vertAlign w:val="superscript"/>
        </w:rPr>
        <w:t>++</w:t>
      </w:r>
      <w:r w:rsidRPr="00661E73">
        <w:rPr>
          <w:rFonts w:ascii="Arial" w:hAnsi="Arial" w:cs="Arial"/>
        </w:rPr>
        <w:t xml:space="preserve"> (defined as 100%) and IC</w:t>
      </w:r>
      <w:r w:rsidRPr="00EF0608">
        <w:rPr>
          <w:rFonts w:ascii="Arial" w:hAnsi="Arial" w:cs="Arial"/>
          <w:vertAlign w:val="subscript"/>
        </w:rPr>
        <w:t>50</w:t>
      </w:r>
      <w:r w:rsidRPr="00661E73">
        <w:rPr>
          <w:rFonts w:ascii="Arial" w:hAnsi="Arial" w:cs="Arial"/>
        </w:rPr>
        <w:t xml:space="preserve"> values obtained by fitting concentration-inhibition data with Equation 2.</w:t>
      </w:r>
    </w:p>
    <w:p w14:paraId="33D10F2D" w14:textId="77777777" w:rsidR="00661E73" w:rsidRDefault="00661E73" w:rsidP="00661E73">
      <w:pPr>
        <w:rPr>
          <w:rFonts w:ascii="Arial" w:hAnsi="Arial" w:cs="Arial"/>
        </w:rPr>
      </w:pPr>
    </w:p>
    <w:p w14:paraId="763FF169" w14:textId="77777777" w:rsidR="007C7C46" w:rsidRPr="00661E73" w:rsidRDefault="007C7C46" w:rsidP="00661E73">
      <w:pPr>
        <w:rPr>
          <w:rFonts w:ascii="Arial" w:hAnsi="Arial" w:cs="Arial"/>
        </w:rPr>
      </w:pPr>
    </w:p>
    <w:p w14:paraId="0E1D2E9A" w14:textId="77777777" w:rsidR="00A65F5A" w:rsidRDefault="00661E73" w:rsidP="00661E73">
      <w:pPr>
        <w:rPr>
          <w:rFonts w:ascii="Arial" w:hAnsi="Arial" w:cs="Arial"/>
          <w:b/>
        </w:rPr>
      </w:pPr>
      <w:r w:rsidRPr="00661E73">
        <w:rPr>
          <w:rFonts w:ascii="Arial" w:hAnsi="Arial" w:cs="Arial"/>
          <w:b/>
        </w:rPr>
        <w:t>N=1 ABA trial</w:t>
      </w:r>
      <w:r w:rsidRPr="00661E73">
        <w:rPr>
          <w:rFonts w:ascii="Arial" w:hAnsi="Arial" w:cs="Arial"/>
          <w:b/>
        </w:rPr>
        <w:tab/>
      </w:r>
    </w:p>
    <w:p w14:paraId="10917B54" w14:textId="77777777" w:rsidR="00A65F5A" w:rsidRDefault="00A65F5A" w:rsidP="00661E73">
      <w:pPr>
        <w:rPr>
          <w:rFonts w:ascii="Arial" w:hAnsi="Arial" w:cs="Arial"/>
          <w:b/>
        </w:rPr>
      </w:pPr>
    </w:p>
    <w:p w14:paraId="3834ED87" w14:textId="3A6AD9B8" w:rsidR="00A65F5A" w:rsidRDefault="00EA2418" w:rsidP="00A65F5A">
      <w:pPr>
        <w:rPr>
          <w:rFonts w:ascii="Arial" w:hAnsi="Arial" w:cs="Arial"/>
        </w:rPr>
      </w:pPr>
      <w:r w:rsidRPr="00EA2418">
        <w:rPr>
          <w:rFonts w:ascii="Arial" w:hAnsi="Arial" w:cs="Arial"/>
          <w:b/>
        </w:rPr>
        <w:t>Day 1</w:t>
      </w:r>
      <w:r>
        <w:rPr>
          <w:rFonts w:ascii="Arial" w:hAnsi="Arial" w:cs="Arial"/>
        </w:rPr>
        <w:tab/>
      </w:r>
      <w:r>
        <w:rPr>
          <w:rFonts w:ascii="Arial" w:hAnsi="Arial" w:cs="Arial"/>
        </w:rPr>
        <w:tab/>
      </w:r>
      <w:r w:rsidR="00A65F5A">
        <w:rPr>
          <w:rFonts w:ascii="Arial" w:hAnsi="Arial" w:cs="Arial"/>
        </w:rPr>
        <w:t xml:space="preserve">The patient was </w:t>
      </w:r>
      <w:r>
        <w:rPr>
          <w:rFonts w:ascii="Arial" w:hAnsi="Arial" w:cs="Arial"/>
        </w:rPr>
        <w:t>a</w:t>
      </w:r>
      <w:r w:rsidR="00A65F5A" w:rsidRPr="00A65F5A">
        <w:rPr>
          <w:rFonts w:ascii="Arial" w:hAnsi="Arial" w:cs="Arial"/>
        </w:rPr>
        <w:t>dmit</w:t>
      </w:r>
      <w:r>
        <w:rPr>
          <w:rFonts w:ascii="Arial" w:hAnsi="Arial" w:cs="Arial"/>
        </w:rPr>
        <w:t xml:space="preserve">ted to the pediatric intensive care unit </w:t>
      </w:r>
      <w:r w:rsidR="00A65F5A" w:rsidRPr="00A65F5A">
        <w:rPr>
          <w:rFonts w:ascii="Arial" w:hAnsi="Arial" w:cs="Arial"/>
        </w:rPr>
        <w:t>for multimodal continuous neu</w:t>
      </w:r>
      <w:r>
        <w:rPr>
          <w:rFonts w:ascii="Arial" w:hAnsi="Arial" w:cs="Arial"/>
        </w:rPr>
        <w:t>rophysiological monitoring w</w:t>
      </w:r>
      <w:r w:rsidR="00702C4E">
        <w:rPr>
          <w:rFonts w:ascii="Arial" w:hAnsi="Arial" w:cs="Arial"/>
        </w:rPr>
        <w:t>ith</w:t>
      </w:r>
      <w:r>
        <w:rPr>
          <w:rFonts w:ascii="Arial" w:hAnsi="Arial" w:cs="Arial"/>
        </w:rPr>
        <w:t xml:space="preserve"> video EEG</w:t>
      </w:r>
      <w:r w:rsidR="00A65F5A" w:rsidRPr="00A65F5A">
        <w:rPr>
          <w:rFonts w:ascii="Arial" w:hAnsi="Arial" w:cs="Arial"/>
        </w:rPr>
        <w:t xml:space="preserve">. </w:t>
      </w:r>
      <w:r>
        <w:rPr>
          <w:rFonts w:ascii="Arial" w:hAnsi="Arial" w:cs="Arial"/>
        </w:rPr>
        <w:t>B</w:t>
      </w:r>
      <w:r w:rsidR="00A65F5A" w:rsidRPr="00A65F5A">
        <w:rPr>
          <w:rFonts w:ascii="Arial" w:hAnsi="Arial" w:cs="Arial"/>
        </w:rPr>
        <w:t xml:space="preserve">aseline neurological exam and video </w:t>
      </w:r>
      <w:r>
        <w:rPr>
          <w:rFonts w:ascii="Arial" w:hAnsi="Arial" w:cs="Arial"/>
        </w:rPr>
        <w:t xml:space="preserve">were obtained. 24 hours of </w:t>
      </w:r>
      <w:r w:rsidR="00A65F5A" w:rsidRPr="00A65F5A">
        <w:rPr>
          <w:rFonts w:ascii="Arial" w:hAnsi="Arial" w:cs="Arial"/>
        </w:rPr>
        <w:t xml:space="preserve">baseline data </w:t>
      </w:r>
      <w:r>
        <w:rPr>
          <w:rFonts w:ascii="Arial" w:hAnsi="Arial" w:cs="Arial"/>
        </w:rPr>
        <w:t xml:space="preserve">was </w:t>
      </w:r>
      <w:r w:rsidR="00A65F5A" w:rsidRPr="00A65F5A">
        <w:rPr>
          <w:rFonts w:ascii="Arial" w:hAnsi="Arial" w:cs="Arial"/>
        </w:rPr>
        <w:t>collect</w:t>
      </w:r>
      <w:r>
        <w:rPr>
          <w:rFonts w:ascii="Arial" w:hAnsi="Arial" w:cs="Arial"/>
        </w:rPr>
        <w:t xml:space="preserve">ed. A peripherally inserted central catheter was placed for blood draws and a </w:t>
      </w:r>
      <w:r w:rsidR="00A65F5A" w:rsidRPr="00A65F5A">
        <w:rPr>
          <w:rFonts w:ascii="Arial" w:hAnsi="Arial" w:cs="Arial"/>
        </w:rPr>
        <w:t xml:space="preserve">high cervical (C7) </w:t>
      </w:r>
      <w:proofErr w:type="gramStart"/>
      <w:r w:rsidR="00A65F5A" w:rsidRPr="00A65F5A">
        <w:rPr>
          <w:rFonts w:ascii="Arial" w:hAnsi="Arial" w:cs="Arial"/>
        </w:rPr>
        <w:t>fluoroscopically-guided</w:t>
      </w:r>
      <w:proofErr w:type="gramEnd"/>
      <w:r w:rsidR="00A65F5A" w:rsidRPr="00A65F5A">
        <w:rPr>
          <w:rFonts w:ascii="Arial" w:hAnsi="Arial" w:cs="Arial"/>
        </w:rPr>
        <w:t xml:space="preserve"> </w:t>
      </w:r>
      <w:r w:rsidR="00702C4E">
        <w:rPr>
          <w:rFonts w:ascii="Arial" w:hAnsi="Arial" w:cs="Arial"/>
        </w:rPr>
        <w:t xml:space="preserve">catheter </w:t>
      </w:r>
      <w:r>
        <w:rPr>
          <w:rFonts w:ascii="Arial" w:hAnsi="Arial" w:cs="Arial"/>
        </w:rPr>
        <w:t>was placed in order to administer MgSO</w:t>
      </w:r>
      <w:r w:rsidRPr="00EA2418">
        <w:rPr>
          <w:rFonts w:ascii="Arial" w:hAnsi="Arial" w:cs="Arial"/>
          <w:vertAlign w:val="subscript"/>
        </w:rPr>
        <w:t>4</w:t>
      </w:r>
      <w:r>
        <w:rPr>
          <w:rFonts w:ascii="Arial" w:hAnsi="Arial" w:cs="Arial"/>
        </w:rPr>
        <w:t xml:space="preserve"> and s</w:t>
      </w:r>
      <w:r w:rsidR="00A65F5A" w:rsidRPr="00A65F5A">
        <w:rPr>
          <w:rFonts w:ascii="Arial" w:hAnsi="Arial" w:cs="Arial"/>
        </w:rPr>
        <w:t>ample CSF</w:t>
      </w:r>
      <w:r>
        <w:rPr>
          <w:rFonts w:ascii="Arial" w:hAnsi="Arial" w:cs="Arial"/>
        </w:rPr>
        <w:t xml:space="preserve"> and tunneled for stability. Nursing neurological assessments were performed every hour for 3 hours after placement and during</w:t>
      </w:r>
      <w:r w:rsidR="00A65F5A" w:rsidRPr="00A65F5A">
        <w:rPr>
          <w:rFonts w:ascii="Arial" w:hAnsi="Arial" w:cs="Arial"/>
        </w:rPr>
        <w:t xml:space="preserve"> MgSO</w:t>
      </w:r>
      <w:r w:rsidR="00A65F5A" w:rsidRPr="00EA2418">
        <w:rPr>
          <w:rFonts w:ascii="Arial" w:hAnsi="Arial" w:cs="Arial"/>
          <w:vertAlign w:val="subscript"/>
        </w:rPr>
        <w:t>4</w:t>
      </w:r>
      <w:r w:rsidR="00A65F5A" w:rsidRPr="00A65F5A">
        <w:rPr>
          <w:rFonts w:ascii="Arial" w:hAnsi="Arial" w:cs="Arial"/>
        </w:rPr>
        <w:t xml:space="preserve"> infusion</w:t>
      </w:r>
      <w:r>
        <w:rPr>
          <w:rFonts w:ascii="Arial" w:hAnsi="Arial" w:cs="Arial"/>
        </w:rPr>
        <w:t>; every 2 hours at other times. Baseline serum and CSF samples for magnesium determination were collected</w:t>
      </w:r>
      <w:r w:rsidR="00A65F5A" w:rsidRPr="00A65F5A">
        <w:rPr>
          <w:rFonts w:ascii="Arial" w:hAnsi="Arial" w:cs="Arial"/>
        </w:rPr>
        <w:t xml:space="preserve">. </w:t>
      </w:r>
      <w:r>
        <w:rPr>
          <w:rFonts w:ascii="Arial" w:hAnsi="Arial" w:cs="Arial"/>
        </w:rPr>
        <w:t xml:space="preserve">1 ml </w:t>
      </w:r>
      <w:r w:rsidR="00A65F5A" w:rsidRPr="00A65F5A">
        <w:rPr>
          <w:rFonts w:ascii="Arial" w:hAnsi="Arial" w:cs="Arial"/>
        </w:rPr>
        <w:t xml:space="preserve">CSF </w:t>
      </w:r>
      <w:r>
        <w:rPr>
          <w:rFonts w:ascii="Arial" w:hAnsi="Arial" w:cs="Arial"/>
        </w:rPr>
        <w:t xml:space="preserve">was </w:t>
      </w:r>
      <w:r w:rsidR="00A65F5A" w:rsidRPr="00A65F5A">
        <w:rPr>
          <w:rFonts w:ascii="Arial" w:hAnsi="Arial" w:cs="Arial"/>
        </w:rPr>
        <w:t xml:space="preserve">collected </w:t>
      </w:r>
      <w:r>
        <w:rPr>
          <w:rFonts w:ascii="Arial" w:hAnsi="Arial" w:cs="Arial"/>
        </w:rPr>
        <w:t>o</w:t>
      </w:r>
      <w:r w:rsidR="00A65F5A" w:rsidRPr="00A65F5A">
        <w:rPr>
          <w:rFonts w:ascii="Arial" w:hAnsi="Arial" w:cs="Arial"/>
        </w:rPr>
        <w:t xml:space="preserve">n ice, stored at -80’C and shipped on dry ice. </w:t>
      </w:r>
    </w:p>
    <w:p w14:paraId="61892DBB" w14:textId="77777777" w:rsidR="00EA2418" w:rsidRPr="00A65F5A" w:rsidRDefault="00EA2418" w:rsidP="00A65F5A">
      <w:pPr>
        <w:rPr>
          <w:rFonts w:ascii="Arial" w:hAnsi="Arial" w:cs="Arial"/>
        </w:rPr>
      </w:pPr>
    </w:p>
    <w:p w14:paraId="66AC4908" w14:textId="4BB2E72D" w:rsidR="00A65F5A" w:rsidRDefault="00A65F5A" w:rsidP="00A65F5A">
      <w:pPr>
        <w:rPr>
          <w:rFonts w:ascii="Arial" w:hAnsi="Arial" w:cs="Arial"/>
        </w:rPr>
      </w:pPr>
      <w:r w:rsidRPr="00EA2418">
        <w:rPr>
          <w:rFonts w:ascii="Arial" w:hAnsi="Arial" w:cs="Arial"/>
          <w:b/>
        </w:rPr>
        <w:t xml:space="preserve">Day </w:t>
      </w:r>
      <w:r w:rsidR="00EA2418" w:rsidRPr="00EA2418">
        <w:rPr>
          <w:rFonts w:ascii="Arial" w:hAnsi="Arial" w:cs="Arial"/>
          <w:b/>
        </w:rPr>
        <w:t>2</w:t>
      </w:r>
      <w:r w:rsidR="00EA2418">
        <w:rPr>
          <w:rFonts w:ascii="Arial" w:hAnsi="Arial" w:cs="Arial"/>
        </w:rPr>
        <w:tab/>
        <w:t>A dedicated electronic order set (</w:t>
      </w:r>
      <w:r w:rsidR="00EA2418" w:rsidRPr="00EA2418">
        <w:rPr>
          <w:rFonts w:ascii="Arial" w:hAnsi="Arial" w:cs="Arial"/>
        </w:rPr>
        <w:t>16.7 mg</w:t>
      </w:r>
      <w:r w:rsidR="00EA2418">
        <w:rPr>
          <w:rFonts w:ascii="Arial" w:hAnsi="Arial" w:cs="Arial"/>
        </w:rPr>
        <w:t xml:space="preserve"> MgSO</w:t>
      </w:r>
      <w:r w:rsidR="00EA2418" w:rsidRPr="00EA2418">
        <w:rPr>
          <w:rFonts w:ascii="Arial" w:hAnsi="Arial" w:cs="Arial"/>
          <w:vertAlign w:val="subscript"/>
        </w:rPr>
        <w:t>4</w:t>
      </w:r>
      <w:r w:rsidR="00EA2418" w:rsidRPr="00EA2418">
        <w:rPr>
          <w:rFonts w:ascii="Arial" w:hAnsi="Arial" w:cs="Arial"/>
        </w:rPr>
        <w:t>/mL (~0.2 mmol elemental Mg</w:t>
      </w:r>
      <w:r w:rsidR="00EA2418" w:rsidRPr="00EA2418">
        <w:rPr>
          <w:rFonts w:ascii="Arial" w:hAnsi="Arial" w:cs="Arial"/>
          <w:vertAlign w:val="superscript"/>
        </w:rPr>
        <w:t>++</w:t>
      </w:r>
      <w:r w:rsidR="00EA2418" w:rsidRPr="00EA2418">
        <w:rPr>
          <w:rFonts w:ascii="Arial" w:hAnsi="Arial" w:cs="Arial"/>
        </w:rPr>
        <w:t xml:space="preserve"> in preservative</w:t>
      </w:r>
      <w:r w:rsidR="00EA2418">
        <w:rPr>
          <w:rFonts w:ascii="Arial" w:hAnsi="Arial" w:cs="Arial"/>
        </w:rPr>
        <w:t>-</w:t>
      </w:r>
      <w:r w:rsidR="00EA2418" w:rsidRPr="00EA2418">
        <w:rPr>
          <w:rFonts w:ascii="Arial" w:hAnsi="Arial" w:cs="Arial"/>
        </w:rPr>
        <w:t>free water</w:t>
      </w:r>
      <w:r w:rsidR="00EA2418">
        <w:rPr>
          <w:rFonts w:ascii="Arial" w:hAnsi="Arial" w:cs="Arial"/>
        </w:rPr>
        <w:t>) was created in preparation for the intrathecal MgSO</w:t>
      </w:r>
      <w:r w:rsidR="00EA2418" w:rsidRPr="00EA2418">
        <w:rPr>
          <w:rFonts w:ascii="Arial" w:hAnsi="Arial" w:cs="Arial"/>
          <w:vertAlign w:val="subscript"/>
        </w:rPr>
        <w:t xml:space="preserve">4 </w:t>
      </w:r>
      <w:r w:rsidR="00EA2418">
        <w:rPr>
          <w:rFonts w:ascii="Arial" w:hAnsi="Arial" w:cs="Arial"/>
        </w:rPr>
        <w:t xml:space="preserve">administration. </w:t>
      </w:r>
      <w:r w:rsidRPr="00A65F5A">
        <w:rPr>
          <w:rFonts w:ascii="Arial" w:hAnsi="Arial" w:cs="Arial"/>
        </w:rPr>
        <w:t xml:space="preserve">Prior studies showed </w:t>
      </w:r>
      <w:r w:rsidR="0038103E">
        <w:rPr>
          <w:rFonts w:ascii="Arial" w:hAnsi="Arial" w:cs="Arial"/>
        </w:rPr>
        <w:t xml:space="preserve">that a </w:t>
      </w:r>
      <w:r w:rsidRPr="00A65F5A">
        <w:rPr>
          <w:rFonts w:ascii="Arial" w:hAnsi="Arial" w:cs="Arial"/>
        </w:rPr>
        <w:t xml:space="preserve">total cumulative dose of ~5 mmol (1200 mg cumulative dose) </w:t>
      </w:r>
      <w:r w:rsidR="0038103E">
        <w:rPr>
          <w:rFonts w:ascii="Arial" w:hAnsi="Arial" w:cs="Arial"/>
        </w:rPr>
        <w:t xml:space="preserve">was </w:t>
      </w:r>
      <w:r w:rsidRPr="00A65F5A">
        <w:rPr>
          <w:rFonts w:ascii="Arial" w:hAnsi="Arial" w:cs="Arial"/>
        </w:rPr>
        <w:t xml:space="preserve">needed to double CSF concentration in adults receiving </w:t>
      </w:r>
      <w:r w:rsidR="0038103E">
        <w:rPr>
          <w:rFonts w:ascii="Arial" w:hAnsi="Arial" w:cs="Arial"/>
        </w:rPr>
        <w:t xml:space="preserve">continuous </w:t>
      </w:r>
      <w:r w:rsidRPr="00A65F5A">
        <w:rPr>
          <w:rFonts w:ascii="Arial" w:hAnsi="Arial" w:cs="Arial"/>
        </w:rPr>
        <w:t>cisternal irrigation w/ MgSO</w:t>
      </w:r>
      <w:r w:rsidRPr="0038103E">
        <w:rPr>
          <w:rFonts w:ascii="Arial" w:hAnsi="Arial" w:cs="Arial"/>
          <w:vertAlign w:val="subscript"/>
        </w:rPr>
        <w:t>4</w:t>
      </w:r>
      <w:r w:rsidRPr="00A65F5A">
        <w:rPr>
          <w:rFonts w:ascii="Arial" w:hAnsi="Arial" w:cs="Arial"/>
        </w:rPr>
        <w:t xml:space="preserve"> (PMID: 26230471). </w:t>
      </w:r>
      <w:r w:rsidR="00702C4E">
        <w:rPr>
          <w:rFonts w:ascii="Arial" w:hAnsi="Arial" w:cs="Arial"/>
        </w:rPr>
        <w:t xml:space="preserve">Given the cumulative risk of infection with an indwelling, repetitively </w:t>
      </w:r>
      <w:proofErr w:type="gramStart"/>
      <w:r w:rsidR="00702C4E">
        <w:rPr>
          <w:rFonts w:ascii="Arial" w:hAnsi="Arial" w:cs="Arial"/>
        </w:rPr>
        <w:t>externally-accessed</w:t>
      </w:r>
      <w:proofErr w:type="gramEnd"/>
      <w:r w:rsidR="00702C4E">
        <w:rPr>
          <w:rFonts w:ascii="Arial" w:hAnsi="Arial" w:cs="Arial"/>
        </w:rPr>
        <w:t xml:space="preserve"> intrathecal catheter, we planned to administer IT MgSO</w:t>
      </w:r>
      <w:r w:rsidR="00702C4E" w:rsidRPr="00EA2418">
        <w:rPr>
          <w:rFonts w:ascii="Arial" w:hAnsi="Arial" w:cs="Arial"/>
          <w:vertAlign w:val="subscript"/>
        </w:rPr>
        <w:t xml:space="preserve">4 </w:t>
      </w:r>
      <w:r w:rsidR="00702C4E">
        <w:rPr>
          <w:rFonts w:ascii="Arial" w:hAnsi="Arial" w:cs="Arial"/>
        </w:rPr>
        <w:t xml:space="preserve">as a series of escalating slow boluses. </w:t>
      </w:r>
      <w:r w:rsidR="0038103E">
        <w:rPr>
          <w:rFonts w:ascii="Arial" w:hAnsi="Arial" w:cs="Arial"/>
        </w:rPr>
        <w:t xml:space="preserve">We set out to </w:t>
      </w:r>
      <w:r w:rsidRPr="00A65F5A">
        <w:rPr>
          <w:rFonts w:ascii="Arial" w:hAnsi="Arial" w:cs="Arial"/>
        </w:rPr>
        <w:t xml:space="preserve">double </w:t>
      </w:r>
      <w:r w:rsidR="0038103E">
        <w:rPr>
          <w:rFonts w:ascii="Arial" w:hAnsi="Arial" w:cs="Arial"/>
        </w:rPr>
        <w:t xml:space="preserve">the </w:t>
      </w:r>
      <w:r w:rsidRPr="00A65F5A">
        <w:rPr>
          <w:rFonts w:ascii="Arial" w:hAnsi="Arial" w:cs="Arial"/>
        </w:rPr>
        <w:t>MgSO</w:t>
      </w:r>
      <w:r w:rsidRPr="0038103E">
        <w:rPr>
          <w:rFonts w:ascii="Arial" w:hAnsi="Arial" w:cs="Arial"/>
          <w:vertAlign w:val="subscript"/>
        </w:rPr>
        <w:t>4</w:t>
      </w:r>
      <w:r w:rsidRPr="00A65F5A">
        <w:rPr>
          <w:rFonts w:ascii="Arial" w:hAnsi="Arial" w:cs="Arial"/>
        </w:rPr>
        <w:t xml:space="preserve"> dose</w:t>
      </w:r>
      <w:r w:rsidR="0038103E">
        <w:rPr>
          <w:rFonts w:ascii="Arial" w:hAnsi="Arial" w:cs="Arial"/>
        </w:rPr>
        <w:t xml:space="preserve"> administered</w:t>
      </w:r>
      <w:r w:rsidRPr="00A65F5A">
        <w:rPr>
          <w:rFonts w:ascii="Arial" w:hAnsi="Arial" w:cs="Arial"/>
        </w:rPr>
        <w:t xml:space="preserve"> </w:t>
      </w:r>
      <w:r w:rsidR="00581ACE">
        <w:rPr>
          <w:rFonts w:ascii="Arial" w:hAnsi="Arial" w:cs="Arial"/>
        </w:rPr>
        <w:t xml:space="preserve">(given as a slow push over 5 minutes with normal saline flush) </w:t>
      </w:r>
      <w:r w:rsidR="0038103E">
        <w:rPr>
          <w:rFonts w:ascii="Arial" w:hAnsi="Arial" w:cs="Arial"/>
        </w:rPr>
        <w:t>with</w:t>
      </w:r>
      <w:r w:rsidRPr="00A65F5A">
        <w:rPr>
          <w:rFonts w:ascii="Arial" w:hAnsi="Arial" w:cs="Arial"/>
        </w:rPr>
        <w:t xml:space="preserve"> successive</w:t>
      </w:r>
      <w:r w:rsidR="0038103E">
        <w:rPr>
          <w:rFonts w:ascii="Arial" w:hAnsi="Arial" w:cs="Arial"/>
        </w:rPr>
        <w:t xml:space="preserve"> doses every hour as tolerated: </w:t>
      </w:r>
    </w:p>
    <w:p w14:paraId="7A7A9989" w14:textId="77777777" w:rsidR="0038103E" w:rsidRPr="00A65F5A" w:rsidRDefault="0038103E" w:rsidP="00A65F5A">
      <w:pPr>
        <w:rPr>
          <w:rFonts w:ascii="Arial" w:hAnsi="Arial" w:cs="Arial"/>
        </w:rPr>
      </w:pPr>
    </w:p>
    <w:p w14:paraId="4C61109C" w14:textId="77777777" w:rsidR="00A65F5A" w:rsidRPr="00A65F5A" w:rsidRDefault="00A65F5A" w:rsidP="00A65F5A">
      <w:pPr>
        <w:rPr>
          <w:rFonts w:ascii="Arial" w:hAnsi="Arial" w:cs="Arial"/>
        </w:rPr>
      </w:pPr>
      <w:r w:rsidRPr="00A65F5A">
        <w:rPr>
          <w:rFonts w:ascii="Arial" w:hAnsi="Arial" w:cs="Arial"/>
        </w:rPr>
        <w:t>o</w:t>
      </w:r>
      <w:r w:rsidRPr="00A65F5A">
        <w:rPr>
          <w:rFonts w:ascii="Arial" w:hAnsi="Arial" w:cs="Arial"/>
        </w:rPr>
        <w:tab/>
        <w:t>1st dose 50 mg MgSO</w:t>
      </w:r>
      <w:r w:rsidRPr="0038103E">
        <w:rPr>
          <w:rFonts w:ascii="Arial" w:hAnsi="Arial" w:cs="Arial"/>
          <w:vertAlign w:val="subscript"/>
        </w:rPr>
        <w:t>4</w:t>
      </w:r>
      <w:r w:rsidRPr="00A65F5A">
        <w:rPr>
          <w:rFonts w:ascii="Arial" w:hAnsi="Arial" w:cs="Arial"/>
        </w:rPr>
        <w:t xml:space="preserve"> (0.2 mmol elemental Mg</w:t>
      </w:r>
      <w:r w:rsidRPr="0038103E">
        <w:rPr>
          <w:rFonts w:ascii="Arial" w:hAnsi="Arial" w:cs="Arial"/>
          <w:vertAlign w:val="superscript"/>
        </w:rPr>
        <w:t>++</w:t>
      </w:r>
      <w:r w:rsidRPr="00A65F5A">
        <w:rPr>
          <w:rFonts w:ascii="Arial" w:hAnsi="Arial" w:cs="Arial"/>
        </w:rPr>
        <w:t xml:space="preserve">) (3 ml of 16.7 mg/mL </w:t>
      </w:r>
      <w:r w:rsidR="0038103E" w:rsidRPr="0038103E">
        <w:rPr>
          <w:rFonts w:ascii="Arial" w:hAnsi="Arial" w:cs="Arial"/>
        </w:rPr>
        <w:t>MgSO</w:t>
      </w:r>
      <w:r w:rsidR="0038103E" w:rsidRPr="0038103E">
        <w:rPr>
          <w:rFonts w:ascii="Arial" w:hAnsi="Arial" w:cs="Arial"/>
          <w:vertAlign w:val="subscript"/>
        </w:rPr>
        <w:t>4</w:t>
      </w:r>
      <w:r w:rsidR="0038103E">
        <w:rPr>
          <w:rFonts w:ascii="Arial" w:hAnsi="Arial" w:cs="Arial"/>
          <w:vertAlign w:val="subscript"/>
        </w:rPr>
        <w:t xml:space="preserve"> </w:t>
      </w:r>
      <w:r w:rsidRPr="00A65F5A">
        <w:rPr>
          <w:rFonts w:ascii="Arial" w:hAnsi="Arial" w:cs="Arial"/>
        </w:rPr>
        <w:t>concentration)</w:t>
      </w:r>
      <w:r w:rsidR="00581ACE">
        <w:rPr>
          <w:rFonts w:ascii="Arial" w:hAnsi="Arial" w:cs="Arial"/>
        </w:rPr>
        <w:t xml:space="preserve"> </w:t>
      </w:r>
    </w:p>
    <w:p w14:paraId="42C7039E" w14:textId="77777777" w:rsidR="00A65F5A" w:rsidRPr="00A65F5A" w:rsidRDefault="00A65F5A" w:rsidP="00A65F5A">
      <w:pPr>
        <w:rPr>
          <w:rFonts w:ascii="Arial" w:hAnsi="Arial" w:cs="Arial"/>
        </w:rPr>
      </w:pPr>
      <w:r w:rsidRPr="00A65F5A">
        <w:rPr>
          <w:rFonts w:ascii="Arial" w:hAnsi="Arial" w:cs="Arial"/>
        </w:rPr>
        <w:t>o</w:t>
      </w:r>
      <w:r w:rsidRPr="00A65F5A">
        <w:rPr>
          <w:rFonts w:ascii="Arial" w:hAnsi="Arial" w:cs="Arial"/>
        </w:rPr>
        <w:tab/>
        <w:t xml:space="preserve">2nd dose 100 mg </w:t>
      </w:r>
      <w:r w:rsidR="0038103E" w:rsidRPr="0038103E">
        <w:rPr>
          <w:rFonts w:ascii="Arial" w:hAnsi="Arial" w:cs="Arial"/>
        </w:rPr>
        <w:t>MgSO</w:t>
      </w:r>
      <w:r w:rsidR="0038103E" w:rsidRPr="0038103E">
        <w:rPr>
          <w:rFonts w:ascii="Arial" w:hAnsi="Arial" w:cs="Arial"/>
          <w:vertAlign w:val="subscript"/>
        </w:rPr>
        <w:t>4</w:t>
      </w:r>
      <w:r w:rsidR="0038103E" w:rsidRPr="0038103E">
        <w:rPr>
          <w:rFonts w:ascii="Arial" w:hAnsi="Arial" w:cs="Arial"/>
        </w:rPr>
        <w:t xml:space="preserve"> </w:t>
      </w:r>
      <w:r w:rsidRPr="00A65F5A">
        <w:rPr>
          <w:rFonts w:ascii="Arial" w:hAnsi="Arial" w:cs="Arial"/>
        </w:rPr>
        <w:t xml:space="preserve">(0.4 mmol elemental </w:t>
      </w:r>
      <w:r w:rsidR="0038103E" w:rsidRPr="0038103E">
        <w:rPr>
          <w:rFonts w:ascii="Arial" w:hAnsi="Arial" w:cs="Arial"/>
        </w:rPr>
        <w:t>Mg</w:t>
      </w:r>
      <w:r w:rsidR="0038103E" w:rsidRPr="0038103E">
        <w:rPr>
          <w:rFonts w:ascii="Arial" w:hAnsi="Arial" w:cs="Arial"/>
          <w:vertAlign w:val="superscript"/>
        </w:rPr>
        <w:t>++</w:t>
      </w:r>
      <w:r w:rsidRPr="00A65F5A">
        <w:rPr>
          <w:rFonts w:ascii="Arial" w:hAnsi="Arial" w:cs="Arial"/>
        </w:rPr>
        <w:t xml:space="preserve">) (0.5 ml of 200 mg/mL </w:t>
      </w:r>
      <w:r w:rsidR="0038103E" w:rsidRPr="0038103E">
        <w:rPr>
          <w:rFonts w:ascii="Arial" w:hAnsi="Arial" w:cs="Arial"/>
        </w:rPr>
        <w:t>MgSO</w:t>
      </w:r>
      <w:r w:rsidR="0038103E" w:rsidRPr="0038103E">
        <w:rPr>
          <w:rFonts w:ascii="Arial" w:hAnsi="Arial" w:cs="Arial"/>
          <w:vertAlign w:val="subscript"/>
        </w:rPr>
        <w:t>4</w:t>
      </w:r>
      <w:r w:rsidR="0038103E">
        <w:rPr>
          <w:rFonts w:ascii="Arial" w:hAnsi="Arial" w:cs="Arial"/>
          <w:vertAlign w:val="subscript"/>
        </w:rPr>
        <w:t xml:space="preserve"> </w:t>
      </w:r>
      <w:r w:rsidRPr="00A65F5A">
        <w:rPr>
          <w:rFonts w:ascii="Arial" w:hAnsi="Arial" w:cs="Arial"/>
        </w:rPr>
        <w:t>concentration)</w:t>
      </w:r>
    </w:p>
    <w:p w14:paraId="67E2A128" w14:textId="77777777" w:rsidR="00A65F5A" w:rsidRPr="00A65F5A" w:rsidRDefault="00A65F5A" w:rsidP="00A65F5A">
      <w:pPr>
        <w:rPr>
          <w:rFonts w:ascii="Arial" w:hAnsi="Arial" w:cs="Arial"/>
        </w:rPr>
      </w:pPr>
      <w:r w:rsidRPr="00A65F5A">
        <w:rPr>
          <w:rFonts w:ascii="Arial" w:hAnsi="Arial" w:cs="Arial"/>
        </w:rPr>
        <w:t>o</w:t>
      </w:r>
      <w:r w:rsidRPr="00A65F5A">
        <w:rPr>
          <w:rFonts w:ascii="Arial" w:hAnsi="Arial" w:cs="Arial"/>
        </w:rPr>
        <w:tab/>
        <w:t xml:space="preserve">3rd dose 200 mg </w:t>
      </w:r>
      <w:r w:rsidR="0038103E" w:rsidRPr="0038103E">
        <w:rPr>
          <w:rFonts w:ascii="Arial" w:hAnsi="Arial" w:cs="Arial"/>
        </w:rPr>
        <w:t>MgSO</w:t>
      </w:r>
      <w:r w:rsidR="0038103E" w:rsidRPr="0038103E">
        <w:rPr>
          <w:rFonts w:ascii="Arial" w:hAnsi="Arial" w:cs="Arial"/>
          <w:vertAlign w:val="subscript"/>
        </w:rPr>
        <w:t>4</w:t>
      </w:r>
      <w:r w:rsidR="0038103E" w:rsidRPr="0038103E">
        <w:rPr>
          <w:rFonts w:ascii="Arial" w:hAnsi="Arial" w:cs="Arial"/>
        </w:rPr>
        <w:t xml:space="preserve"> </w:t>
      </w:r>
      <w:r w:rsidRPr="00A65F5A">
        <w:rPr>
          <w:rFonts w:ascii="Arial" w:hAnsi="Arial" w:cs="Arial"/>
        </w:rPr>
        <w:t xml:space="preserve">(0.8 mmol elemental </w:t>
      </w:r>
      <w:r w:rsidR="0038103E" w:rsidRPr="0038103E">
        <w:rPr>
          <w:rFonts w:ascii="Arial" w:hAnsi="Arial" w:cs="Arial"/>
        </w:rPr>
        <w:t>Mg</w:t>
      </w:r>
      <w:r w:rsidR="0038103E" w:rsidRPr="0038103E">
        <w:rPr>
          <w:rFonts w:ascii="Arial" w:hAnsi="Arial" w:cs="Arial"/>
          <w:vertAlign w:val="superscript"/>
        </w:rPr>
        <w:t>++</w:t>
      </w:r>
      <w:r w:rsidRPr="00A65F5A">
        <w:rPr>
          <w:rFonts w:ascii="Arial" w:hAnsi="Arial" w:cs="Arial"/>
        </w:rPr>
        <w:t xml:space="preserve">) (1 ml of 200 mg/mL </w:t>
      </w:r>
      <w:r w:rsidR="0038103E" w:rsidRPr="0038103E">
        <w:rPr>
          <w:rFonts w:ascii="Arial" w:hAnsi="Arial" w:cs="Arial"/>
        </w:rPr>
        <w:t>MgSO</w:t>
      </w:r>
      <w:r w:rsidR="0038103E" w:rsidRPr="0038103E">
        <w:rPr>
          <w:rFonts w:ascii="Arial" w:hAnsi="Arial" w:cs="Arial"/>
          <w:vertAlign w:val="subscript"/>
        </w:rPr>
        <w:t>4</w:t>
      </w:r>
      <w:r w:rsidR="0038103E">
        <w:rPr>
          <w:rFonts w:ascii="Arial" w:hAnsi="Arial" w:cs="Arial"/>
          <w:vertAlign w:val="subscript"/>
        </w:rPr>
        <w:t xml:space="preserve"> </w:t>
      </w:r>
      <w:r w:rsidRPr="00A65F5A">
        <w:rPr>
          <w:rFonts w:ascii="Arial" w:hAnsi="Arial" w:cs="Arial"/>
        </w:rPr>
        <w:t>concentration)</w:t>
      </w:r>
    </w:p>
    <w:p w14:paraId="7C4D76C9" w14:textId="77777777" w:rsidR="00A65F5A" w:rsidRPr="00A65F5A" w:rsidRDefault="00A65F5A" w:rsidP="00A65F5A">
      <w:pPr>
        <w:rPr>
          <w:rFonts w:ascii="Arial" w:hAnsi="Arial" w:cs="Arial"/>
        </w:rPr>
      </w:pPr>
      <w:r w:rsidRPr="00A65F5A">
        <w:rPr>
          <w:rFonts w:ascii="Arial" w:hAnsi="Arial" w:cs="Arial"/>
        </w:rPr>
        <w:t>o</w:t>
      </w:r>
      <w:r w:rsidRPr="00A65F5A">
        <w:rPr>
          <w:rFonts w:ascii="Arial" w:hAnsi="Arial" w:cs="Arial"/>
        </w:rPr>
        <w:tab/>
        <w:t xml:space="preserve">4th dose 300 mg </w:t>
      </w:r>
      <w:r w:rsidR="0038103E" w:rsidRPr="0038103E">
        <w:rPr>
          <w:rFonts w:ascii="Arial" w:hAnsi="Arial" w:cs="Arial"/>
        </w:rPr>
        <w:t>MgSO</w:t>
      </w:r>
      <w:r w:rsidR="0038103E" w:rsidRPr="0038103E">
        <w:rPr>
          <w:rFonts w:ascii="Arial" w:hAnsi="Arial" w:cs="Arial"/>
          <w:vertAlign w:val="subscript"/>
        </w:rPr>
        <w:t>4</w:t>
      </w:r>
      <w:r w:rsidR="0038103E" w:rsidRPr="0038103E">
        <w:rPr>
          <w:rFonts w:ascii="Arial" w:hAnsi="Arial" w:cs="Arial"/>
        </w:rPr>
        <w:t xml:space="preserve"> </w:t>
      </w:r>
      <w:r w:rsidRPr="00A65F5A">
        <w:rPr>
          <w:rFonts w:ascii="Arial" w:hAnsi="Arial" w:cs="Arial"/>
        </w:rPr>
        <w:t xml:space="preserve">(1.2 mmol elemental </w:t>
      </w:r>
      <w:r w:rsidR="0038103E" w:rsidRPr="0038103E">
        <w:rPr>
          <w:rFonts w:ascii="Arial" w:hAnsi="Arial" w:cs="Arial"/>
        </w:rPr>
        <w:t>Mg</w:t>
      </w:r>
      <w:r w:rsidR="0038103E" w:rsidRPr="0038103E">
        <w:rPr>
          <w:rFonts w:ascii="Arial" w:hAnsi="Arial" w:cs="Arial"/>
          <w:vertAlign w:val="superscript"/>
        </w:rPr>
        <w:t>++</w:t>
      </w:r>
      <w:r w:rsidRPr="00A65F5A">
        <w:rPr>
          <w:rFonts w:ascii="Arial" w:hAnsi="Arial" w:cs="Arial"/>
        </w:rPr>
        <w:t xml:space="preserve">) (1.5 ml of 200 mg/mL </w:t>
      </w:r>
      <w:r w:rsidR="0038103E" w:rsidRPr="0038103E">
        <w:rPr>
          <w:rFonts w:ascii="Arial" w:hAnsi="Arial" w:cs="Arial"/>
        </w:rPr>
        <w:t>MgSO</w:t>
      </w:r>
      <w:r w:rsidR="0038103E" w:rsidRPr="0038103E">
        <w:rPr>
          <w:rFonts w:ascii="Arial" w:hAnsi="Arial" w:cs="Arial"/>
          <w:vertAlign w:val="subscript"/>
        </w:rPr>
        <w:t>4</w:t>
      </w:r>
      <w:r w:rsidR="0038103E">
        <w:rPr>
          <w:rFonts w:ascii="Arial" w:hAnsi="Arial" w:cs="Arial"/>
          <w:vertAlign w:val="subscript"/>
        </w:rPr>
        <w:t xml:space="preserve"> </w:t>
      </w:r>
      <w:r w:rsidRPr="00A65F5A">
        <w:rPr>
          <w:rFonts w:ascii="Arial" w:hAnsi="Arial" w:cs="Arial"/>
        </w:rPr>
        <w:t>concentration)</w:t>
      </w:r>
    </w:p>
    <w:p w14:paraId="42D2F581" w14:textId="77777777" w:rsidR="00A65F5A" w:rsidRPr="00A65F5A" w:rsidRDefault="00A65F5A" w:rsidP="00A65F5A">
      <w:pPr>
        <w:rPr>
          <w:rFonts w:ascii="Arial" w:hAnsi="Arial" w:cs="Arial"/>
        </w:rPr>
      </w:pPr>
      <w:r w:rsidRPr="00A65F5A">
        <w:rPr>
          <w:rFonts w:ascii="Arial" w:hAnsi="Arial" w:cs="Arial"/>
        </w:rPr>
        <w:t>o</w:t>
      </w:r>
      <w:r w:rsidRPr="00A65F5A">
        <w:rPr>
          <w:rFonts w:ascii="Arial" w:hAnsi="Arial" w:cs="Arial"/>
        </w:rPr>
        <w:tab/>
        <w:t xml:space="preserve">5th dose 400 mg </w:t>
      </w:r>
      <w:r w:rsidR="0038103E" w:rsidRPr="0038103E">
        <w:rPr>
          <w:rFonts w:ascii="Arial" w:hAnsi="Arial" w:cs="Arial"/>
        </w:rPr>
        <w:t>MgSO</w:t>
      </w:r>
      <w:r w:rsidR="0038103E" w:rsidRPr="0038103E">
        <w:rPr>
          <w:rFonts w:ascii="Arial" w:hAnsi="Arial" w:cs="Arial"/>
          <w:vertAlign w:val="subscript"/>
        </w:rPr>
        <w:t>4</w:t>
      </w:r>
      <w:r w:rsidR="0038103E" w:rsidRPr="0038103E">
        <w:rPr>
          <w:rFonts w:ascii="Arial" w:hAnsi="Arial" w:cs="Arial"/>
        </w:rPr>
        <w:t xml:space="preserve"> </w:t>
      </w:r>
      <w:r w:rsidRPr="00A65F5A">
        <w:rPr>
          <w:rFonts w:ascii="Arial" w:hAnsi="Arial" w:cs="Arial"/>
        </w:rPr>
        <w:t xml:space="preserve">(1.6 mmol elemental </w:t>
      </w:r>
      <w:r w:rsidR="0038103E" w:rsidRPr="0038103E">
        <w:rPr>
          <w:rFonts w:ascii="Arial" w:hAnsi="Arial" w:cs="Arial"/>
        </w:rPr>
        <w:t>Mg</w:t>
      </w:r>
      <w:r w:rsidR="0038103E" w:rsidRPr="0038103E">
        <w:rPr>
          <w:rFonts w:ascii="Arial" w:hAnsi="Arial" w:cs="Arial"/>
          <w:vertAlign w:val="superscript"/>
        </w:rPr>
        <w:t>++</w:t>
      </w:r>
      <w:r w:rsidRPr="00A65F5A">
        <w:rPr>
          <w:rFonts w:ascii="Arial" w:hAnsi="Arial" w:cs="Arial"/>
        </w:rPr>
        <w:t xml:space="preserve">) (2 ml of 200 mg/mL </w:t>
      </w:r>
      <w:r w:rsidR="0038103E" w:rsidRPr="0038103E">
        <w:rPr>
          <w:rFonts w:ascii="Arial" w:hAnsi="Arial" w:cs="Arial"/>
        </w:rPr>
        <w:t>MgSO</w:t>
      </w:r>
      <w:r w:rsidR="0038103E" w:rsidRPr="0038103E">
        <w:rPr>
          <w:rFonts w:ascii="Arial" w:hAnsi="Arial" w:cs="Arial"/>
          <w:vertAlign w:val="subscript"/>
        </w:rPr>
        <w:t>4</w:t>
      </w:r>
      <w:r w:rsidR="0038103E">
        <w:rPr>
          <w:rFonts w:ascii="Arial" w:hAnsi="Arial" w:cs="Arial"/>
          <w:vertAlign w:val="subscript"/>
        </w:rPr>
        <w:t xml:space="preserve"> </w:t>
      </w:r>
      <w:r w:rsidRPr="00A65F5A">
        <w:rPr>
          <w:rFonts w:ascii="Arial" w:hAnsi="Arial" w:cs="Arial"/>
        </w:rPr>
        <w:t>concentration)</w:t>
      </w:r>
    </w:p>
    <w:p w14:paraId="322132B3" w14:textId="77777777" w:rsidR="007C7C46" w:rsidRDefault="007C7C46" w:rsidP="007C7C46">
      <w:pPr>
        <w:ind w:firstLine="720"/>
        <w:rPr>
          <w:rFonts w:ascii="Arial" w:hAnsi="Arial" w:cs="Arial"/>
        </w:rPr>
      </w:pPr>
      <w:r>
        <w:rPr>
          <w:rFonts w:ascii="Arial" w:hAnsi="Arial" w:cs="Arial"/>
        </w:rPr>
        <w:t xml:space="preserve">* </w:t>
      </w:r>
      <w:r w:rsidR="0038103E">
        <w:rPr>
          <w:rFonts w:ascii="Arial" w:hAnsi="Arial" w:cs="Arial"/>
        </w:rPr>
        <w:t>Anticipated t</w:t>
      </w:r>
      <w:r w:rsidR="00A65F5A" w:rsidRPr="00A65F5A">
        <w:rPr>
          <w:rFonts w:ascii="Arial" w:hAnsi="Arial" w:cs="Arial"/>
        </w:rPr>
        <w:t>otal c</w:t>
      </w:r>
      <w:r w:rsidR="0038103E">
        <w:rPr>
          <w:rFonts w:ascii="Arial" w:hAnsi="Arial" w:cs="Arial"/>
        </w:rPr>
        <w:t xml:space="preserve">umulative dose at trial completion  = </w:t>
      </w:r>
    </w:p>
    <w:p w14:paraId="3EA2D8E4" w14:textId="77777777" w:rsidR="007C7C46" w:rsidRPr="00A65F5A" w:rsidRDefault="0038103E" w:rsidP="007C7C46">
      <w:pPr>
        <w:ind w:firstLine="720"/>
        <w:rPr>
          <w:rFonts w:ascii="Arial" w:hAnsi="Arial" w:cs="Arial"/>
        </w:rPr>
      </w:pPr>
      <w:r>
        <w:rPr>
          <w:rFonts w:ascii="Arial" w:hAnsi="Arial" w:cs="Arial"/>
        </w:rPr>
        <w:t>10</w:t>
      </w:r>
      <w:r w:rsidR="00A65F5A" w:rsidRPr="00A65F5A">
        <w:rPr>
          <w:rFonts w:ascii="Arial" w:hAnsi="Arial" w:cs="Arial"/>
        </w:rPr>
        <w:t>50 mg MgSO</w:t>
      </w:r>
      <w:r w:rsidR="00A65F5A" w:rsidRPr="0038103E">
        <w:rPr>
          <w:rFonts w:ascii="Arial" w:hAnsi="Arial" w:cs="Arial"/>
          <w:vertAlign w:val="subscript"/>
        </w:rPr>
        <w:t>4</w:t>
      </w:r>
      <w:r>
        <w:rPr>
          <w:rFonts w:ascii="Arial" w:hAnsi="Arial" w:cs="Arial"/>
        </w:rPr>
        <w:t xml:space="preserve"> (4.2</w:t>
      </w:r>
      <w:r w:rsidR="00A65F5A" w:rsidRPr="00A65F5A">
        <w:rPr>
          <w:rFonts w:ascii="Arial" w:hAnsi="Arial" w:cs="Arial"/>
        </w:rPr>
        <w:t xml:space="preserve"> mmol elemental Mg</w:t>
      </w:r>
      <w:r w:rsidR="00A65F5A" w:rsidRPr="0038103E">
        <w:rPr>
          <w:rFonts w:ascii="Arial" w:hAnsi="Arial" w:cs="Arial"/>
          <w:vertAlign w:val="superscript"/>
        </w:rPr>
        <w:t>++</w:t>
      </w:r>
      <w:r w:rsidR="00A65F5A" w:rsidRPr="00A65F5A">
        <w:rPr>
          <w:rFonts w:ascii="Arial" w:hAnsi="Arial" w:cs="Arial"/>
        </w:rPr>
        <w:t>)</w:t>
      </w:r>
    </w:p>
    <w:p w14:paraId="086770D5" w14:textId="77777777" w:rsidR="00A65F5A" w:rsidRPr="00A65F5A" w:rsidRDefault="00A65F5A" w:rsidP="00A65F5A">
      <w:pPr>
        <w:rPr>
          <w:rFonts w:ascii="Arial" w:hAnsi="Arial" w:cs="Arial"/>
        </w:rPr>
      </w:pPr>
    </w:p>
    <w:p w14:paraId="0360523B" w14:textId="77777777" w:rsidR="00A65F5A" w:rsidRPr="00A65F5A" w:rsidRDefault="0038103E" w:rsidP="0038103E">
      <w:pPr>
        <w:ind w:firstLine="720"/>
        <w:rPr>
          <w:rFonts w:ascii="Arial" w:hAnsi="Arial" w:cs="Arial"/>
        </w:rPr>
      </w:pPr>
      <w:r>
        <w:rPr>
          <w:rFonts w:ascii="Arial" w:hAnsi="Arial" w:cs="Arial"/>
        </w:rPr>
        <w:t>Safety measures taken include</w:t>
      </w:r>
      <w:r w:rsidR="00E21E3E">
        <w:rPr>
          <w:rFonts w:ascii="Arial" w:hAnsi="Arial" w:cs="Arial"/>
        </w:rPr>
        <w:t>d</w:t>
      </w:r>
      <w:r>
        <w:rPr>
          <w:rFonts w:ascii="Arial" w:hAnsi="Arial" w:cs="Arial"/>
        </w:rPr>
        <w:t xml:space="preserve"> continuous </w:t>
      </w:r>
      <w:r w:rsidR="00A65F5A" w:rsidRPr="00A65F5A">
        <w:rPr>
          <w:rFonts w:ascii="Arial" w:hAnsi="Arial" w:cs="Arial"/>
        </w:rPr>
        <w:t xml:space="preserve">5 lead monitoring </w:t>
      </w:r>
      <w:proofErr w:type="gramStart"/>
      <w:r w:rsidR="00A65F5A" w:rsidRPr="00A65F5A">
        <w:rPr>
          <w:rFonts w:ascii="Arial" w:hAnsi="Arial" w:cs="Arial"/>
        </w:rPr>
        <w:t>during the course of</w:t>
      </w:r>
      <w:proofErr w:type="gramEnd"/>
      <w:r w:rsidR="00A65F5A" w:rsidRPr="00A65F5A">
        <w:rPr>
          <w:rFonts w:ascii="Arial" w:hAnsi="Arial" w:cs="Arial"/>
        </w:rPr>
        <w:t xml:space="preserve"> </w:t>
      </w:r>
      <w:r>
        <w:rPr>
          <w:rFonts w:ascii="Arial" w:hAnsi="Arial" w:cs="Arial"/>
        </w:rPr>
        <w:t xml:space="preserve">the </w:t>
      </w:r>
      <w:r w:rsidR="00A65F5A" w:rsidRPr="00A65F5A">
        <w:rPr>
          <w:rFonts w:ascii="Arial" w:hAnsi="Arial" w:cs="Arial"/>
        </w:rPr>
        <w:t>infusion trial</w:t>
      </w:r>
      <w:r>
        <w:rPr>
          <w:rFonts w:ascii="Arial" w:hAnsi="Arial" w:cs="Arial"/>
        </w:rPr>
        <w:t xml:space="preserve">. </w:t>
      </w:r>
      <w:r w:rsidR="00581ACE" w:rsidRPr="00581ACE">
        <w:rPr>
          <w:rFonts w:ascii="Arial" w:hAnsi="Arial" w:cs="Arial"/>
        </w:rPr>
        <w:t xml:space="preserve">Both clinical response and neurophysiologic variables were assessed while carefully monitoring cardiovascular tolerance. Prior to each bolus administration, serum was sampled via an intravenous peripherally inserted central catheter and CSF was sampled via IT catheter. </w:t>
      </w:r>
      <w:r w:rsidR="00A65F5A" w:rsidRPr="00A65F5A">
        <w:rPr>
          <w:rFonts w:ascii="Arial" w:hAnsi="Arial" w:cs="Arial"/>
        </w:rPr>
        <w:t xml:space="preserve">Serum magnesium </w:t>
      </w:r>
      <w:r>
        <w:rPr>
          <w:rFonts w:ascii="Arial" w:hAnsi="Arial" w:cs="Arial"/>
        </w:rPr>
        <w:t xml:space="preserve">goals were </w:t>
      </w:r>
      <w:r w:rsidR="00A65F5A" w:rsidRPr="00A65F5A">
        <w:rPr>
          <w:rFonts w:ascii="Arial" w:hAnsi="Arial" w:cs="Arial"/>
        </w:rPr>
        <w:t>&lt;3 mg/dL</w:t>
      </w:r>
      <w:r>
        <w:rPr>
          <w:rFonts w:ascii="Arial" w:hAnsi="Arial" w:cs="Arial"/>
        </w:rPr>
        <w:t>. As a precaution, team members were briefed on possible adverse effects of hypermagnesemia (a</w:t>
      </w:r>
      <w:r w:rsidR="00A65F5A" w:rsidRPr="00A65F5A">
        <w:rPr>
          <w:rFonts w:ascii="Arial" w:hAnsi="Arial" w:cs="Arial"/>
        </w:rPr>
        <w:t>t concentrations of 6-12 mg/dL (2.5 to 5 mmol/L) prolongation of PR, widening of QRS, and increased T-wave amplitude</w:t>
      </w:r>
      <w:r w:rsidR="00581ACE">
        <w:rPr>
          <w:rFonts w:ascii="Arial" w:hAnsi="Arial" w:cs="Arial"/>
        </w:rPr>
        <w:t xml:space="preserve"> on ECG; c</w:t>
      </w:r>
      <w:r w:rsidR="00A65F5A" w:rsidRPr="00A65F5A">
        <w:rPr>
          <w:rFonts w:ascii="Arial" w:hAnsi="Arial" w:cs="Arial"/>
        </w:rPr>
        <w:t xml:space="preserve">ardiac arrest may occur when blood magnesium concentration is &gt; 15 mg/dL (6.0 to 7.5 mmol/L). </w:t>
      </w:r>
    </w:p>
    <w:p w14:paraId="213F536A" w14:textId="77777777" w:rsidR="00A65F5A" w:rsidRPr="00A65F5A" w:rsidRDefault="00A65F5A" w:rsidP="00A65F5A">
      <w:pPr>
        <w:rPr>
          <w:rFonts w:ascii="Arial" w:hAnsi="Arial" w:cs="Arial"/>
        </w:rPr>
      </w:pPr>
    </w:p>
    <w:p w14:paraId="156FC2E8" w14:textId="77777777" w:rsidR="00A65F5A" w:rsidRPr="00A65F5A" w:rsidRDefault="00A65F5A" w:rsidP="00A65F5A">
      <w:pPr>
        <w:rPr>
          <w:rFonts w:ascii="Arial" w:hAnsi="Arial" w:cs="Arial"/>
        </w:rPr>
      </w:pPr>
      <w:r w:rsidRPr="00A65F5A">
        <w:rPr>
          <w:rFonts w:ascii="Arial" w:hAnsi="Arial" w:cs="Arial"/>
        </w:rPr>
        <w:t xml:space="preserve">PRN medications </w:t>
      </w:r>
    </w:p>
    <w:p w14:paraId="7B94F700" w14:textId="77777777" w:rsidR="00A65F5A" w:rsidRPr="00A65F5A" w:rsidRDefault="00A65F5A" w:rsidP="00A65F5A">
      <w:pPr>
        <w:rPr>
          <w:rFonts w:ascii="Arial" w:hAnsi="Arial" w:cs="Arial"/>
        </w:rPr>
      </w:pPr>
      <w:r w:rsidRPr="00A65F5A">
        <w:rPr>
          <w:rFonts w:ascii="Arial" w:hAnsi="Arial" w:cs="Arial"/>
        </w:rPr>
        <w:t>- IV calcium gluconate 100 mg/kg PRN to counteract effects of hypermagnesemia</w:t>
      </w:r>
    </w:p>
    <w:p w14:paraId="1CD4A819" w14:textId="77777777" w:rsidR="00A65F5A" w:rsidRPr="00A65F5A" w:rsidRDefault="00A65F5A" w:rsidP="00A65F5A">
      <w:pPr>
        <w:rPr>
          <w:rFonts w:ascii="Arial" w:hAnsi="Arial" w:cs="Arial"/>
        </w:rPr>
      </w:pPr>
      <w:r w:rsidRPr="00A65F5A">
        <w:rPr>
          <w:rFonts w:ascii="Arial" w:hAnsi="Arial" w:cs="Arial"/>
        </w:rPr>
        <w:t>- IV furosemide 1 mg/kg plus NS bolus 20 ml/kg as a “flush”</w:t>
      </w:r>
    </w:p>
    <w:p w14:paraId="25418C8B" w14:textId="77777777" w:rsidR="00A65F5A" w:rsidRPr="00A65F5A" w:rsidRDefault="00A65F5A" w:rsidP="00A65F5A">
      <w:pPr>
        <w:rPr>
          <w:rFonts w:ascii="Arial" w:hAnsi="Arial" w:cs="Arial"/>
        </w:rPr>
      </w:pPr>
      <w:r w:rsidRPr="00A65F5A">
        <w:rPr>
          <w:rFonts w:ascii="Arial" w:hAnsi="Arial" w:cs="Arial"/>
        </w:rPr>
        <w:t xml:space="preserve">- IV physostigmine 0.5 to 1 mg PRN </w:t>
      </w:r>
    </w:p>
    <w:p w14:paraId="5EB97295" w14:textId="77777777" w:rsidR="00A65F5A" w:rsidRDefault="00A65F5A" w:rsidP="00661E73">
      <w:pPr>
        <w:rPr>
          <w:rFonts w:ascii="Arial" w:hAnsi="Arial" w:cs="Arial"/>
          <w:b/>
        </w:rPr>
      </w:pPr>
    </w:p>
    <w:p w14:paraId="0B6D9FEA" w14:textId="081C9C2E" w:rsidR="00661E73" w:rsidRDefault="00661E73" w:rsidP="00661E73">
      <w:pPr>
        <w:rPr>
          <w:rFonts w:ascii="Arial" w:hAnsi="Arial" w:cs="Arial"/>
        </w:rPr>
      </w:pPr>
      <w:r w:rsidRPr="00661E73">
        <w:rPr>
          <w:rFonts w:ascii="Arial" w:hAnsi="Arial" w:cs="Arial"/>
          <w:b/>
        </w:rPr>
        <w:tab/>
      </w:r>
      <w:r w:rsidRPr="00661E73">
        <w:rPr>
          <w:rFonts w:ascii="Arial" w:hAnsi="Arial" w:cs="Arial"/>
        </w:rPr>
        <w:t>The patient tolerated infusions well until the second administration of 400 mg IT MgSO</w:t>
      </w:r>
      <w:r w:rsidRPr="00661E73">
        <w:rPr>
          <w:rFonts w:ascii="Arial" w:hAnsi="Arial" w:cs="Arial"/>
          <w:vertAlign w:val="subscript"/>
        </w:rPr>
        <w:t>4</w:t>
      </w:r>
      <w:r w:rsidRPr="00661E73">
        <w:rPr>
          <w:rFonts w:ascii="Arial" w:hAnsi="Arial" w:cs="Arial"/>
        </w:rPr>
        <w:t>. At this point, he developed hypotension (mean arterial pressure nadir = 35) and</w:t>
      </w:r>
      <w:r w:rsidR="00A50C7A">
        <w:rPr>
          <w:rFonts w:ascii="Arial" w:hAnsi="Arial" w:cs="Arial"/>
        </w:rPr>
        <w:t xml:space="preserve"> was given normal saline boluses</w:t>
      </w:r>
      <w:r w:rsidRPr="00661E73">
        <w:rPr>
          <w:rFonts w:ascii="Arial" w:hAnsi="Arial" w:cs="Arial"/>
        </w:rPr>
        <w:t xml:space="preserve"> </w:t>
      </w:r>
      <w:r w:rsidR="00A50C7A" w:rsidRPr="00A50C7A">
        <w:rPr>
          <w:rFonts w:ascii="Arial" w:hAnsi="Arial" w:cs="Arial"/>
        </w:rPr>
        <w:t>(40 ml/kg), calcium chloride (20 mg/kg)</w:t>
      </w:r>
      <w:r w:rsidR="00A50C7A">
        <w:rPr>
          <w:rFonts w:ascii="Arial" w:hAnsi="Arial" w:cs="Arial"/>
        </w:rPr>
        <w:t xml:space="preserve"> and</w:t>
      </w:r>
      <w:r w:rsidR="00A50C7A" w:rsidRPr="00A50C7A">
        <w:rPr>
          <w:rFonts w:ascii="Arial" w:hAnsi="Arial" w:cs="Arial"/>
        </w:rPr>
        <w:t xml:space="preserve"> </w:t>
      </w:r>
      <w:r w:rsidRPr="00661E73">
        <w:rPr>
          <w:rFonts w:ascii="Arial" w:hAnsi="Arial" w:cs="Arial"/>
        </w:rPr>
        <w:t xml:space="preserve">pressor support (phenylephrine infusion) was </w:t>
      </w:r>
      <w:r w:rsidR="00A50C7A">
        <w:rPr>
          <w:rFonts w:ascii="Arial" w:hAnsi="Arial" w:cs="Arial"/>
        </w:rPr>
        <w:t>initiated</w:t>
      </w:r>
      <w:r w:rsidRPr="00661E73">
        <w:rPr>
          <w:rFonts w:ascii="Arial" w:hAnsi="Arial" w:cs="Arial"/>
        </w:rPr>
        <w:t>. He re</w:t>
      </w:r>
      <w:r w:rsidR="00581ACE">
        <w:rPr>
          <w:rFonts w:ascii="Arial" w:hAnsi="Arial" w:cs="Arial"/>
        </w:rPr>
        <w:t>covered without further events and no additional MgSO</w:t>
      </w:r>
      <w:r w:rsidR="00581ACE" w:rsidRPr="00581ACE">
        <w:rPr>
          <w:rFonts w:ascii="Arial" w:hAnsi="Arial" w:cs="Arial"/>
          <w:vertAlign w:val="subscript"/>
        </w:rPr>
        <w:t>4</w:t>
      </w:r>
      <w:r w:rsidR="00581ACE">
        <w:rPr>
          <w:rFonts w:ascii="Arial" w:hAnsi="Arial" w:cs="Arial"/>
        </w:rPr>
        <w:t xml:space="preserve"> was given.</w:t>
      </w:r>
    </w:p>
    <w:p w14:paraId="4CA04AC8" w14:textId="3C61ABBB" w:rsidR="0081664E" w:rsidRDefault="0081664E" w:rsidP="00661E73">
      <w:pPr>
        <w:rPr>
          <w:rFonts w:ascii="Arial" w:hAnsi="Arial" w:cs="Arial"/>
        </w:rPr>
      </w:pPr>
    </w:p>
    <w:p w14:paraId="1B42CF01" w14:textId="725B6AE7" w:rsidR="00661E73" w:rsidRDefault="00581ACE" w:rsidP="00661E73">
      <w:pPr>
        <w:rPr>
          <w:rFonts w:ascii="Arial" w:hAnsi="Arial" w:cs="Arial"/>
        </w:rPr>
      </w:pPr>
      <w:r>
        <w:rPr>
          <w:rFonts w:ascii="Arial" w:hAnsi="Arial" w:cs="Arial"/>
          <w:b/>
        </w:rPr>
        <w:t>Day 3</w:t>
      </w:r>
      <w:r w:rsidR="00661E73" w:rsidRPr="00661E73">
        <w:rPr>
          <w:rFonts w:ascii="Arial" w:hAnsi="Arial" w:cs="Arial"/>
        </w:rPr>
        <w:tab/>
        <w:t>After the IT MgSO</w:t>
      </w:r>
      <w:r w:rsidR="00661E73" w:rsidRPr="00661E73">
        <w:rPr>
          <w:rFonts w:ascii="Arial" w:hAnsi="Arial" w:cs="Arial"/>
          <w:vertAlign w:val="subscript"/>
        </w:rPr>
        <w:t>4</w:t>
      </w:r>
      <w:r w:rsidR="00661E73" w:rsidRPr="00661E73">
        <w:rPr>
          <w:rFonts w:ascii="Arial" w:hAnsi="Arial" w:cs="Arial"/>
        </w:rPr>
        <w:t xml:space="preserve"> trial was successfully completed, an IV ketamine infusion trial was undertaken the next day (after a</w:t>
      </w:r>
      <w:r w:rsidR="000E161E">
        <w:rPr>
          <w:rFonts w:ascii="Arial" w:hAnsi="Arial" w:cs="Arial"/>
        </w:rPr>
        <w:t>n overnight</w:t>
      </w:r>
      <w:r w:rsidR="00661E73" w:rsidRPr="00661E73">
        <w:rPr>
          <w:rFonts w:ascii="Arial" w:hAnsi="Arial" w:cs="Arial"/>
        </w:rPr>
        <w:t xml:space="preserve"> washout</w:t>
      </w:r>
      <w:r w:rsidR="00702C4E">
        <w:rPr>
          <w:rFonts w:ascii="Arial" w:hAnsi="Arial" w:cs="Arial"/>
        </w:rPr>
        <w:t xml:space="preserve"> based on half-life calculations; see below</w:t>
      </w:r>
      <w:r w:rsidR="00661E73" w:rsidRPr="00661E73">
        <w:rPr>
          <w:rFonts w:ascii="Arial" w:hAnsi="Arial" w:cs="Arial"/>
        </w:rPr>
        <w:t xml:space="preserve">). Ketamine functions as </w:t>
      </w:r>
      <w:proofErr w:type="gramStart"/>
      <w:r w:rsidR="00661E73" w:rsidRPr="00661E73">
        <w:rPr>
          <w:rFonts w:ascii="Arial" w:hAnsi="Arial" w:cs="Arial"/>
        </w:rPr>
        <w:t>a</w:t>
      </w:r>
      <w:proofErr w:type="gramEnd"/>
      <w:r w:rsidR="00661E73" w:rsidRPr="00661E73">
        <w:rPr>
          <w:rFonts w:ascii="Arial" w:hAnsi="Arial" w:cs="Arial"/>
        </w:rPr>
        <w:t xml:space="preserve"> </w:t>
      </w:r>
      <w:r w:rsidR="00702C4E">
        <w:rPr>
          <w:rFonts w:ascii="Arial" w:hAnsi="Arial" w:cs="Arial"/>
        </w:rPr>
        <w:t>un</w:t>
      </w:r>
      <w:r w:rsidR="00661E73" w:rsidRPr="00661E73">
        <w:rPr>
          <w:rFonts w:ascii="Arial" w:hAnsi="Arial" w:cs="Arial"/>
        </w:rPr>
        <w:t>competitive NMDAR antagonist, binding to the receptor’s MK-801 site (PMID 23527166). Neurophysiologic data indicated a return to baseline function before the ketamine trial was initiated (data not shown). Ketamine was initiated at a dose of 5 mg (~0.5 mg/kg). Due to excessive sedation, inf</w:t>
      </w:r>
      <w:r w:rsidR="000E161E">
        <w:rPr>
          <w:rFonts w:ascii="Arial" w:hAnsi="Arial" w:cs="Arial"/>
        </w:rPr>
        <w:t xml:space="preserve">usion was discontinued. After a 2 hour and 19 minute </w:t>
      </w:r>
      <w:r w:rsidR="00661E73" w:rsidRPr="00661E73">
        <w:rPr>
          <w:rFonts w:ascii="Arial" w:hAnsi="Arial" w:cs="Arial"/>
        </w:rPr>
        <w:t xml:space="preserve">washout, continuous infusion of ketamine was then restarted at a lower rate (0.5 mg) and serially titrated to maximal tolerated dose (0.7 mg; determined by clinical sedation). </w:t>
      </w:r>
    </w:p>
    <w:p w14:paraId="6D0C28EF" w14:textId="77777777" w:rsidR="00581ACE" w:rsidRDefault="00581ACE" w:rsidP="00661E73">
      <w:pPr>
        <w:rPr>
          <w:rFonts w:ascii="Arial" w:hAnsi="Arial" w:cs="Arial"/>
        </w:rPr>
      </w:pPr>
    </w:p>
    <w:p w14:paraId="068B5549" w14:textId="77777777" w:rsidR="00581ACE" w:rsidRPr="00661E73" w:rsidRDefault="00581ACE" w:rsidP="00661E73">
      <w:pPr>
        <w:rPr>
          <w:rFonts w:ascii="Arial" w:hAnsi="Arial" w:cs="Arial"/>
        </w:rPr>
      </w:pPr>
      <w:r w:rsidRPr="00581ACE">
        <w:rPr>
          <w:rFonts w:ascii="Arial" w:hAnsi="Arial" w:cs="Arial"/>
          <w:b/>
        </w:rPr>
        <w:t>Day 4</w:t>
      </w:r>
      <w:r>
        <w:rPr>
          <w:rFonts w:ascii="Arial" w:hAnsi="Arial" w:cs="Arial"/>
        </w:rPr>
        <w:tab/>
        <w:t>The patient was observed for the morning, and discharged home somnolent but in good health.</w:t>
      </w:r>
    </w:p>
    <w:p w14:paraId="2A5379C2" w14:textId="77777777" w:rsidR="00661E73" w:rsidRDefault="00661E73" w:rsidP="00661E73">
      <w:pPr>
        <w:rPr>
          <w:rFonts w:ascii="Arial" w:hAnsi="Arial" w:cs="Arial"/>
        </w:rPr>
      </w:pPr>
    </w:p>
    <w:p w14:paraId="5F72CFB5" w14:textId="77777777" w:rsidR="007C7C46" w:rsidRPr="00661E73" w:rsidRDefault="007C7C46" w:rsidP="00661E73">
      <w:pPr>
        <w:rPr>
          <w:rFonts w:ascii="Arial" w:hAnsi="Arial" w:cs="Arial"/>
        </w:rPr>
      </w:pPr>
    </w:p>
    <w:p w14:paraId="5297307D" w14:textId="77777777" w:rsidR="00581ACE" w:rsidRDefault="00581ACE" w:rsidP="00661E73">
      <w:pPr>
        <w:rPr>
          <w:rFonts w:ascii="Arial" w:hAnsi="Arial" w:cs="Arial"/>
          <w:b/>
        </w:rPr>
      </w:pPr>
      <w:r>
        <w:rPr>
          <w:rFonts w:ascii="Arial" w:hAnsi="Arial" w:cs="Arial"/>
          <w:b/>
        </w:rPr>
        <w:t>INTRATHECAL MAGNESIUM ELIMINATION RATE</w:t>
      </w:r>
      <w:r>
        <w:rPr>
          <w:rFonts w:ascii="Arial" w:hAnsi="Arial" w:cs="Arial"/>
          <w:b/>
        </w:rPr>
        <w:tab/>
      </w:r>
    </w:p>
    <w:p w14:paraId="0D2C0E2B" w14:textId="77777777" w:rsidR="00581ACE" w:rsidRDefault="00581ACE" w:rsidP="00661E73">
      <w:pPr>
        <w:rPr>
          <w:rFonts w:ascii="Arial" w:hAnsi="Arial" w:cs="Arial"/>
          <w:b/>
        </w:rPr>
      </w:pPr>
    </w:p>
    <w:p w14:paraId="6E284A88" w14:textId="77777777" w:rsidR="00661E73" w:rsidRPr="00661E73" w:rsidRDefault="00661E73" w:rsidP="00581ACE">
      <w:pPr>
        <w:ind w:firstLine="720"/>
        <w:rPr>
          <w:rFonts w:ascii="Arial" w:hAnsi="Arial" w:cs="Arial"/>
        </w:rPr>
      </w:pPr>
      <w:r w:rsidRPr="00661E73">
        <w:rPr>
          <w:rFonts w:ascii="Arial" w:hAnsi="Arial" w:cs="Arial"/>
        </w:rPr>
        <w:lastRenderedPageBreak/>
        <w:t>A single-compartment, first-order model was established based on measureable, non-baseline concentrations to calculate the elimination rate. The point at which concentration returned to baseline was forward extrapolated based on time from previous doses, considered independently from clearance. Predicted peak and trough following each dose were calculated along with theoretical volume of distribution.</w:t>
      </w:r>
    </w:p>
    <w:p w14:paraId="1AC0251E" w14:textId="77777777" w:rsidR="00661E73" w:rsidRDefault="00661E73" w:rsidP="00661E73">
      <w:pPr>
        <w:rPr>
          <w:rFonts w:ascii="Arial" w:hAnsi="Arial" w:cs="Arial"/>
          <w:b/>
        </w:rPr>
      </w:pPr>
    </w:p>
    <w:p w14:paraId="585C9DFA" w14:textId="77777777" w:rsidR="007C7C46" w:rsidRPr="00581ACE" w:rsidRDefault="007C7C46" w:rsidP="00661E73">
      <w:pPr>
        <w:rPr>
          <w:rFonts w:ascii="Arial" w:hAnsi="Arial" w:cs="Arial"/>
          <w:b/>
        </w:rPr>
      </w:pPr>
    </w:p>
    <w:p w14:paraId="742574DB" w14:textId="77777777" w:rsidR="00661E73" w:rsidRPr="00581ACE" w:rsidRDefault="00581ACE" w:rsidP="00661E73">
      <w:pPr>
        <w:rPr>
          <w:rFonts w:ascii="Arial" w:hAnsi="Arial" w:cs="Arial"/>
          <w:b/>
        </w:rPr>
      </w:pPr>
      <w:r w:rsidRPr="00581ACE">
        <w:rPr>
          <w:rFonts w:ascii="Arial" w:hAnsi="Arial" w:cs="Arial"/>
          <w:b/>
        </w:rPr>
        <w:t>QUANTITATIVE EEG</w:t>
      </w:r>
    </w:p>
    <w:p w14:paraId="5C00EB1F" w14:textId="77777777" w:rsidR="00581ACE" w:rsidRPr="00661E73" w:rsidRDefault="00581ACE" w:rsidP="00661E73">
      <w:pPr>
        <w:rPr>
          <w:rFonts w:ascii="Arial" w:hAnsi="Arial" w:cs="Arial"/>
        </w:rPr>
      </w:pPr>
    </w:p>
    <w:p w14:paraId="2A48DDF4" w14:textId="77777777" w:rsidR="00661E73" w:rsidRDefault="00661E73" w:rsidP="00EF0608">
      <w:pPr>
        <w:ind w:firstLine="720"/>
        <w:rPr>
          <w:rFonts w:ascii="Arial" w:hAnsi="Arial" w:cs="Arial"/>
        </w:rPr>
      </w:pPr>
      <w:r w:rsidRPr="00661E73">
        <w:rPr>
          <w:rFonts w:ascii="Arial" w:hAnsi="Arial" w:cs="Arial"/>
        </w:rPr>
        <w:t>Quantitative EEG data was recorded for the patient and spike density, amplitude, complexity and Fast Fourier Transform (FFT) edge calculated using a whole brain region of interest. Spike density</w:t>
      </w:r>
      <w:r w:rsidR="00EF0608">
        <w:rPr>
          <w:rFonts w:ascii="Arial" w:hAnsi="Arial" w:cs="Arial"/>
        </w:rPr>
        <w:t xml:space="preserve">, amplitude, complexity and FFT Edge were calculated </w:t>
      </w:r>
      <w:r w:rsidR="000E161E">
        <w:rPr>
          <w:rFonts w:ascii="Arial" w:hAnsi="Arial" w:cs="Arial"/>
        </w:rPr>
        <w:t xml:space="preserve">using </w:t>
      </w:r>
      <w:proofErr w:type="spellStart"/>
      <w:r w:rsidR="000E161E">
        <w:rPr>
          <w:rFonts w:ascii="Arial" w:hAnsi="Arial" w:cs="Arial"/>
        </w:rPr>
        <w:t>Persyst</w:t>
      </w:r>
      <w:proofErr w:type="spellEnd"/>
      <w:r w:rsidR="000E161E">
        <w:rPr>
          <w:rFonts w:ascii="Arial" w:hAnsi="Arial" w:cs="Arial"/>
        </w:rPr>
        <w:t xml:space="preserve"> (PMID: </w:t>
      </w:r>
      <w:r w:rsidR="000E161E" w:rsidRPr="000E161E">
        <w:rPr>
          <w:rFonts w:ascii="Arial" w:hAnsi="Arial" w:cs="Arial"/>
        </w:rPr>
        <w:t>25046981</w:t>
      </w:r>
      <w:r w:rsidR="00EF0608">
        <w:rPr>
          <w:rFonts w:ascii="Arial" w:hAnsi="Arial" w:cs="Arial"/>
        </w:rPr>
        <w:t xml:space="preserve">). </w:t>
      </w:r>
    </w:p>
    <w:p w14:paraId="48779D60" w14:textId="77777777" w:rsidR="00581ACE" w:rsidRDefault="00581ACE" w:rsidP="00EF0608">
      <w:pPr>
        <w:ind w:firstLine="720"/>
        <w:rPr>
          <w:rFonts w:ascii="Arial" w:hAnsi="Arial" w:cs="Arial"/>
        </w:rPr>
      </w:pPr>
    </w:p>
    <w:p w14:paraId="2FDD4D82" w14:textId="77777777" w:rsidR="007C7C46" w:rsidRDefault="007C7C46" w:rsidP="00EF0608">
      <w:pPr>
        <w:ind w:firstLine="720"/>
        <w:rPr>
          <w:rFonts w:ascii="Arial" w:hAnsi="Arial" w:cs="Arial"/>
        </w:rPr>
      </w:pPr>
    </w:p>
    <w:p w14:paraId="57F341B4" w14:textId="77777777" w:rsidR="00581ACE" w:rsidRPr="00581ACE" w:rsidRDefault="00581ACE" w:rsidP="00581ACE">
      <w:pPr>
        <w:rPr>
          <w:rFonts w:ascii="Arial" w:hAnsi="Arial" w:cs="Arial"/>
          <w:b/>
        </w:rPr>
      </w:pPr>
      <w:r w:rsidRPr="00581ACE">
        <w:rPr>
          <w:rFonts w:ascii="Arial" w:hAnsi="Arial" w:cs="Arial"/>
          <w:b/>
        </w:rPr>
        <w:t>STATISTICAL ANALYSIS</w:t>
      </w:r>
    </w:p>
    <w:p w14:paraId="2A2C6930" w14:textId="77777777" w:rsidR="00661E73" w:rsidRPr="00661E73" w:rsidRDefault="00661E73" w:rsidP="00661E73">
      <w:pPr>
        <w:rPr>
          <w:rFonts w:ascii="Arial" w:hAnsi="Arial" w:cs="Arial"/>
        </w:rPr>
      </w:pPr>
    </w:p>
    <w:p w14:paraId="04CC2544" w14:textId="5CE2CB46" w:rsidR="007849AB" w:rsidRPr="00661E73" w:rsidRDefault="00702C4E" w:rsidP="00581ACE">
      <w:pPr>
        <w:ind w:firstLine="720"/>
        <w:rPr>
          <w:rFonts w:ascii="Arial" w:hAnsi="Arial" w:cs="Arial"/>
        </w:rPr>
      </w:pPr>
      <w:r>
        <w:rPr>
          <w:rFonts w:ascii="Arial" w:hAnsi="Arial" w:cs="Arial"/>
        </w:rPr>
        <w:t>Planned t</w:t>
      </w:r>
      <w:r w:rsidR="00661E73" w:rsidRPr="00661E73">
        <w:rPr>
          <w:rFonts w:ascii="Arial" w:hAnsi="Arial" w:cs="Arial"/>
        </w:rPr>
        <w:t>ime-matched epoch data was used to compare pre- and post-treatment values for the four EEG variables mentioned above. Data was analyzed in the context of escalating doses of magnesium and ketamine. Pre- and post-treatment mean values and fold change were further compared using paired t-tests assuming unequal variances</w:t>
      </w:r>
      <w:r w:rsidR="00EF0608">
        <w:rPr>
          <w:rFonts w:ascii="Arial" w:hAnsi="Arial" w:cs="Arial"/>
        </w:rPr>
        <w:t>, with significance set at p&lt;0.05</w:t>
      </w:r>
      <w:r w:rsidR="00661E73" w:rsidRPr="00661E73">
        <w:rPr>
          <w:rFonts w:ascii="Arial" w:hAnsi="Arial" w:cs="Arial"/>
        </w:rPr>
        <w:t xml:space="preserve">. For spike density, signal events with voltage &gt; 0 mV were considered a discrete event.  </w:t>
      </w:r>
    </w:p>
    <w:sectPr w:rsidR="007849AB" w:rsidRPr="00661E73" w:rsidSect="00DF7A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A08"/>
    <w:rsid w:val="000355C6"/>
    <w:rsid w:val="000E161E"/>
    <w:rsid w:val="001A2FF0"/>
    <w:rsid w:val="002B44BB"/>
    <w:rsid w:val="00343ED4"/>
    <w:rsid w:val="0038103E"/>
    <w:rsid w:val="004C3A08"/>
    <w:rsid w:val="0055549A"/>
    <w:rsid w:val="00581ACE"/>
    <w:rsid w:val="00661E73"/>
    <w:rsid w:val="00700F1F"/>
    <w:rsid w:val="00702C4E"/>
    <w:rsid w:val="007421D5"/>
    <w:rsid w:val="007849AB"/>
    <w:rsid w:val="007C7C46"/>
    <w:rsid w:val="0081664E"/>
    <w:rsid w:val="00A50C7A"/>
    <w:rsid w:val="00A65F5A"/>
    <w:rsid w:val="00D22888"/>
    <w:rsid w:val="00E21E3E"/>
    <w:rsid w:val="00EA2418"/>
    <w:rsid w:val="00EF0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511B1"/>
  <w15:chartTrackingRefBased/>
  <w15:docId w15:val="{5714BA2B-A924-4074-B48C-59CA3D3EC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1923</Words>
  <Characters>10967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Phoenix Children's Hospital</Company>
  <LinksUpToDate>false</LinksUpToDate>
  <CharactersWithSpaces>12865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Kruer, Michael</dc:creator>
  <cp:keywords/>
  <dc:description/>
  <cp:lastModifiedBy>Kruer, Michael</cp:lastModifiedBy>
  <cp:revision>2</cp:revision>
  <dcterms:created xsi:type="dcterms:W3CDTF">2022-07-14T17:26:00Z</dcterms:created>
  <dcterms:modified xsi:type="dcterms:W3CDTF">2022-07-14T17:26:00Z</dcterms:modified>
</cp:coreProperties>
</file>