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elraster"/>
        <w:tblW w:w="0" w:type="auto"/>
        <w:tblLook w:val="04A0" w:firstRow="1" w:lastRow="0" w:firstColumn="1" w:lastColumn="0" w:noHBand="0" w:noVBand="1"/>
      </w:tblPr>
      <w:tblGrid>
        <w:gridCol w:w="1554"/>
        <w:gridCol w:w="718"/>
        <w:gridCol w:w="1510"/>
        <w:gridCol w:w="952"/>
      </w:tblGrid>
      <w:tr w:rsidR="005A3BCA" w:rsidRPr="003E2C87" w:rsidTr="005A3BCA">
        <w:tc>
          <w:tcPr>
            <w:tcW w:w="1554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5A3BCA" w:rsidRPr="003E2C87" w:rsidRDefault="005A3BCA" w:rsidP="00FF402A">
            <w:pPr>
              <w:rPr>
                <w:lang w:val="en-GB"/>
              </w:rPr>
            </w:pPr>
          </w:p>
        </w:tc>
        <w:tc>
          <w:tcPr>
            <w:tcW w:w="3180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D0CECE" w:themeFill="background2" w:themeFillShade="E6"/>
            <w:vAlign w:val="center"/>
          </w:tcPr>
          <w:p w:rsidR="005A3BCA" w:rsidRPr="003E2C87" w:rsidRDefault="005A3BCA" w:rsidP="00FF402A">
            <w:pPr>
              <w:jc w:val="center"/>
              <w:rPr>
                <w:b/>
                <w:lang w:val="en-GB"/>
              </w:rPr>
            </w:pPr>
            <w:r>
              <w:rPr>
                <w:b/>
                <w:lang w:val="en-GB"/>
              </w:rPr>
              <w:t>MSI-status</w:t>
            </w:r>
          </w:p>
        </w:tc>
      </w:tr>
      <w:tr w:rsidR="005A3BCA" w:rsidRPr="003E2C87" w:rsidTr="005A3BCA">
        <w:tc>
          <w:tcPr>
            <w:tcW w:w="1554" w:type="dxa"/>
            <w:tcBorders>
              <w:top w:val="nil"/>
              <w:left w:val="nil"/>
              <w:right w:val="single" w:sz="4" w:space="0" w:color="auto"/>
            </w:tcBorders>
          </w:tcPr>
          <w:p w:rsidR="005A3BCA" w:rsidRPr="003E2C87" w:rsidRDefault="005A3BCA" w:rsidP="00FF402A">
            <w:pPr>
              <w:rPr>
                <w:lang w:val="en-GB"/>
              </w:rPr>
            </w:pPr>
          </w:p>
        </w:tc>
        <w:tc>
          <w:tcPr>
            <w:tcW w:w="718" w:type="dxa"/>
            <w:tcBorders>
              <w:top w:val="nil"/>
              <w:left w:val="single" w:sz="4" w:space="0" w:color="auto"/>
              <w:right w:val="nil"/>
            </w:tcBorders>
            <w:shd w:val="clear" w:color="auto" w:fill="D0CECE" w:themeFill="background2" w:themeFillShade="E6"/>
            <w:vAlign w:val="center"/>
          </w:tcPr>
          <w:p w:rsidR="005A3BCA" w:rsidRPr="003E2C87" w:rsidRDefault="005A3BCA" w:rsidP="00FF402A">
            <w:pPr>
              <w:jc w:val="center"/>
              <w:rPr>
                <w:i/>
                <w:lang w:val="en-GB"/>
              </w:rPr>
            </w:pPr>
            <w:r w:rsidRPr="003E2C87">
              <w:rPr>
                <w:i/>
                <w:lang w:val="en-GB"/>
              </w:rPr>
              <w:t>OR</w:t>
            </w:r>
          </w:p>
        </w:tc>
        <w:tc>
          <w:tcPr>
            <w:tcW w:w="1510" w:type="dxa"/>
            <w:tcBorders>
              <w:top w:val="nil"/>
              <w:left w:val="nil"/>
              <w:right w:val="nil"/>
            </w:tcBorders>
            <w:shd w:val="clear" w:color="auto" w:fill="D0CECE" w:themeFill="background2" w:themeFillShade="E6"/>
            <w:vAlign w:val="center"/>
          </w:tcPr>
          <w:p w:rsidR="005A3BCA" w:rsidRPr="003E2C87" w:rsidRDefault="005A3BCA" w:rsidP="00FF402A">
            <w:pPr>
              <w:jc w:val="center"/>
              <w:rPr>
                <w:i/>
                <w:lang w:val="en-GB"/>
              </w:rPr>
            </w:pPr>
            <w:r w:rsidRPr="003E2C87">
              <w:rPr>
                <w:i/>
                <w:lang w:val="en-GB"/>
              </w:rPr>
              <w:t>95% CI</w:t>
            </w:r>
          </w:p>
        </w:tc>
        <w:tc>
          <w:tcPr>
            <w:tcW w:w="952" w:type="dxa"/>
            <w:tcBorders>
              <w:top w:val="nil"/>
              <w:left w:val="nil"/>
              <w:right w:val="single" w:sz="4" w:space="0" w:color="auto"/>
            </w:tcBorders>
            <w:shd w:val="clear" w:color="auto" w:fill="D0CECE" w:themeFill="background2" w:themeFillShade="E6"/>
            <w:vAlign w:val="center"/>
          </w:tcPr>
          <w:p w:rsidR="005A3BCA" w:rsidRPr="003E2C87" w:rsidRDefault="005A3BCA" w:rsidP="00FF402A">
            <w:pPr>
              <w:jc w:val="center"/>
              <w:rPr>
                <w:i/>
                <w:lang w:val="en-GB"/>
              </w:rPr>
            </w:pPr>
            <w:r w:rsidRPr="003E2C87">
              <w:rPr>
                <w:i/>
                <w:lang w:val="en-GB"/>
              </w:rPr>
              <w:t>p-value</w:t>
            </w:r>
          </w:p>
        </w:tc>
      </w:tr>
      <w:tr w:rsidR="005A3BCA" w:rsidRPr="003E2C87" w:rsidTr="00FF402A">
        <w:tc>
          <w:tcPr>
            <w:tcW w:w="1554" w:type="dxa"/>
            <w:tcBorders>
              <w:left w:val="single" w:sz="4" w:space="0" w:color="auto"/>
              <w:right w:val="single" w:sz="4" w:space="0" w:color="auto"/>
            </w:tcBorders>
          </w:tcPr>
          <w:p w:rsidR="005A3BCA" w:rsidRPr="003E2C87" w:rsidRDefault="005A3BCA" w:rsidP="00FF402A">
            <w:pPr>
              <w:rPr>
                <w:b/>
                <w:lang w:val="en-GB"/>
              </w:rPr>
            </w:pPr>
            <w:r w:rsidRPr="003E2C87">
              <w:rPr>
                <w:b/>
                <w:lang w:val="en-GB"/>
              </w:rPr>
              <w:t>TILs</w:t>
            </w:r>
          </w:p>
          <w:p w:rsidR="005A3BCA" w:rsidRPr="003E2C87" w:rsidRDefault="005A3BCA" w:rsidP="00FF402A">
            <w:pPr>
              <w:rPr>
                <w:lang w:val="en-GB"/>
              </w:rPr>
            </w:pPr>
            <w:r w:rsidRPr="0081264F">
              <w:rPr>
                <w:sz w:val="20"/>
                <w:lang w:val="en-GB"/>
              </w:rPr>
              <w:t>High</w:t>
            </w:r>
            <w:r>
              <w:rPr>
                <w:sz w:val="20"/>
                <w:lang w:val="en-GB"/>
              </w:rPr>
              <w:t xml:space="preserve"> vs. Low</w:t>
            </w:r>
          </w:p>
        </w:tc>
        <w:tc>
          <w:tcPr>
            <w:tcW w:w="718" w:type="dxa"/>
            <w:tcBorders>
              <w:left w:val="single" w:sz="4" w:space="0" w:color="auto"/>
              <w:right w:val="nil"/>
            </w:tcBorders>
            <w:vAlign w:val="center"/>
          </w:tcPr>
          <w:p w:rsidR="005A3BCA" w:rsidRPr="003E2C87" w:rsidRDefault="005A3BCA" w:rsidP="00FF402A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6.571</w:t>
            </w:r>
          </w:p>
        </w:tc>
        <w:tc>
          <w:tcPr>
            <w:tcW w:w="1510" w:type="dxa"/>
            <w:tcBorders>
              <w:left w:val="nil"/>
              <w:right w:val="nil"/>
            </w:tcBorders>
            <w:vAlign w:val="center"/>
          </w:tcPr>
          <w:p w:rsidR="005A3BCA" w:rsidRPr="003E2C87" w:rsidRDefault="005A3BCA" w:rsidP="00FF402A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3.102-13.920</w:t>
            </w:r>
          </w:p>
        </w:tc>
        <w:tc>
          <w:tcPr>
            <w:tcW w:w="952" w:type="dxa"/>
            <w:tcBorders>
              <w:left w:val="nil"/>
            </w:tcBorders>
            <w:vAlign w:val="center"/>
          </w:tcPr>
          <w:p w:rsidR="005A3BCA" w:rsidRPr="003E2C87" w:rsidRDefault="005A3BCA" w:rsidP="00FF402A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&lt;0.001</w:t>
            </w:r>
          </w:p>
        </w:tc>
      </w:tr>
      <w:tr w:rsidR="005A3BCA" w:rsidRPr="003E2C87" w:rsidTr="00FF402A">
        <w:tc>
          <w:tcPr>
            <w:tcW w:w="1554" w:type="dxa"/>
            <w:tcBorders>
              <w:left w:val="single" w:sz="4" w:space="0" w:color="auto"/>
              <w:right w:val="single" w:sz="4" w:space="0" w:color="auto"/>
            </w:tcBorders>
          </w:tcPr>
          <w:p w:rsidR="005A3BCA" w:rsidRPr="003E2C87" w:rsidRDefault="005A3BCA" w:rsidP="00FF402A">
            <w:pPr>
              <w:rPr>
                <w:b/>
                <w:lang w:val="en-GB"/>
              </w:rPr>
            </w:pPr>
            <w:r w:rsidRPr="003E2C87">
              <w:rPr>
                <w:b/>
                <w:lang w:val="en-GB"/>
              </w:rPr>
              <w:t>Mucus</w:t>
            </w:r>
          </w:p>
          <w:p w:rsidR="005A3BCA" w:rsidRPr="003E2C87" w:rsidRDefault="005A3BCA" w:rsidP="00FF402A">
            <w:pPr>
              <w:rPr>
                <w:lang w:val="en-GB"/>
              </w:rPr>
            </w:pPr>
            <w:r>
              <w:rPr>
                <w:sz w:val="20"/>
                <w:lang w:val="en-GB"/>
              </w:rPr>
              <w:t>&gt;</w:t>
            </w:r>
            <w:r w:rsidRPr="0081264F">
              <w:rPr>
                <w:sz w:val="20"/>
                <w:lang w:val="en-GB"/>
              </w:rPr>
              <w:t>50% vs. ≤50%</w:t>
            </w:r>
          </w:p>
        </w:tc>
        <w:tc>
          <w:tcPr>
            <w:tcW w:w="718" w:type="dxa"/>
            <w:tcBorders>
              <w:left w:val="single" w:sz="4" w:space="0" w:color="auto"/>
              <w:right w:val="nil"/>
            </w:tcBorders>
            <w:vAlign w:val="center"/>
          </w:tcPr>
          <w:p w:rsidR="005A3BCA" w:rsidRPr="003E2C87" w:rsidRDefault="005A3BCA" w:rsidP="00FF402A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4.567</w:t>
            </w:r>
          </w:p>
        </w:tc>
        <w:tc>
          <w:tcPr>
            <w:tcW w:w="1510" w:type="dxa"/>
            <w:tcBorders>
              <w:left w:val="nil"/>
              <w:right w:val="nil"/>
            </w:tcBorders>
            <w:vAlign w:val="center"/>
          </w:tcPr>
          <w:p w:rsidR="005A3BCA" w:rsidRPr="003E2C87" w:rsidRDefault="005A3BCA" w:rsidP="00FF402A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1.789-11.655</w:t>
            </w:r>
          </w:p>
        </w:tc>
        <w:tc>
          <w:tcPr>
            <w:tcW w:w="952" w:type="dxa"/>
            <w:tcBorders>
              <w:left w:val="nil"/>
            </w:tcBorders>
            <w:vAlign w:val="center"/>
          </w:tcPr>
          <w:p w:rsidR="005A3BCA" w:rsidRPr="00D51E6B" w:rsidRDefault="005A3BCA" w:rsidP="00FF402A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0.001</w:t>
            </w:r>
          </w:p>
        </w:tc>
      </w:tr>
      <w:tr w:rsidR="005A3BCA" w:rsidRPr="003E2C87" w:rsidTr="00FF402A">
        <w:tc>
          <w:tcPr>
            <w:tcW w:w="1554" w:type="dxa"/>
            <w:tcBorders>
              <w:left w:val="single" w:sz="4" w:space="0" w:color="auto"/>
              <w:right w:val="single" w:sz="4" w:space="0" w:color="auto"/>
            </w:tcBorders>
          </w:tcPr>
          <w:p w:rsidR="005A3BCA" w:rsidRPr="003E2C87" w:rsidRDefault="005A3BCA" w:rsidP="00FF402A">
            <w:pPr>
              <w:rPr>
                <w:b/>
                <w:lang w:val="en-GB"/>
              </w:rPr>
            </w:pPr>
            <w:r w:rsidRPr="003E2C87">
              <w:rPr>
                <w:b/>
                <w:lang w:val="en-GB"/>
              </w:rPr>
              <w:t xml:space="preserve">Mucus </w:t>
            </w:r>
          </w:p>
          <w:p w:rsidR="005A3BCA" w:rsidRPr="003E2C87" w:rsidRDefault="005A3BCA" w:rsidP="00FF402A">
            <w:pPr>
              <w:rPr>
                <w:lang w:val="en-GB"/>
              </w:rPr>
            </w:pPr>
            <w:r w:rsidRPr="0081264F">
              <w:rPr>
                <w:sz w:val="20"/>
                <w:lang w:val="en-GB"/>
              </w:rPr>
              <w:t xml:space="preserve">≥10% vs. </w:t>
            </w:r>
            <w:r>
              <w:rPr>
                <w:sz w:val="20"/>
                <w:lang w:val="en-GB"/>
              </w:rPr>
              <w:t>&lt;</w:t>
            </w:r>
            <w:r w:rsidRPr="0081264F">
              <w:rPr>
                <w:sz w:val="20"/>
                <w:lang w:val="en-GB"/>
              </w:rPr>
              <w:t>10%</w:t>
            </w:r>
          </w:p>
        </w:tc>
        <w:tc>
          <w:tcPr>
            <w:tcW w:w="718" w:type="dxa"/>
            <w:tcBorders>
              <w:left w:val="single" w:sz="4" w:space="0" w:color="auto"/>
              <w:right w:val="nil"/>
            </w:tcBorders>
            <w:vAlign w:val="center"/>
          </w:tcPr>
          <w:p w:rsidR="005A3BCA" w:rsidRPr="003E2C87" w:rsidRDefault="005A3BCA" w:rsidP="00FF402A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4.373</w:t>
            </w:r>
          </w:p>
        </w:tc>
        <w:tc>
          <w:tcPr>
            <w:tcW w:w="1510" w:type="dxa"/>
            <w:tcBorders>
              <w:left w:val="nil"/>
              <w:right w:val="nil"/>
            </w:tcBorders>
            <w:vAlign w:val="center"/>
          </w:tcPr>
          <w:p w:rsidR="005A3BCA" w:rsidRPr="003E2C87" w:rsidRDefault="005A3BCA" w:rsidP="00FF402A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2.152-8.887</w:t>
            </w:r>
          </w:p>
        </w:tc>
        <w:tc>
          <w:tcPr>
            <w:tcW w:w="952" w:type="dxa"/>
            <w:tcBorders>
              <w:left w:val="nil"/>
            </w:tcBorders>
            <w:vAlign w:val="center"/>
          </w:tcPr>
          <w:p w:rsidR="005A3BCA" w:rsidRPr="00D51E6B" w:rsidRDefault="005A3BCA" w:rsidP="00FF402A">
            <w:pPr>
              <w:jc w:val="center"/>
              <w:rPr>
                <w:lang w:val="en-GB"/>
              </w:rPr>
            </w:pPr>
            <w:r w:rsidRPr="003E2C87">
              <w:rPr>
                <w:lang w:val="en-GB"/>
              </w:rPr>
              <w:t>&lt;0.001</w:t>
            </w:r>
          </w:p>
        </w:tc>
      </w:tr>
      <w:tr w:rsidR="005A3BCA" w:rsidRPr="003E2C87" w:rsidTr="00FF402A">
        <w:tc>
          <w:tcPr>
            <w:tcW w:w="1554" w:type="dxa"/>
            <w:tcBorders>
              <w:left w:val="single" w:sz="4" w:space="0" w:color="auto"/>
              <w:right w:val="single" w:sz="4" w:space="0" w:color="auto"/>
            </w:tcBorders>
          </w:tcPr>
          <w:p w:rsidR="005A3BCA" w:rsidRPr="003E2C87" w:rsidRDefault="005A3BCA" w:rsidP="00FF402A">
            <w:pPr>
              <w:rPr>
                <w:b/>
                <w:lang w:val="en-GB"/>
              </w:rPr>
            </w:pPr>
            <w:r w:rsidRPr="003E2C87">
              <w:rPr>
                <w:b/>
                <w:lang w:val="en-GB"/>
              </w:rPr>
              <w:t xml:space="preserve">Stroma </w:t>
            </w:r>
          </w:p>
          <w:p w:rsidR="005A3BCA" w:rsidRPr="003E2C87" w:rsidRDefault="005A3BCA" w:rsidP="00FF402A">
            <w:pPr>
              <w:rPr>
                <w:lang w:val="en-GB"/>
              </w:rPr>
            </w:pPr>
            <w:r w:rsidRPr="0081264F">
              <w:rPr>
                <w:sz w:val="20"/>
                <w:lang w:val="en-GB"/>
              </w:rPr>
              <w:t>High</w:t>
            </w:r>
            <w:r>
              <w:rPr>
                <w:sz w:val="20"/>
                <w:lang w:val="en-GB"/>
              </w:rPr>
              <w:t xml:space="preserve"> vs. Low</w:t>
            </w:r>
          </w:p>
        </w:tc>
        <w:tc>
          <w:tcPr>
            <w:tcW w:w="718" w:type="dxa"/>
            <w:tcBorders>
              <w:left w:val="single" w:sz="4" w:space="0" w:color="auto"/>
              <w:right w:val="nil"/>
            </w:tcBorders>
            <w:vAlign w:val="center"/>
          </w:tcPr>
          <w:p w:rsidR="005A3BCA" w:rsidRPr="003E2C87" w:rsidRDefault="005A3BCA" w:rsidP="00FF402A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0.363</w:t>
            </w:r>
          </w:p>
        </w:tc>
        <w:tc>
          <w:tcPr>
            <w:tcW w:w="1510" w:type="dxa"/>
            <w:tcBorders>
              <w:left w:val="nil"/>
              <w:right w:val="nil"/>
            </w:tcBorders>
            <w:vAlign w:val="center"/>
          </w:tcPr>
          <w:p w:rsidR="005A3BCA" w:rsidRPr="003E2C87" w:rsidRDefault="005A3BCA" w:rsidP="00FF402A">
            <w:pPr>
              <w:jc w:val="center"/>
              <w:rPr>
                <w:lang w:val="en-GB"/>
              </w:rPr>
            </w:pPr>
            <w:r w:rsidRPr="003E2C87">
              <w:rPr>
                <w:lang w:val="en-GB"/>
              </w:rPr>
              <w:t>0.</w:t>
            </w:r>
            <w:r>
              <w:rPr>
                <w:lang w:val="en-GB"/>
              </w:rPr>
              <w:t>157</w:t>
            </w:r>
            <w:r w:rsidRPr="003E2C87">
              <w:rPr>
                <w:lang w:val="en-GB"/>
              </w:rPr>
              <w:t>-</w:t>
            </w:r>
            <w:r>
              <w:rPr>
                <w:lang w:val="en-GB"/>
              </w:rPr>
              <w:t>0.835</w:t>
            </w:r>
          </w:p>
        </w:tc>
        <w:tc>
          <w:tcPr>
            <w:tcW w:w="952" w:type="dxa"/>
            <w:tcBorders>
              <w:left w:val="nil"/>
            </w:tcBorders>
            <w:vAlign w:val="center"/>
          </w:tcPr>
          <w:p w:rsidR="005A3BCA" w:rsidRPr="003E2C87" w:rsidRDefault="005A3BCA" w:rsidP="00FF402A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0.</w:t>
            </w:r>
            <w:r w:rsidRPr="003E2C87">
              <w:rPr>
                <w:lang w:val="en-GB"/>
              </w:rPr>
              <w:t>0</w:t>
            </w:r>
            <w:r>
              <w:rPr>
                <w:lang w:val="en-GB"/>
              </w:rPr>
              <w:t>14</w:t>
            </w:r>
          </w:p>
        </w:tc>
      </w:tr>
      <w:tr w:rsidR="005A3BCA" w:rsidRPr="003E2C87" w:rsidTr="00FF402A">
        <w:tc>
          <w:tcPr>
            <w:tcW w:w="155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3BCA" w:rsidRPr="003E2C87" w:rsidRDefault="005A3BCA" w:rsidP="00FF402A">
            <w:pPr>
              <w:rPr>
                <w:b/>
                <w:lang w:val="en-GB"/>
              </w:rPr>
            </w:pPr>
            <w:r w:rsidRPr="003E2C87">
              <w:rPr>
                <w:b/>
                <w:lang w:val="en-GB"/>
              </w:rPr>
              <w:t xml:space="preserve">Budding </w:t>
            </w:r>
          </w:p>
          <w:p w:rsidR="005A3BCA" w:rsidRPr="003E2C87" w:rsidRDefault="005A3BCA" w:rsidP="00FF402A">
            <w:pPr>
              <w:rPr>
                <w:lang w:val="en-GB"/>
              </w:rPr>
            </w:pPr>
            <w:r w:rsidRPr="0081264F">
              <w:rPr>
                <w:sz w:val="20"/>
                <w:lang w:val="en-GB"/>
              </w:rPr>
              <w:t>High</w:t>
            </w:r>
            <w:r>
              <w:rPr>
                <w:sz w:val="20"/>
                <w:lang w:val="en-GB"/>
              </w:rPr>
              <w:t xml:space="preserve"> vs. Low</w:t>
            </w:r>
          </w:p>
        </w:tc>
        <w:tc>
          <w:tcPr>
            <w:tcW w:w="718" w:type="dxa"/>
            <w:tcBorders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5A3BCA" w:rsidRPr="003E2C87" w:rsidRDefault="005A3BCA" w:rsidP="00FF402A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0.968</w:t>
            </w:r>
          </w:p>
        </w:tc>
        <w:tc>
          <w:tcPr>
            <w:tcW w:w="1510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5A3BCA" w:rsidRPr="003E2C87" w:rsidRDefault="005A3BCA" w:rsidP="00FF402A">
            <w:pPr>
              <w:jc w:val="center"/>
              <w:rPr>
                <w:lang w:val="en-GB"/>
              </w:rPr>
            </w:pPr>
            <w:r w:rsidRPr="003E2C87">
              <w:rPr>
                <w:lang w:val="en-GB"/>
              </w:rPr>
              <w:t>0.</w:t>
            </w:r>
            <w:r>
              <w:rPr>
                <w:lang w:val="en-GB"/>
              </w:rPr>
              <w:t>406</w:t>
            </w:r>
            <w:r w:rsidRPr="003E2C87">
              <w:rPr>
                <w:lang w:val="en-GB"/>
              </w:rPr>
              <w:t>-</w:t>
            </w:r>
            <w:r>
              <w:rPr>
                <w:lang w:val="en-GB"/>
              </w:rPr>
              <w:t>2</w:t>
            </w:r>
            <w:r w:rsidRPr="003E2C87">
              <w:rPr>
                <w:lang w:val="en-GB"/>
              </w:rPr>
              <w:t>.</w:t>
            </w:r>
            <w:r>
              <w:rPr>
                <w:lang w:val="en-GB"/>
              </w:rPr>
              <w:t>309</w:t>
            </w:r>
          </w:p>
        </w:tc>
        <w:tc>
          <w:tcPr>
            <w:tcW w:w="952" w:type="dxa"/>
            <w:tcBorders>
              <w:left w:val="nil"/>
              <w:bottom w:val="single" w:sz="4" w:space="0" w:color="auto"/>
            </w:tcBorders>
            <w:vAlign w:val="center"/>
          </w:tcPr>
          <w:p w:rsidR="005A3BCA" w:rsidRPr="003E2C87" w:rsidRDefault="005A3BCA" w:rsidP="00FF402A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0.968</w:t>
            </w:r>
          </w:p>
        </w:tc>
      </w:tr>
    </w:tbl>
    <w:p w:rsidR="00D64299" w:rsidRDefault="005A3BCA"/>
    <w:p w:rsidR="005A3BCA" w:rsidRPr="005A3BCA" w:rsidRDefault="005A3BCA" w:rsidP="005A3BCA">
      <w:pPr>
        <w:rPr>
          <w:lang w:val="en-GB"/>
        </w:rPr>
      </w:pPr>
      <w:r w:rsidRPr="005A3BCA">
        <w:rPr>
          <w:b/>
          <w:lang w:val="en-GB"/>
        </w:rPr>
        <w:t>Supplementary Table 3</w:t>
      </w:r>
      <w:r>
        <w:rPr>
          <w:lang w:val="en-GB"/>
        </w:rPr>
        <w:t>.</w:t>
      </w:r>
      <w:r w:rsidRPr="005A3BCA">
        <w:rPr>
          <w:lang w:val="en-GB"/>
        </w:rPr>
        <w:t xml:space="preserve">  Odds Ratios with 95% confidence interval calculated as the likelihood for microsatellite instability if scored into the highest histopathologic category (i.e. TILs-high, Mucus &gt; 50%, Mucus ≥ 10%, Stroma-high and Budding-high). MSI = microsatellite instability, OR = odds ratio, CI = confidence interval, TILs = </w:t>
      </w:r>
      <w:proofErr w:type="spellStart"/>
      <w:r w:rsidRPr="005A3BCA">
        <w:rPr>
          <w:lang w:val="en-GB"/>
        </w:rPr>
        <w:t>tumor</w:t>
      </w:r>
      <w:proofErr w:type="spellEnd"/>
      <w:r w:rsidRPr="005A3BCA">
        <w:rPr>
          <w:lang w:val="en-GB"/>
        </w:rPr>
        <w:t xml:space="preserve"> infiltrating lymphocytes</w:t>
      </w:r>
    </w:p>
    <w:p w:rsidR="005A3BCA" w:rsidRPr="005A3BCA" w:rsidRDefault="005A3BCA" w:rsidP="005A3BCA">
      <w:pPr>
        <w:rPr>
          <w:lang w:val="en-GB"/>
        </w:rPr>
      </w:pPr>
    </w:p>
    <w:p w:rsidR="005A3BCA" w:rsidRPr="005A3BCA" w:rsidRDefault="005A3BCA">
      <w:pPr>
        <w:rPr>
          <w:lang w:val="en-GB"/>
        </w:rPr>
      </w:pPr>
      <w:bookmarkStart w:id="0" w:name="_GoBack"/>
      <w:bookmarkEnd w:id="0"/>
    </w:p>
    <w:sectPr w:rsidR="005A3BCA" w:rsidRPr="005A3BC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A3BCA"/>
    <w:rsid w:val="00056A24"/>
    <w:rsid w:val="001A2864"/>
    <w:rsid w:val="005A3BCA"/>
    <w:rsid w:val="00B22A67"/>
    <w:rsid w:val="00DF1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3961515"/>
  <w15:chartTrackingRefBased/>
  <w15:docId w15:val="{D20E036E-65F1-485E-BBC3-9E765B0C48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ard">
    <w:name w:val="Normal"/>
    <w:qFormat/>
    <w:rsid w:val="005A3BCA"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table" w:styleId="Tabelraster">
    <w:name w:val="Table Grid"/>
    <w:basedOn w:val="Standaardtabel"/>
    <w:uiPriority w:val="59"/>
    <w:rsid w:val="005A3BC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toor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97</Words>
  <Characters>536</Characters>
  <Application>Microsoft Office Word</Application>
  <DocSecurity>0</DocSecurity>
  <Lines>4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AMC</Company>
  <LinksUpToDate>false</LinksUpToDate>
  <CharactersWithSpaces>632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Weerd, S. van de (Simone)</dc:creator>
  <cp:keywords/>
  <dc:description/>
  <cp:lastModifiedBy>Weerd, S. van de (Simone)</cp:lastModifiedBy>
  <cp:revision>1</cp:revision>
  <dcterms:created xsi:type="dcterms:W3CDTF">2022-07-19T16:16:00Z</dcterms:created>
  <dcterms:modified xsi:type="dcterms:W3CDTF">2022-07-19T16:19:00Z</dcterms:modified>
</cp:coreProperties>
</file>