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156" w:right="0" w:firstLine="0"/>
        <w:jc w:val="left"/>
        <w:rPr>
          <w:b/>
          <w:sz w:val="1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4.9104pt;margin-top:21.372097pt;width:338.6pt;height:271.4pt;mso-position-horizontal-relative:page;mso-position-vertical-relative:paragraph;z-index:15728640" type="#_x0000_t202" id="docshape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2"/>
                    <w:gridCol w:w="2154"/>
                    <w:gridCol w:w="4047"/>
                  </w:tblGrid>
                  <w:tr>
                    <w:trPr>
                      <w:trHeight w:val="363" w:hRule="atLeast"/>
                    </w:trPr>
                    <w:tc>
                      <w:tcPr>
                        <w:tcW w:w="572" w:type="dxa"/>
                        <w:tcBorders>
                          <w:top w:val="single" w:sz="18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18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207" w:right="122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Variable</w:t>
                        </w:r>
                      </w:p>
                    </w:tc>
                    <w:tc>
                      <w:tcPr>
                        <w:tcW w:w="4047" w:type="dxa"/>
                        <w:tcBorders>
                          <w:top w:val="single" w:sz="18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463" w:right="1908"/>
                          <w:jc w:val="center"/>
                          <w:rPr>
                            <w:rFonts w:ascii="Malgun Gothic" w:eastAsia="Malgun Gothic"/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N</w:t>
                        </w:r>
                        <w:r>
                          <w:rPr>
                            <w:rFonts w:ascii="Malgun Gothic" w:eastAsia="Malgun Gothic"/>
                            <w:b/>
                            <w:spacing w:val="-4"/>
                            <w:sz w:val="18"/>
                          </w:rPr>
                          <w:t>（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%</w:t>
                        </w:r>
                        <w:r>
                          <w:rPr>
                            <w:rFonts w:ascii="Malgun Gothic" w:eastAsia="Malgun Gothic"/>
                            <w:b/>
                            <w:spacing w:val="-4"/>
                            <w:sz w:val="18"/>
                          </w:rPr>
                          <w:t>）</w:t>
                        </w:r>
                      </w:p>
                    </w:tc>
                  </w:tr>
                  <w:tr>
                    <w:trPr>
                      <w:trHeight w:val="546" w:hRule="atLeast"/>
                    </w:trPr>
                    <w:tc>
                      <w:tcPr>
                        <w:tcW w:w="572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3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Age</w:t>
                        </w:r>
                      </w:p>
                    </w:tc>
                    <w:tc>
                      <w:tcPr>
                        <w:tcW w:w="2154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207" w:right="12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&lt;40y</w:t>
                        </w:r>
                      </w:p>
                    </w:tc>
                    <w:tc>
                      <w:tcPr>
                        <w:tcW w:w="4047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2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207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2.60%)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</w:tcPr>
                      <w:p>
                        <w:pPr>
                          <w:pStyle w:val="TableParagraph"/>
                          <w:ind w:left="207" w:right="12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40-</w:t>
                        </w:r>
                        <w:r>
                          <w:rPr>
                            <w:spacing w:val="-5"/>
                            <w:sz w:val="18"/>
                          </w:rPr>
                          <w:t>49y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ind w:left="12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759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9.55%)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</w:tcPr>
                      <w:p>
                        <w:pPr>
                          <w:pStyle w:val="TableParagraph"/>
                          <w:ind w:left="207" w:right="12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50-</w:t>
                        </w:r>
                        <w:r>
                          <w:rPr>
                            <w:spacing w:val="-5"/>
                            <w:sz w:val="18"/>
                          </w:rPr>
                          <w:t>59y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ind w:left="1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1968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(24.75%)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</w:tcPr>
                      <w:p>
                        <w:pPr>
                          <w:pStyle w:val="TableParagraph"/>
                          <w:ind w:left="207" w:right="12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60-</w:t>
                        </w:r>
                        <w:r>
                          <w:rPr>
                            <w:spacing w:val="-5"/>
                            <w:sz w:val="18"/>
                          </w:rPr>
                          <w:t>69y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ind w:left="1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2008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(25.25%)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</w:tcPr>
                      <w:p>
                        <w:pPr>
                          <w:pStyle w:val="TableParagraph"/>
                          <w:ind w:left="207" w:right="12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70-</w:t>
                        </w:r>
                        <w:r>
                          <w:rPr>
                            <w:spacing w:val="-5"/>
                            <w:sz w:val="18"/>
                          </w:rPr>
                          <w:t>79y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ind w:left="1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1589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(19.99%)</w:t>
                        </w:r>
                      </w:p>
                    </w:tc>
                  </w:tr>
                  <w:tr>
                    <w:trPr>
                      <w:trHeight w:val="842" w:hRule="atLeast"/>
                    </w:trPr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3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5"/>
                            <w:sz w:val="18"/>
                          </w:rPr>
                          <w:t>Sex</w:t>
                        </w:r>
                      </w:p>
                    </w:tc>
                    <w:tc>
                      <w:tcPr>
                        <w:tcW w:w="2154" w:type="dxa"/>
                      </w:tcPr>
                      <w:p>
                        <w:pPr>
                          <w:pStyle w:val="TableParagraph"/>
                          <w:ind w:left="373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≥80y</w:t>
                        </w:r>
                      </w:p>
                      <w:p>
                        <w:pPr>
                          <w:pStyle w:val="TableParagraph"/>
                          <w:spacing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24"/>
                          <w:ind w:left="373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Male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ind w:left="1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1420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(17.86%)</w:t>
                        </w:r>
                      </w:p>
                      <w:p>
                        <w:pPr>
                          <w:pStyle w:val="TableParagraph"/>
                          <w:spacing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24"/>
                          <w:ind w:left="1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4476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(56.29%)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57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</w:tcPr>
                      <w:p>
                        <w:pPr>
                          <w:pStyle w:val="TableParagraph"/>
                          <w:spacing w:line="187" w:lineRule="exact"/>
                          <w:ind w:left="207" w:right="12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Female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spacing w:line="187" w:lineRule="exact"/>
                          <w:ind w:left="1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3475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(43.71%)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6773" w:type="dxa"/>
                        <w:gridSpan w:val="3"/>
                      </w:tcPr>
                      <w:p>
                        <w:pPr>
                          <w:pStyle w:val="TableParagraph"/>
                          <w:spacing w:line="187" w:lineRule="exact" w:before="74"/>
                          <w:ind w:left="3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Marital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status</w:t>
                        </w: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2726" w:type="dxa"/>
                        <w:gridSpan w:val="2"/>
                      </w:tcPr>
                      <w:p>
                        <w:pPr>
                          <w:pStyle w:val="TableParagraph"/>
                          <w:spacing w:before="74"/>
                          <w:ind w:left="83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Married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spacing w:before="74"/>
                          <w:ind w:left="1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4414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(55.52%)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726" w:type="dxa"/>
                        <w:gridSpan w:val="2"/>
                      </w:tcPr>
                      <w:p>
                        <w:pPr>
                          <w:pStyle w:val="TableParagraph"/>
                          <w:ind w:left="88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Single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ind w:left="1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3091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(38.88%)</w:t>
                        </w:r>
                      </w:p>
                    </w:tc>
                  </w:tr>
                  <w:tr>
                    <w:trPr>
                      <w:trHeight w:val="421" w:hRule="atLeast"/>
                    </w:trPr>
                    <w:tc>
                      <w:tcPr>
                        <w:tcW w:w="2726" w:type="dxa"/>
                        <w:gridSpan w:val="2"/>
                      </w:tcPr>
                      <w:p>
                        <w:pPr>
                          <w:pStyle w:val="TableParagraph"/>
                          <w:ind w:left="764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Unknown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ind w:left="12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446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5.60%)</w:t>
                        </w:r>
                      </w:p>
                    </w:tc>
                  </w:tr>
                  <w:tr>
                    <w:trPr>
                      <w:trHeight w:val="421" w:hRule="atLeast"/>
                    </w:trPr>
                    <w:tc>
                      <w:tcPr>
                        <w:tcW w:w="2726" w:type="dxa"/>
                        <w:gridSpan w:val="2"/>
                      </w:tcPr>
                      <w:p>
                        <w:pPr>
                          <w:pStyle w:val="TableParagraph"/>
                          <w:spacing w:before="174"/>
                          <w:ind w:left="85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Normal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spacing w:before="174"/>
                          <w:ind w:left="1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2998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(37.71%)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726" w:type="dxa"/>
                        <w:gridSpan w:val="2"/>
                      </w:tcPr>
                      <w:p>
                        <w:pPr>
                          <w:pStyle w:val="TableParagraph"/>
                          <w:ind w:left="83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Elevate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ind w:left="1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1569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(19.73%)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726" w:type="dxa"/>
                        <w:gridSpan w:val="2"/>
                      </w:tcPr>
                      <w:p>
                        <w:pPr>
                          <w:pStyle w:val="TableParagraph"/>
                          <w:spacing w:line="187" w:lineRule="exact"/>
                          <w:ind w:left="764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Unknown</w:t>
                        </w:r>
                      </w:p>
                    </w:tc>
                    <w:tc>
                      <w:tcPr>
                        <w:tcW w:w="4047" w:type="dxa"/>
                      </w:tcPr>
                      <w:p>
                        <w:pPr>
                          <w:pStyle w:val="TableParagraph"/>
                          <w:spacing w:line="187" w:lineRule="exact"/>
                          <w:ind w:left="12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3384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(42.56%)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TABLE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|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Demographics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clinicopathologic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characteristics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all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patients.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1"/>
        <w:spacing w:before="148"/>
      </w:pPr>
      <w:r>
        <w:rPr>
          <w:spacing w:val="-5"/>
        </w:rPr>
        <w:t>CEA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spacing w:before="0"/>
        <w:ind w:left="156" w:right="0" w:firstLine="0"/>
        <w:jc w:val="left"/>
        <w:rPr>
          <w:b/>
          <w:sz w:val="18"/>
        </w:rPr>
      </w:pPr>
      <w:r>
        <w:rPr>
          <w:b/>
          <w:sz w:val="18"/>
        </w:rPr>
        <w:t>Tumor</w:t>
      </w:r>
      <w:r>
        <w:rPr>
          <w:b/>
          <w:spacing w:val="-1"/>
          <w:sz w:val="18"/>
        </w:rPr>
        <w:t> </w:t>
      </w:r>
      <w:r>
        <w:rPr>
          <w:b/>
          <w:spacing w:val="-4"/>
          <w:sz w:val="18"/>
        </w:rPr>
        <w:t>size</w:t>
      </w:r>
    </w:p>
    <w:p>
      <w:pPr>
        <w:tabs>
          <w:tab w:pos="3014" w:val="left" w:leader="none"/>
        </w:tabs>
        <w:spacing w:before="74"/>
        <w:ind w:left="0" w:right="3803" w:firstLine="0"/>
        <w:jc w:val="right"/>
        <w:rPr>
          <w:sz w:val="18"/>
        </w:rPr>
      </w:pPr>
      <w:r>
        <w:rPr>
          <w:spacing w:val="-4"/>
          <w:sz w:val="18"/>
        </w:rPr>
        <w:t>≤5cm</w:t>
      </w:r>
      <w:r>
        <w:rPr>
          <w:sz w:val="18"/>
        </w:rPr>
        <w:tab/>
        <w:t>5368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(67.51%)</w:t>
      </w:r>
    </w:p>
    <w:p>
      <w:pPr>
        <w:tabs>
          <w:tab w:pos="3017" w:val="left" w:leader="none"/>
        </w:tabs>
        <w:spacing w:before="74"/>
        <w:ind w:left="0" w:right="3803" w:firstLine="0"/>
        <w:jc w:val="right"/>
        <w:rPr>
          <w:sz w:val="18"/>
        </w:rPr>
      </w:pPr>
      <w:r>
        <w:rPr>
          <w:spacing w:val="-4"/>
          <w:sz w:val="18"/>
        </w:rPr>
        <w:t>&gt;5cm</w:t>
      </w:r>
      <w:r>
        <w:rPr>
          <w:sz w:val="18"/>
        </w:rPr>
        <w:tab/>
        <w:t>2068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(26.01%)</w:t>
      </w:r>
    </w:p>
    <w:p>
      <w:pPr>
        <w:tabs>
          <w:tab w:pos="3245" w:val="left" w:leader="none"/>
        </w:tabs>
        <w:spacing w:before="74"/>
        <w:ind w:left="0" w:right="3878" w:firstLine="0"/>
        <w:jc w:val="right"/>
        <w:rPr>
          <w:sz w:val="18"/>
        </w:rPr>
      </w:pPr>
      <w:r>
        <w:rPr>
          <w:spacing w:val="-2"/>
          <w:sz w:val="18"/>
        </w:rPr>
        <w:t>Unknown</w:t>
      </w:r>
      <w:r>
        <w:rPr>
          <w:sz w:val="18"/>
        </w:rPr>
        <w:tab/>
        <w:t>515</w:t>
      </w:r>
      <w:r>
        <w:rPr>
          <w:spacing w:val="-1"/>
          <w:sz w:val="18"/>
        </w:rPr>
        <w:t> </w:t>
      </w:r>
      <w:r>
        <w:rPr>
          <w:sz w:val="18"/>
        </w:rPr>
        <w:t>(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6.48%)</w:t>
      </w:r>
    </w:p>
    <w:p>
      <w:pPr>
        <w:spacing w:before="74"/>
        <w:ind w:left="156" w:right="0" w:firstLine="0"/>
        <w:jc w:val="left"/>
        <w:rPr>
          <w:b/>
          <w:sz w:val="18"/>
        </w:rPr>
      </w:pPr>
      <w:r>
        <w:rPr/>
        <w:pict>
          <v:shape style="position:absolute;margin-left:64.331703pt;margin-top:18.037636pt;width:339.2pt;height:293.5pt;mso-position-horizontal-relative:page;mso-position-vertical-relative:paragraph;z-index:15729152" type="#_x0000_t202" id="docshape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82"/>
                    <w:gridCol w:w="4001"/>
                  </w:tblGrid>
                  <w:tr>
                    <w:trPr>
                      <w:trHeight w:val="240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spacing w:line="201" w:lineRule="exact" w:before="0"/>
                          <w:ind w:left="7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Grade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I-</w:t>
                        </w:r>
                        <w:r>
                          <w:rPr>
                            <w:spacing w:val="-5"/>
                            <w:sz w:val="18"/>
                          </w:rPr>
                          <w:t>II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spacing w:line="201" w:lineRule="exact" w:before="0"/>
                          <w:ind w:left="11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6744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(84.82%)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ind w:left="6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Grade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III-</w:t>
                        </w:r>
                        <w:r>
                          <w:rPr>
                            <w:spacing w:val="-5"/>
                            <w:sz w:val="18"/>
                          </w:rPr>
                          <w:t>IV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ind w:left="11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(12.58%)</w:t>
                        </w:r>
                      </w:p>
                    </w:tc>
                  </w:tr>
                  <w:tr>
                    <w:trPr>
                      <w:trHeight w:val="421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ind w:left="77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Unknown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ind w:left="12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207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2.60%)</w:t>
                        </w:r>
                      </w:p>
                    </w:tc>
                  </w:tr>
                  <w:tr>
                    <w:trPr>
                      <w:trHeight w:val="421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spacing w:before="174"/>
                          <w:ind w:left="871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Absent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spacing w:before="174"/>
                          <w:ind w:left="11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6471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(81.39%)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ind w:left="841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Present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ind w:left="12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793</w:t>
                        </w:r>
                        <w:r>
                          <w:rPr>
                            <w:spacing w:val="-2"/>
                            <w:sz w:val="18"/>
                          </w:rPr>
                          <w:t> (9.97%)</w:t>
                        </w:r>
                      </w:p>
                    </w:tc>
                  </w:tr>
                  <w:tr>
                    <w:trPr>
                      <w:trHeight w:val="421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ind w:left="77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Unknown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ind w:left="12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687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8.64%)</w:t>
                        </w:r>
                      </w:p>
                    </w:tc>
                  </w:tr>
                  <w:tr>
                    <w:trPr>
                      <w:trHeight w:val="421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spacing w:before="174"/>
                          <w:ind w:left="871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Absent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spacing w:before="174"/>
                          <w:ind w:left="11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6718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(84.49%)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ind w:left="841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Present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ind w:left="1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803</w:t>
                        </w:r>
                        <w:r>
                          <w:rPr>
                            <w:spacing w:val="-2"/>
                            <w:sz w:val="18"/>
                          </w:rPr>
                          <w:t> (10.10%)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spacing w:line="187" w:lineRule="exact"/>
                          <w:ind w:left="77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Unknown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spacing w:line="187" w:lineRule="exact"/>
                          <w:ind w:left="124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430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5.41%)</w:t>
                        </w:r>
                      </w:p>
                    </w:tc>
                  </w:tr>
                  <w:tr>
                    <w:trPr>
                      <w:trHeight w:val="601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spacing w:before="74"/>
                          <w:ind w:left="5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Number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LND</w:t>
                        </w:r>
                      </w:p>
                      <w:p>
                        <w:pPr>
                          <w:pStyle w:val="TableParagraph"/>
                          <w:spacing w:before="73"/>
                          <w:ind w:left="987" w:right="14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&lt;12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24"/>
                          <w:ind w:left="11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1468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(18.46%)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spacing w:line="187" w:lineRule="exact"/>
                          <w:ind w:left="987" w:right="14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≥12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spacing w:line="187" w:lineRule="exact"/>
                          <w:ind w:left="11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6483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(81.54%)</w:t>
                        </w:r>
                      </w:p>
                    </w:tc>
                  </w:tr>
                  <w:tr>
                    <w:trPr>
                      <w:trHeight w:val="601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spacing w:before="74"/>
                          <w:ind w:left="5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Stage</w:t>
                        </w:r>
                      </w:p>
                      <w:p>
                        <w:pPr>
                          <w:pStyle w:val="TableParagraph"/>
                          <w:spacing w:before="76"/>
                          <w:ind w:left="844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18"/>
                          </w:rPr>
                          <w:t>pT</w:t>
                        </w:r>
                        <w:r>
                          <w:rPr>
                            <w:spacing w:val="-2"/>
                            <w:sz w:val="12"/>
                          </w:rPr>
                          <w:t>1-</w:t>
                        </w:r>
                        <w:r>
                          <w:rPr>
                            <w:spacing w:val="-5"/>
                            <w:sz w:val="12"/>
                          </w:rPr>
                          <w:t>2</w:t>
                        </w:r>
                        <w:r>
                          <w:rPr>
                            <w:spacing w:val="-5"/>
                            <w:position w:val="1"/>
                            <w:sz w:val="18"/>
                          </w:rPr>
                          <w:t>N0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24"/>
                          <w:ind w:left="11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2391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(30.07%)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spacing w:before="36"/>
                          <w:ind w:left="844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18"/>
                          </w:rPr>
                          <w:t>pT</w:t>
                        </w:r>
                        <w:r>
                          <w:rPr>
                            <w:spacing w:val="-2"/>
                            <w:sz w:val="12"/>
                          </w:rPr>
                          <w:t>3-</w:t>
                        </w:r>
                        <w:r>
                          <w:rPr>
                            <w:spacing w:val="-5"/>
                            <w:sz w:val="12"/>
                          </w:rPr>
                          <w:t>4</w:t>
                        </w:r>
                        <w:r>
                          <w:rPr>
                            <w:spacing w:val="-5"/>
                            <w:position w:val="1"/>
                            <w:sz w:val="18"/>
                          </w:rPr>
                          <w:t>N0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ind w:left="11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2707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(34.05%)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spacing w:before="36"/>
                          <w:ind w:left="841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18"/>
                          </w:rPr>
                          <w:t>pT</w:t>
                        </w:r>
                        <w:r>
                          <w:rPr>
                            <w:spacing w:val="-2"/>
                            <w:sz w:val="12"/>
                          </w:rPr>
                          <w:t>1-</w:t>
                        </w:r>
                        <w:r>
                          <w:rPr>
                            <w:spacing w:val="-5"/>
                            <w:sz w:val="12"/>
                          </w:rPr>
                          <w:t>4</w:t>
                        </w:r>
                        <w:r>
                          <w:rPr>
                            <w:spacing w:val="-5"/>
                            <w:position w:val="1"/>
                            <w:sz w:val="18"/>
                          </w:rPr>
                          <w:t>N+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ind w:left="11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2853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(35.88%)</w:t>
                        </w:r>
                      </w:p>
                    </w:tc>
                  </w:tr>
                  <w:tr>
                    <w:trPr>
                      <w:trHeight w:val="561" w:hRule="atLeast"/>
                    </w:trPr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Adjuvant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therapy</w:t>
                        </w:r>
                      </w:p>
                      <w:p>
                        <w:pPr>
                          <w:pStyle w:val="TableParagraph"/>
                          <w:spacing w:before="74"/>
                          <w:ind w:left="85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non-</w:t>
                        </w:r>
                        <w:r>
                          <w:rPr>
                            <w:spacing w:val="-5"/>
                            <w:sz w:val="18"/>
                          </w:rPr>
                          <w:t>AT</w:t>
                        </w:r>
                      </w:p>
                    </w:tc>
                    <w:tc>
                      <w:tcPr>
                        <w:tcW w:w="4001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1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6089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(76.58%)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2782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987" w:right="14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AT</w:t>
                        </w:r>
                      </w:p>
                    </w:tc>
                    <w:tc>
                      <w:tcPr>
                        <w:tcW w:w="4001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11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1862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(23.42%)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2"/>
          <w:sz w:val="18"/>
        </w:rPr>
        <w:t>Differentiation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pStyle w:val="Heading1"/>
      </w:pPr>
      <w:r>
        <w:rPr>
          <w:spacing w:val="-5"/>
        </w:rPr>
        <w:t>PNI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spacing w:before="0"/>
        <w:ind w:left="156" w:right="0" w:firstLine="0"/>
        <w:jc w:val="left"/>
        <w:rPr>
          <w:b/>
          <w:sz w:val="18"/>
        </w:rPr>
      </w:pPr>
      <w:r>
        <w:rPr>
          <w:b/>
          <w:spacing w:val="-5"/>
          <w:sz w:val="18"/>
        </w:rPr>
        <w:t>TD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8"/>
        </w:rPr>
      </w:pPr>
    </w:p>
    <w:p>
      <w:pPr>
        <w:pStyle w:val="BodyText"/>
        <w:spacing w:line="273" w:lineRule="auto"/>
        <w:ind w:left="156" w:right="2000"/>
      </w:pPr>
      <w:r>
        <w:rPr/>
        <w:t>CEA,</w:t>
      </w:r>
      <w:r>
        <w:rPr>
          <w:spacing w:val="-1"/>
        </w:rPr>
        <w:t> </w:t>
      </w:r>
      <w:r>
        <w:rPr/>
        <w:t>carcinoembryonic</w:t>
      </w:r>
      <w:r>
        <w:rPr>
          <w:spacing w:val="-1"/>
        </w:rPr>
        <w:t> </w:t>
      </w:r>
      <w:r>
        <w:rPr/>
        <w:t>antigen;</w:t>
      </w:r>
      <w:r>
        <w:rPr>
          <w:spacing w:val="-1"/>
        </w:rPr>
        <w:t> </w:t>
      </w:r>
      <w:r>
        <w:rPr/>
        <w:t>TD,</w:t>
      </w:r>
      <w:r>
        <w:rPr>
          <w:spacing w:val="-1"/>
        </w:rPr>
        <w:t> </w:t>
      </w:r>
      <w:r>
        <w:rPr/>
        <w:t>tumor</w:t>
      </w:r>
      <w:r>
        <w:rPr>
          <w:spacing w:val="-1"/>
        </w:rPr>
        <w:t> </w:t>
      </w:r>
      <w:r>
        <w:rPr/>
        <w:t>deposits;</w:t>
      </w:r>
      <w:r>
        <w:rPr>
          <w:spacing w:val="-1"/>
        </w:rPr>
        <w:t> </w:t>
      </w:r>
      <w:r>
        <w:rPr/>
        <w:t>PNI,</w:t>
      </w:r>
      <w:r>
        <w:rPr>
          <w:spacing w:val="-1"/>
        </w:rPr>
        <w:t> </w:t>
      </w:r>
      <w:r>
        <w:rPr/>
        <w:t>perineural</w:t>
      </w:r>
      <w:r>
        <w:rPr>
          <w:spacing w:val="-1"/>
        </w:rPr>
        <w:t> </w:t>
      </w:r>
      <w:r>
        <w:rPr/>
        <w:t>invasion;</w:t>
      </w:r>
      <w:r>
        <w:rPr>
          <w:spacing w:val="-1"/>
        </w:rPr>
        <w:t> </w:t>
      </w:r>
      <w:r>
        <w:rPr/>
        <w:t>LND,</w:t>
      </w:r>
      <w:r>
        <w:rPr>
          <w:spacing w:val="-1"/>
        </w:rPr>
        <w:t> </w:t>
      </w:r>
      <w:r>
        <w:rPr/>
        <w:t>dissected lymph nodes; non-AT, without postoperative adjuvant therapy; AT, postoperative adjuvant </w:t>
      </w:r>
      <w:r>
        <w:rPr>
          <w:spacing w:val="-2"/>
        </w:rPr>
        <w:t>therapy.</w:t>
      </w:r>
    </w:p>
    <w:sectPr>
      <w:type w:val="continuous"/>
      <w:pgSz w:w="11900" w:h="16840"/>
      <w:pgMar w:top="1160" w:bottom="280" w:left="11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algun Gothic">
    <w:altName w:val="Malgun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6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4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2022-07-10T09:16:37Z</dcterms:created>
  <dcterms:modified xsi:type="dcterms:W3CDTF">2022-07-10T09:16:37Z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2022-07-10T00:00:00Z</vt:filetime>
  </property>
</Properties>
</file>