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ED3A6" w14:textId="77777777" w:rsidR="00BC468B" w:rsidRPr="00664D52" w:rsidRDefault="00BC468B" w:rsidP="00BC468B">
      <w:pPr>
        <w:widowControl w:val="0"/>
        <w:spacing w:before="120" w:afterLines="120" w:after="288"/>
        <w:rPr>
          <w:rFonts w:ascii="Helvetica" w:hAnsi="Helvetica" w:cstheme="minorHAnsi"/>
          <w:b/>
          <w:bCs/>
          <w:sz w:val="32"/>
          <w:szCs w:val="32"/>
        </w:rPr>
      </w:pPr>
      <w:r w:rsidRPr="00664D52">
        <w:rPr>
          <w:rFonts w:ascii="Helvetica" w:hAnsi="Helvetica" w:cstheme="minorHAnsi"/>
          <w:b/>
          <w:bCs/>
          <w:sz w:val="32"/>
          <w:szCs w:val="32"/>
        </w:rPr>
        <w:t>Supplementary Information</w:t>
      </w:r>
    </w:p>
    <w:p w14:paraId="761F5D30" w14:textId="01AEA83A" w:rsidR="003C4544" w:rsidRPr="00664D52" w:rsidRDefault="00BC468B" w:rsidP="003C4544">
      <w:pPr>
        <w:widowControl w:val="0"/>
        <w:spacing w:before="120" w:afterLines="120" w:after="288"/>
        <w:rPr>
          <w:rFonts w:ascii="Helvetica" w:hAnsi="Helvetica" w:cstheme="minorHAnsi"/>
          <w:b/>
          <w:bCs/>
          <w:sz w:val="28"/>
          <w:szCs w:val="28"/>
        </w:rPr>
      </w:pPr>
      <w:r w:rsidRPr="00664D52">
        <w:rPr>
          <w:rFonts w:ascii="Helvetica" w:hAnsi="Helvetica" w:cstheme="minorHAnsi"/>
          <w:b/>
          <w:bCs/>
          <w:sz w:val="28"/>
          <w:szCs w:val="28"/>
        </w:rPr>
        <w:t>Net-zero emissions aviation</w:t>
      </w:r>
    </w:p>
    <w:p w14:paraId="648459BC" w14:textId="77777777" w:rsidR="003E6991" w:rsidRPr="00664D52" w:rsidRDefault="003E6991" w:rsidP="003E6991">
      <w:pPr>
        <w:spacing w:line="360" w:lineRule="auto"/>
        <w:rPr>
          <w:rFonts w:ascii="Helvetica" w:eastAsia="Arial" w:hAnsi="Helvetica" w:cstheme="minorHAnsi"/>
          <w:lang w:eastAsia="en-US"/>
        </w:rPr>
      </w:pPr>
      <w:r w:rsidRPr="00664D52">
        <w:rPr>
          <w:rFonts w:ascii="Helvetica" w:hAnsi="Helvetica" w:cstheme="minorHAnsi"/>
        </w:rPr>
        <w:t>Candelaria Bergero</w:t>
      </w:r>
      <w:r w:rsidRPr="00664D52">
        <w:rPr>
          <w:rFonts w:ascii="Helvetica" w:hAnsi="Helvetica" w:cstheme="minorHAnsi"/>
          <w:vertAlign w:val="superscript"/>
        </w:rPr>
        <w:t>1*</w:t>
      </w:r>
      <w:r w:rsidRPr="00664D52">
        <w:rPr>
          <w:rFonts w:ascii="Helvetica" w:hAnsi="Helvetica" w:cstheme="minorHAnsi"/>
        </w:rPr>
        <w:t>, Greer Gosnell</w:t>
      </w:r>
      <w:r w:rsidRPr="00664D52">
        <w:rPr>
          <w:rFonts w:ascii="Helvetica" w:hAnsi="Helvetica" w:cstheme="minorHAnsi"/>
          <w:vertAlign w:val="superscript"/>
        </w:rPr>
        <w:t>2</w:t>
      </w:r>
      <w:r w:rsidRPr="00664D52">
        <w:rPr>
          <w:rFonts w:ascii="Helvetica" w:hAnsi="Helvetica" w:cstheme="minorHAnsi"/>
        </w:rPr>
        <w:t xml:space="preserve">, </w:t>
      </w:r>
      <w:proofErr w:type="spellStart"/>
      <w:r w:rsidRPr="00664D52">
        <w:rPr>
          <w:rFonts w:ascii="Helvetica" w:hAnsi="Helvetica" w:cstheme="minorHAnsi"/>
        </w:rPr>
        <w:t>Dolf</w:t>
      </w:r>
      <w:proofErr w:type="spellEnd"/>
      <w:r w:rsidRPr="00664D52">
        <w:rPr>
          <w:rFonts w:ascii="Helvetica" w:hAnsi="Helvetica" w:cstheme="minorHAnsi"/>
        </w:rPr>
        <w:t xml:space="preserve"> Gielen</w:t>
      </w:r>
      <w:r w:rsidRPr="00664D52">
        <w:rPr>
          <w:rFonts w:ascii="Helvetica" w:hAnsi="Helvetica" w:cstheme="minorHAnsi"/>
          <w:vertAlign w:val="superscript"/>
        </w:rPr>
        <w:t>3</w:t>
      </w:r>
      <w:r w:rsidRPr="00664D52">
        <w:rPr>
          <w:rFonts w:ascii="Helvetica" w:hAnsi="Helvetica" w:cstheme="minorHAnsi"/>
        </w:rPr>
        <w:t xml:space="preserve">, </w:t>
      </w:r>
      <w:proofErr w:type="spellStart"/>
      <w:r w:rsidRPr="00664D52">
        <w:rPr>
          <w:rFonts w:ascii="Helvetica" w:hAnsi="Helvetica" w:cstheme="minorHAnsi"/>
        </w:rPr>
        <w:t>Seungwoo</w:t>
      </w:r>
      <w:proofErr w:type="spellEnd"/>
      <w:r w:rsidRPr="00664D52">
        <w:rPr>
          <w:rFonts w:ascii="Helvetica" w:hAnsi="Helvetica" w:cstheme="minorHAnsi"/>
        </w:rPr>
        <w:t xml:space="preserve"> Kang</w:t>
      </w:r>
      <w:r w:rsidRPr="00664D52">
        <w:rPr>
          <w:rFonts w:ascii="Helvetica" w:hAnsi="Helvetica" w:cstheme="minorHAnsi"/>
          <w:vertAlign w:val="superscript"/>
        </w:rPr>
        <w:t>3,4</w:t>
      </w:r>
      <w:r w:rsidRPr="00664D52">
        <w:rPr>
          <w:rFonts w:ascii="Helvetica" w:hAnsi="Helvetica" w:cstheme="minorHAnsi"/>
        </w:rPr>
        <w:t xml:space="preserve">, Morgan </w:t>
      </w:r>
      <w:r w:rsidRPr="00664D52">
        <w:rPr>
          <w:rFonts w:ascii="Helvetica" w:eastAsia="Arial" w:hAnsi="Helvetica" w:cstheme="minorHAnsi"/>
          <w:lang w:eastAsia="en-US"/>
        </w:rPr>
        <w:t>Bazilian</w:t>
      </w:r>
      <w:r w:rsidRPr="00664D52">
        <w:rPr>
          <w:rFonts w:ascii="Helvetica" w:eastAsia="Arial" w:hAnsi="Helvetica" w:cstheme="minorHAnsi"/>
          <w:vertAlign w:val="superscript"/>
          <w:lang w:eastAsia="en-US"/>
        </w:rPr>
        <w:t>2</w:t>
      </w:r>
      <w:r w:rsidRPr="00664D52">
        <w:rPr>
          <w:rFonts w:ascii="Helvetica" w:eastAsia="Arial" w:hAnsi="Helvetica" w:cstheme="minorHAnsi"/>
          <w:lang w:eastAsia="en-US"/>
        </w:rPr>
        <w:t xml:space="preserve">, and </w:t>
      </w:r>
      <w:r w:rsidRPr="00664D52">
        <w:rPr>
          <w:rFonts w:ascii="Helvetica" w:hAnsi="Helvetica" w:cstheme="minorHAnsi"/>
        </w:rPr>
        <w:t>Steven J. Davis</w:t>
      </w:r>
      <w:r w:rsidRPr="00664D52">
        <w:rPr>
          <w:rFonts w:ascii="Helvetica" w:hAnsi="Helvetica" w:cstheme="minorHAnsi"/>
          <w:vertAlign w:val="superscript"/>
        </w:rPr>
        <w:t>1,5*</w:t>
      </w:r>
    </w:p>
    <w:p w14:paraId="44736254" w14:textId="77777777" w:rsidR="003E6991" w:rsidRPr="00664D52" w:rsidRDefault="003E6991" w:rsidP="003E6991">
      <w:pPr>
        <w:spacing w:line="360" w:lineRule="auto"/>
        <w:rPr>
          <w:rFonts w:ascii="Helvetica" w:eastAsia="Arial" w:hAnsi="Helvetica" w:cstheme="minorHAnsi"/>
          <w:sz w:val="22"/>
          <w:szCs w:val="22"/>
          <w:lang w:eastAsia="en-US"/>
        </w:rPr>
      </w:pPr>
    </w:p>
    <w:p w14:paraId="199012F9" w14:textId="77777777" w:rsidR="003E6991" w:rsidRPr="00664D52" w:rsidRDefault="003E6991" w:rsidP="003E6991">
      <w:pPr>
        <w:spacing w:line="360" w:lineRule="auto"/>
        <w:rPr>
          <w:rFonts w:ascii="Helvetica" w:eastAsia="Arial" w:hAnsi="Helvetica" w:cstheme="minorHAnsi"/>
          <w:sz w:val="22"/>
          <w:szCs w:val="22"/>
          <w:lang w:eastAsia="en-US"/>
        </w:rPr>
      </w:pPr>
    </w:p>
    <w:p w14:paraId="4734A7DC" w14:textId="77777777" w:rsidR="003E6991" w:rsidRPr="00664D52" w:rsidRDefault="003E6991" w:rsidP="003E6991">
      <w:pPr>
        <w:spacing w:line="276" w:lineRule="auto"/>
        <w:rPr>
          <w:rFonts w:ascii="Helvetica" w:eastAsia="Arial" w:hAnsi="Helvetica" w:cstheme="minorHAnsi"/>
          <w:i/>
          <w:iCs/>
          <w:sz w:val="20"/>
          <w:szCs w:val="20"/>
          <w:lang w:eastAsia="en-US"/>
        </w:rPr>
      </w:pPr>
      <w:r w:rsidRPr="00664D52">
        <w:rPr>
          <w:rFonts w:ascii="Helvetica" w:eastAsia="Arial" w:hAnsi="Helvetica" w:cstheme="minorHAnsi"/>
          <w:i/>
          <w:iCs/>
          <w:sz w:val="20"/>
          <w:szCs w:val="20"/>
          <w:vertAlign w:val="superscript"/>
          <w:lang w:eastAsia="en-US"/>
        </w:rPr>
        <w:t>1</w:t>
      </w:r>
      <w:r w:rsidRPr="00664D52">
        <w:rPr>
          <w:rFonts w:ascii="Helvetica" w:eastAsia="Arial" w:hAnsi="Helvetica" w:cstheme="minorHAnsi"/>
          <w:i/>
          <w:iCs/>
          <w:sz w:val="20"/>
          <w:szCs w:val="20"/>
          <w:lang w:eastAsia="en-US"/>
        </w:rPr>
        <w:t xml:space="preserve"> Department of Earth System Science, University of California, Irvine, Irvine, CA</w:t>
      </w:r>
    </w:p>
    <w:p w14:paraId="4A186EC0" w14:textId="77777777" w:rsidR="003E6991" w:rsidRPr="00664D52" w:rsidRDefault="003E6991" w:rsidP="003E6991">
      <w:pPr>
        <w:spacing w:line="276" w:lineRule="auto"/>
        <w:rPr>
          <w:rFonts w:ascii="Helvetica" w:eastAsia="Arial" w:hAnsi="Helvetica" w:cstheme="minorHAnsi"/>
          <w:i/>
          <w:iCs/>
          <w:sz w:val="20"/>
          <w:szCs w:val="20"/>
          <w:lang w:eastAsia="en-US"/>
        </w:rPr>
      </w:pPr>
      <w:r w:rsidRPr="00664D52">
        <w:rPr>
          <w:rFonts w:ascii="Helvetica" w:eastAsia="Arial" w:hAnsi="Helvetica" w:cstheme="minorHAnsi"/>
          <w:i/>
          <w:iCs/>
          <w:sz w:val="20"/>
          <w:szCs w:val="20"/>
          <w:vertAlign w:val="superscript"/>
          <w:lang w:eastAsia="en-US"/>
        </w:rPr>
        <w:t xml:space="preserve">2 </w:t>
      </w:r>
      <w:r w:rsidRPr="00664D52">
        <w:rPr>
          <w:rFonts w:ascii="Helvetica" w:eastAsia="Arial" w:hAnsi="Helvetica" w:cstheme="minorHAnsi"/>
          <w:i/>
          <w:iCs/>
          <w:sz w:val="20"/>
          <w:szCs w:val="20"/>
          <w:lang w:eastAsia="en-US"/>
        </w:rPr>
        <w:t>The Payne Institute for Public Policy, Colorado School of Mines, Golden, CO</w:t>
      </w:r>
    </w:p>
    <w:p w14:paraId="265D8EB3" w14:textId="77777777" w:rsidR="003E6991" w:rsidRPr="00664D52" w:rsidRDefault="003E6991" w:rsidP="003E6991">
      <w:pPr>
        <w:spacing w:line="276" w:lineRule="auto"/>
        <w:outlineLvl w:val="0"/>
        <w:rPr>
          <w:rFonts w:ascii="Helvetica" w:eastAsia="Arial" w:hAnsi="Helvetica" w:cstheme="minorHAnsi"/>
          <w:i/>
          <w:iCs/>
          <w:sz w:val="20"/>
          <w:szCs w:val="20"/>
          <w:lang w:eastAsia="en-US"/>
        </w:rPr>
      </w:pPr>
      <w:r w:rsidRPr="00664D52">
        <w:rPr>
          <w:rFonts w:ascii="Helvetica" w:eastAsia="Arial" w:hAnsi="Helvetica" w:cstheme="minorHAnsi"/>
          <w:i/>
          <w:iCs/>
          <w:sz w:val="20"/>
          <w:szCs w:val="20"/>
          <w:vertAlign w:val="superscript"/>
          <w:lang w:eastAsia="en-US"/>
        </w:rPr>
        <w:t>3</w:t>
      </w:r>
      <w:r w:rsidRPr="00664D52">
        <w:rPr>
          <w:rFonts w:ascii="Helvetica" w:eastAsia="Arial" w:hAnsi="Helvetica" w:cstheme="minorHAnsi"/>
          <w:i/>
          <w:iCs/>
          <w:sz w:val="20"/>
          <w:szCs w:val="20"/>
          <w:lang w:eastAsia="en-US"/>
        </w:rPr>
        <w:t xml:space="preserve"> Innovation and Technology Center, International Renewable Energy Agency, Bonn, Germany</w:t>
      </w:r>
    </w:p>
    <w:p w14:paraId="6E381F6C" w14:textId="77777777" w:rsidR="003E6991" w:rsidRPr="00664D52" w:rsidRDefault="003E6991" w:rsidP="003E6991">
      <w:pPr>
        <w:spacing w:line="276" w:lineRule="auto"/>
        <w:outlineLvl w:val="0"/>
        <w:rPr>
          <w:rFonts w:ascii="Helvetica" w:eastAsia="Arial" w:hAnsi="Helvetica" w:cstheme="minorHAnsi"/>
          <w:i/>
          <w:iCs/>
          <w:sz w:val="20"/>
          <w:szCs w:val="20"/>
          <w:lang w:eastAsia="en-US"/>
        </w:rPr>
      </w:pPr>
      <w:r w:rsidRPr="00664D52">
        <w:rPr>
          <w:rFonts w:ascii="Helvetica" w:eastAsia="Arial" w:hAnsi="Helvetica" w:cstheme="minorHAnsi"/>
          <w:i/>
          <w:iCs/>
          <w:sz w:val="20"/>
          <w:szCs w:val="20"/>
          <w:vertAlign w:val="superscript"/>
          <w:lang w:eastAsia="en-US"/>
        </w:rPr>
        <w:t>4</w:t>
      </w:r>
      <w:r w:rsidRPr="00664D52">
        <w:rPr>
          <w:rFonts w:ascii="Helvetica" w:eastAsia="Arial" w:hAnsi="Helvetica" w:cstheme="minorHAnsi"/>
          <w:i/>
          <w:iCs/>
          <w:sz w:val="20"/>
          <w:szCs w:val="20"/>
          <w:lang w:eastAsia="en-US"/>
        </w:rPr>
        <w:t xml:space="preserve"> </w:t>
      </w:r>
      <w:proofErr w:type="spellStart"/>
      <w:r w:rsidRPr="00664D52">
        <w:rPr>
          <w:rFonts w:ascii="Helvetica" w:eastAsia="Arial" w:hAnsi="Helvetica" w:cstheme="minorHAnsi"/>
          <w:i/>
          <w:iCs/>
          <w:sz w:val="20"/>
          <w:szCs w:val="20"/>
          <w:lang w:eastAsia="en-US"/>
        </w:rPr>
        <w:t>OneTech</w:t>
      </w:r>
      <w:proofErr w:type="spellEnd"/>
      <w:r w:rsidRPr="00664D52">
        <w:rPr>
          <w:rFonts w:ascii="Helvetica" w:eastAsia="Arial" w:hAnsi="Helvetica" w:cstheme="minorHAnsi"/>
          <w:i/>
          <w:iCs/>
          <w:sz w:val="20"/>
          <w:szCs w:val="20"/>
          <w:lang w:eastAsia="en-US"/>
        </w:rPr>
        <w:t xml:space="preserve">, </w:t>
      </w:r>
      <w:proofErr w:type="spellStart"/>
      <w:r w:rsidRPr="00664D52">
        <w:rPr>
          <w:rFonts w:ascii="Helvetica" w:eastAsia="Arial" w:hAnsi="Helvetica" w:cstheme="minorHAnsi"/>
          <w:i/>
          <w:iCs/>
          <w:sz w:val="20"/>
          <w:szCs w:val="20"/>
          <w:lang w:eastAsia="en-US"/>
        </w:rPr>
        <w:t>TotalEnergies</w:t>
      </w:r>
      <w:proofErr w:type="spellEnd"/>
      <w:r w:rsidRPr="00664D52">
        <w:rPr>
          <w:rFonts w:ascii="Helvetica" w:eastAsia="Arial" w:hAnsi="Helvetica" w:cstheme="minorHAnsi"/>
          <w:i/>
          <w:iCs/>
          <w:sz w:val="20"/>
          <w:szCs w:val="20"/>
          <w:lang w:eastAsia="en-US"/>
        </w:rPr>
        <w:t>, Paris-</w:t>
      </w:r>
      <w:proofErr w:type="spellStart"/>
      <w:r w:rsidRPr="00664D52">
        <w:rPr>
          <w:rFonts w:ascii="Helvetica" w:eastAsia="Arial" w:hAnsi="Helvetica" w:cstheme="minorHAnsi"/>
          <w:i/>
          <w:iCs/>
          <w:sz w:val="20"/>
          <w:szCs w:val="20"/>
          <w:lang w:eastAsia="en-US"/>
        </w:rPr>
        <w:t>Saclay</w:t>
      </w:r>
      <w:proofErr w:type="spellEnd"/>
      <w:r w:rsidRPr="00664D52">
        <w:rPr>
          <w:rFonts w:ascii="Helvetica" w:eastAsia="Arial" w:hAnsi="Helvetica" w:cstheme="minorHAnsi"/>
          <w:i/>
          <w:iCs/>
          <w:sz w:val="20"/>
          <w:szCs w:val="20"/>
          <w:lang w:eastAsia="en-US"/>
        </w:rPr>
        <w:t>, France</w:t>
      </w:r>
    </w:p>
    <w:p w14:paraId="7A1A6D7D" w14:textId="77777777" w:rsidR="003E6991" w:rsidRPr="00664D52" w:rsidRDefault="003E6991" w:rsidP="003E6991">
      <w:pPr>
        <w:spacing w:line="276" w:lineRule="auto"/>
        <w:rPr>
          <w:rFonts w:ascii="Helvetica" w:eastAsia="Arial" w:hAnsi="Helvetica" w:cstheme="minorHAnsi"/>
          <w:i/>
          <w:iCs/>
          <w:sz w:val="20"/>
          <w:szCs w:val="20"/>
          <w:lang w:eastAsia="en-US"/>
        </w:rPr>
      </w:pPr>
      <w:r w:rsidRPr="00664D52">
        <w:rPr>
          <w:rFonts w:ascii="Helvetica" w:eastAsia="Arial" w:hAnsi="Helvetica" w:cstheme="minorHAnsi"/>
          <w:i/>
          <w:iCs/>
          <w:sz w:val="20"/>
          <w:szCs w:val="20"/>
          <w:vertAlign w:val="superscript"/>
          <w:lang w:eastAsia="en-US"/>
        </w:rPr>
        <w:t>5</w:t>
      </w:r>
      <w:r w:rsidRPr="00664D52">
        <w:rPr>
          <w:rFonts w:ascii="Helvetica" w:eastAsia="Arial" w:hAnsi="Helvetica" w:cstheme="minorHAnsi"/>
          <w:i/>
          <w:iCs/>
          <w:sz w:val="20"/>
          <w:szCs w:val="20"/>
          <w:lang w:eastAsia="en-US"/>
        </w:rPr>
        <w:t xml:space="preserve"> Department of Civil and Environmental Engineering, University of California, Irvine, Irvine, CA</w:t>
      </w:r>
    </w:p>
    <w:p w14:paraId="62E74CF8" w14:textId="77777777" w:rsidR="003E6991" w:rsidRPr="00664D52" w:rsidRDefault="003E6991" w:rsidP="003E6991">
      <w:pPr>
        <w:spacing w:line="276" w:lineRule="auto"/>
        <w:outlineLvl w:val="0"/>
        <w:rPr>
          <w:rFonts w:ascii="Helvetica" w:eastAsia="Arial" w:hAnsi="Helvetica" w:cstheme="minorHAnsi"/>
          <w:i/>
          <w:iCs/>
          <w:sz w:val="20"/>
          <w:szCs w:val="20"/>
          <w:lang w:eastAsia="en-US"/>
        </w:rPr>
      </w:pPr>
    </w:p>
    <w:p w14:paraId="5E80A9F9" w14:textId="77777777" w:rsidR="003E6991" w:rsidRPr="00664D52" w:rsidRDefault="003E6991" w:rsidP="003E6991">
      <w:pPr>
        <w:spacing w:line="276" w:lineRule="auto"/>
        <w:rPr>
          <w:rFonts w:ascii="Helvetica" w:eastAsia="Arial" w:hAnsi="Helvetica" w:cstheme="minorHAnsi"/>
          <w:i/>
          <w:iCs/>
          <w:sz w:val="20"/>
          <w:szCs w:val="20"/>
          <w:lang w:eastAsia="en-US"/>
        </w:rPr>
      </w:pPr>
    </w:p>
    <w:p w14:paraId="0905942C" w14:textId="77777777" w:rsidR="003E6991" w:rsidRPr="00664D52" w:rsidRDefault="003E6991" w:rsidP="003E6991">
      <w:pPr>
        <w:spacing w:line="360" w:lineRule="auto"/>
        <w:rPr>
          <w:rFonts w:ascii="Helvetica" w:eastAsia="Arial" w:hAnsi="Helvetica" w:cstheme="minorHAnsi"/>
          <w:sz w:val="22"/>
          <w:szCs w:val="22"/>
          <w:lang w:eastAsia="en-US"/>
        </w:rPr>
      </w:pPr>
    </w:p>
    <w:p w14:paraId="3611FFE0" w14:textId="77777777" w:rsidR="003E6991" w:rsidRPr="00664D52" w:rsidRDefault="003E6991" w:rsidP="003E6991">
      <w:pPr>
        <w:spacing w:line="360" w:lineRule="auto"/>
        <w:rPr>
          <w:rFonts w:ascii="Helvetica" w:eastAsia="Arial" w:hAnsi="Helvetica" w:cstheme="minorHAnsi"/>
          <w:sz w:val="20"/>
          <w:szCs w:val="20"/>
          <w:lang w:eastAsia="en-US"/>
        </w:rPr>
      </w:pPr>
      <w:r w:rsidRPr="00664D52">
        <w:rPr>
          <w:rFonts w:ascii="Helvetica" w:eastAsia="Arial" w:hAnsi="Helvetica" w:cstheme="minorHAnsi"/>
          <w:sz w:val="20"/>
          <w:szCs w:val="20"/>
          <w:lang w:eastAsia="en-US"/>
        </w:rPr>
        <w:t>*</w:t>
      </w:r>
      <w:proofErr w:type="gramStart"/>
      <w:r w:rsidRPr="00664D52">
        <w:rPr>
          <w:rFonts w:ascii="Helvetica" w:eastAsia="Arial" w:hAnsi="Helvetica" w:cstheme="minorHAnsi"/>
          <w:sz w:val="20"/>
          <w:szCs w:val="20"/>
          <w:lang w:eastAsia="en-US"/>
        </w:rPr>
        <w:t>corresponding</w:t>
      </w:r>
      <w:proofErr w:type="gramEnd"/>
      <w:r w:rsidRPr="00664D52">
        <w:rPr>
          <w:rFonts w:ascii="Helvetica" w:eastAsia="Arial" w:hAnsi="Helvetica" w:cstheme="minorHAnsi"/>
          <w:sz w:val="20"/>
          <w:szCs w:val="20"/>
          <w:lang w:eastAsia="en-US"/>
        </w:rPr>
        <w:t xml:space="preserve"> authors: </w:t>
      </w:r>
      <w:hyperlink r:id="rId8" w:history="1">
        <w:r w:rsidRPr="00664D52">
          <w:rPr>
            <w:rStyle w:val="Hyperlink"/>
            <w:rFonts w:ascii="Helvetica" w:eastAsia="Arial" w:hAnsi="Helvetica" w:cstheme="minorHAnsi"/>
            <w:sz w:val="20"/>
            <w:szCs w:val="20"/>
            <w:lang w:eastAsia="en-US"/>
          </w:rPr>
          <w:t>mcberge1@uci.edu</w:t>
        </w:r>
      </w:hyperlink>
      <w:r w:rsidRPr="00664D52">
        <w:rPr>
          <w:rFonts w:ascii="Helvetica" w:eastAsia="Arial" w:hAnsi="Helvetica" w:cstheme="minorHAnsi"/>
          <w:sz w:val="20"/>
          <w:szCs w:val="20"/>
          <w:lang w:eastAsia="en-US"/>
        </w:rPr>
        <w:t xml:space="preserve"> and </w:t>
      </w:r>
      <w:hyperlink r:id="rId9" w:history="1">
        <w:r w:rsidRPr="00664D52">
          <w:rPr>
            <w:rStyle w:val="Hyperlink"/>
            <w:rFonts w:ascii="Helvetica" w:eastAsia="Arial" w:hAnsi="Helvetica" w:cstheme="minorHAnsi"/>
            <w:sz w:val="20"/>
            <w:szCs w:val="20"/>
            <w:lang w:eastAsia="en-US"/>
          </w:rPr>
          <w:t>sjdavis@uci.edu</w:t>
        </w:r>
      </w:hyperlink>
      <w:r w:rsidRPr="00664D52">
        <w:rPr>
          <w:rFonts w:ascii="Helvetica" w:eastAsia="Arial" w:hAnsi="Helvetica" w:cstheme="minorHAnsi"/>
          <w:sz w:val="20"/>
          <w:szCs w:val="20"/>
          <w:lang w:eastAsia="en-US"/>
        </w:rPr>
        <w:t xml:space="preserve"> </w:t>
      </w:r>
    </w:p>
    <w:p w14:paraId="4763A852" w14:textId="0EFFA73A" w:rsidR="00FF4F57" w:rsidRPr="00664D52" w:rsidRDefault="00B84BA0" w:rsidP="00011DF0">
      <w:pPr>
        <w:spacing w:before="120" w:afterLines="120" w:after="288"/>
        <w:jc w:val="center"/>
        <w:rPr>
          <w:rFonts w:ascii="Helvetica" w:hAnsi="Helvetica" w:cstheme="minorHAnsi"/>
        </w:rPr>
      </w:pPr>
      <w:r w:rsidRPr="00664D52">
        <w:rPr>
          <w:rFonts w:ascii="Helvetica" w:hAnsi="Helvetica" w:cstheme="minorHAnsi"/>
          <w:noProof/>
        </w:rPr>
        <w:lastRenderedPageBreak/>
        <w:drawing>
          <wp:inline distT="0" distB="0" distL="0" distR="0" wp14:anchorId="00BF1ADD" wp14:editId="2BD7E103">
            <wp:extent cx="4790941" cy="6951088"/>
            <wp:effectExtent l="0" t="0" r="0" b="0"/>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histo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1329" cy="7038704"/>
                    </a:xfrm>
                    <a:prstGeom prst="rect">
                      <a:avLst/>
                    </a:prstGeom>
                  </pic:spPr>
                </pic:pic>
              </a:graphicData>
            </a:graphic>
          </wp:inline>
        </w:drawing>
      </w:r>
    </w:p>
    <w:p w14:paraId="29FE3D84" w14:textId="3CD395CB" w:rsidR="00B84BA0" w:rsidRPr="00664D52" w:rsidRDefault="00FF4F57" w:rsidP="00011DF0">
      <w:pPr>
        <w:spacing w:before="120" w:afterLines="120" w:after="288"/>
        <w:jc w:val="both"/>
        <w:rPr>
          <w:rFonts w:ascii="Helvetica" w:hAnsi="Helvetica" w:cstheme="minorHAnsi"/>
          <w:sz w:val="20"/>
          <w:szCs w:val="20"/>
        </w:rPr>
      </w:pPr>
      <w:r w:rsidRPr="00664D52">
        <w:rPr>
          <w:rFonts w:ascii="Helvetica" w:hAnsi="Helvetica" w:cstheme="minorHAnsi"/>
          <w:b/>
          <w:sz w:val="20"/>
          <w:szCs w:val="20"/>
        </w:rPr>
        <w:t xml:space="preserve">Supplementary </w:t>
      </w:r>
      <w:r w:rsidRPr="00664D52">
        <w:rPr>
          <w:rFonts w:ascii="Helvetica" w:hAnsi="Helvetica" w:cstheme="minorHAnsi"/>
          <w:b/>
          <w:bCs/>
          <w:sz w:val="20"/>
          <w:szCs w:val="20"/>
        </w:rPr>
        <w:t>Fig. 1 |</w:t>
      </w:r>
      <w:r w:rsidRPr="00664D52">
        <w:rPr>
          <w:rFonts w:ascii="Helvetica" w:hAnsi="Helvetica" w:cstheme="minorHAnsi"/>
          <w:sz w:val="20"/>
          <w:szCs w:val="20"/>
        </w:rPr>
        <w:t xml:space="preserve"> </w:t>
      </w:r>
      <w:r w:rsidR="00CE6565" w:rsidRPr="00664D52">
        <w:rPr>
          <w:rFonts w:ascii="Helvetica" w:hAnsi="Helvetica" w:cstheme="minorHAnsi"/>
          <w:sz w:val="20"/>
          <w:szCs w:val="20"/>
        </w:rPr>
        <w:t>(</w:t>
      </w:r>
      <w:r w:rsidR="00CE6565" w:rsidRPr="00664D52">
        <w:rPr>
          <w:rFonts w:ascii="Helvetica" w:hAnsi="Helvetica" w:cstheme="minorHAnsi"/>
          <w:b/>
          <w:bCs/>
          <w:sz w:val="20"/>
          <w:szCs w:val="20"/>
        </w:rPr>
        <w:t>b</w:t>
      </w:r>
      <w:r w:rsidR="00CE6565" w:rsidRPr="00664D52">
        <w:rPr>
          <w:rFonts w:ascii="Helvetica" w:hAnsi="Helvetica" w:cstheme="minorHAnsi"/>
          <w:sz w:val="20"/>
          <w:szCs w:val="20"/>
        </w:rPr>
        <w:t xml:space="preserve">) </w:t>
      </w:r>
      <w:r w:rsidRPr="00664D52">
        <w:rPr>
          <w:rFonts w:ascii="Helvetica" w:hAnsi="Helvetica" w:cstheme="minorHAnsi"/>
          <w:sz w:val="20"/>
          <w:szCs w:val="20"/>
        </w:rPr>
        <w:t>Global gross domestic product per capita compared to passenger-kilometers per capita. GDP per capita data from the World Bank</w:t>
      </w:r>
      <w:r w:rsidRPr="00664D52">
        <w:rPr>
          <w:rFonts w:ascii="Helvetica" w:hAnsi="Helvetica" w:cstheme="minorHAnsi"/>
          <w:sz w:val="20"/>
          <w:szCs w:val="20"/>
        </w:rPr>
        <w:fldChar w:fldCharType="begin" w:fldLock="1"/>
      </w:r>
      <w:r w:rsidR="00CE6565" w:rsidRPr="00664D52">
        <w:rPr>
          <w:rFonts w:ascii="Helvetica" w:hAnsi="Helvetica" w:cstheme="minorHAnsi"/>
          <w:sz w:val="20"/>
          <w:szCs w:val="20"/>
        </w:rPr>
        <w:instrText>ADDIN CSL_CITATION {"citationItems":[{"id":"ITEM-1","itemData":{"URL":"https://data.worldbank.org/indicator/ny.gdp.pcap.cd","author":[{"dropping-particle":"","family":"World Bank","given":"","non-dropping-particle":"","parse-names":false,"suffix":""}],"id":"ITEM-1","issued":{"date-parts":[["0"]]},"title":"GDP per capita (current US$).","type":"webpage"},"uris":["http://www.mendeley.com/documents/?uuid=f3e38bd1-1d2d-476d-920b-0468580ffff8"]}],"mendeley":{"formattedCitation":"&lt;sup&gt;1&lt;/sup&gt;","plainTextFormattedCitation":"1","previouslyFormattedCitation":"&lt;sup&gt;1&lt;/sup&gt;"},"properties":{"noteIndex":0},"schema":"https://github.com/citation-style-language/schema/raw/master/csl-citation.json"}</w:instrText>
      </w:r>
      <w:r w:rsidRPr="00664D52">
        <w:rPr>
          <w:rFonts w:ascii="Helvetica" w:hAnsi="Helvetica" w:cstheme="minorHAnsi"/>
          <w:sz w:val="20"/>
          <w:szCs w:val="20"/>
        </w:rPr>
        <w:fldChar w:fldCharType="separate"/>
      </w:r>
      <w:r w:rsidR="000B0D82" w:rsidRPr="00664D52">
        <w:rPr>
          <w:rFonts w:ascii="Helvetica" w:hAnsi="Helvetica" w:cstheme="minorHAnsi"/>
          <w:noProof/>
          <w:sz w:val="20"/>
          <w:szCs w:val="20"/>
          <w:vertAlign w:val="superscript"/>
        </w:rPr>
        <w:t>1</w:t>
      </w:r>
      <w:r w:rsidRPr="00664D52">
        <w:rPr>
          <w:rFonts w:ascii="Helvetica" w:hAnsi="Helvetica" w:cstheme="minorHAnsi"/>
          <w:sz w:val="20"/>
          <w:szCs w:val="20"/>
        </w:rPr>
        <w:fldChar w:fldCharType="end"/>
      </w:r>
      <w:r w:rsidRPr="00664D52">
        <w:rPr>
          <w:rFonts w:ascii="Helvetica" w:hAnsi="Helvetica" w:cstheme="minorHAnsi"/>
          <w:sz w:val="20"/>
          <w:szCs w:val="20"/>
        </w:rPr>
        <w:t>, PKM data from ICAO, global population data from the World Bank</w:t>
      </w:r>
      <w:r w:rsidRPr="00664D52">
        <w:rPr>
          <w:rFonts w:ascii="Helvetica" w:hAnsi="Helvetica" w:cstheme="minorHAnsi"/>
          <w:sz w:val="20"/>
          <w:szCs w:val="20"/>
        </w:rPr>
        <w:fldChar w:fldCharType="begin" w:fldLock="1"/>
      </w:r>
      <w:r w:rsidR="00BB1C38" w:rsidRPr="00664D52">
        <w:rPr>
          <w:rFonts w:ascii="Helvetica" w:hAnsi="Helvetica" w:cstheme="minorHAnsi"/>
          <w:sz w:val="20"/>
          <w:szCs w:val="20"/>
        </w:rPr>
        <w:instrText>ADDIN CSL_CITATION {"citationItems":[{"id":"ITEM-1","itemData":{"URL":"https://data.worldbank.org/indicator/SP.POP.TOTL","author":[{"dropping-particle":"","family":"World Bank","given":"","non-dropping-particle":"","parse-names":false,"suffix":""}],"id":"ITEM-1","issued":{"date-parts":[["0"]]},"title":"Population, total","type":"webpage"},"uris":["http://www.mendeley.com/documents/?uuid=d564895e-5fe3-4ae5-a2c6-e80a0ef1a19b"]}],"mendeley":{"formattedCitation":"&lt;sup&gt;2&lt;/sup&gt;","plainTextFormattedCitation":"2","previouslyFormattedCitation":"&lt;sup&gt;2&lt;/sup&gt;"},"properties":{"noteIndex":0},"schema":"https://github.com/citation-style-language/schema/raw/master/csl-citation.json"}</w:instrText>
      </w:r>
      <w:r w:rsidRPr="00664D52">
        <w:rPr>
          <w:rFonts w:ascii="Helvetica" w:hAnsi="Helvetica" w:cstheme="minorHAnsi"/>
          <w:sz w:val="20"/>
          <w:szCs w:val="20"/>
        </w:rPr>
        <w:fldChar w:fldCharType="separate"/>
      </w:r>
      <w:r w:rsidR="000B0D82" w:rsidRPr="00664D52">
        <w:rPr>
          <w:rFonts w:ascii="Helvetica" w:hAnsi="Helvetica" w:cstheme="minorHAnsi"/>
          <w:noProof/>
          <w:sz w:val="20"/>
          <w:szCs w:val="20"/>
          <w:vertAlign w:val="superscript"/>
        </w:rPr>
        <w:t>2</w:t>
      </w:r>
      <w:r w:rsidRPr="00664D52">
        <w:rPr>
          <w:rFonts w:ascii="Helvetica" w:hAnsi="Helvetica" w:cstheme="minorHAnsi"/>
          <w:sz w:val="20"/>
          <w:szCs w:val="20"/>
        </w:rPr>
        <w:fldChar w:fldCharType="end"/>
      </w:r>
      <w:r w:rsidRPr="00664D52">
        <w:rPr>
          <w:rFonts w:ascii="Helvetica" w:hAnsi="Helvetica" w:cstheme="minorHAnsi"/>
          <w:sz w:val="20"/>
          <w:szCs w:val="20"/>
        </w:rPr>
        <w:t>.</w:t>
      </w:r>
      <w:r w:rsidR="00CE6565" w:rsidRPr="00664D52">
        <w:rPr>
          <w:rFonts w:ascii="Helvetica" w:hAnsi="Helvetica" w:cstheme="minorHAnsi"/>
          <w:sz w:val="20"/>
          <w:szCs w:val="20"/>
        </w:rPr>
        <w:t xml:space="preserve"> (</w:t>
      </w:r>
      <w:r w:rsidR="00CE6565" w:rsidRPr="00664D52">
        <w:rPr>
          <w:rFonts w:ascii="Helvetica" w:hAnsi="Helvetica" w:cstheme="minorHAnsi"/>
          <w:b/>
          <w:bCs/>
          <w:sz w:val="20"/>
          <w:szCs w:val="20"/>
        </w:rPr>
        <w:t>b</w:t>
      </w:r>
      <w:r w:rsidR="00CE6565" w:rsidRPr="00664D52">
        <w:rPr>
          <w:rFonts w:ascii="Helvetica" w:hAnsi="Helvetica" w:cstheme="minorHAnsi"/>
          <w:sz w:val="20"/>
          <w:szCs w:val="20"/>
        </w:rPr>
        <w:t>) Aviation demand by country based on passengers carried over country’s population and GDP per capita all data from the World Bank</w:t>
      </w:r>
      <w:r w:rsidR="00CE6565" w:rsidRPr="00664D52">
        <w:rPr>
          <w:rFonts w:ascii="Helvetica" w:hAnsi="Helvetica" w:cstheme="minorHAnsi"/>
          <w:sz w:val="20"/>
          <w:szCs w:val="20"/>
        </w:rPr>
        <w:fldChar w:fldCharType="begin" w:fldLock="1"/>
      </w:r>
      <w:r w:rsidR="00BB1C38" w:rsidRPr="00664D52">
        <w:rPr>
          <w:rFonts w:ascii="Helvetica" w:hAnsi="Helvetica" w:cstheme="minorHAnsi"/>
          <w:sz w:val="20"/>
          <w:szCs w:val="20"/>
        </w:rPr>
        <w:instrText>ADDIN CSL_CITATION {"citationItems":[{"id":"ITEM-1","itemData":{"URL":"https://data.worldbank.org/indicator/IS.AIR.PSGR","abstract":"https://data.worldbank.org/indicator/is.air.psgr","accessed":{"date-parts":[["2022","6","24"]]},"author":[{"dropping-particle":"","family":"World Bank (2020b)","given":"","non-dropping-particle":"","parse-names":false,"suffix":""}],"container-title":"World Bank (2020b)","id":"ITEM-1","issued":{"date-parts":[["2020"]]},"title":"Air transport, passengers carried","type":"webpage"},"uris":["http://www.mendeley.com/documents/?uuid=c3ffdb55-2acf-3a21-866c-c133f30c1214"]},{"id":"ITEM-2","itemData":{"URL":"https://data.worldbank.org/indicator/SP.POP.TOTL","author":[{"dropping-particle":"","family":"World Bank","given":"","non-dropping-particle":"","parse-names":false,"suffix":""}],"id":"ITEM-2","issued":{"date-parts":[["0"]]},"title":"Population, total","type":"webpage"},"uris":["http://www.mendeley.com/documents/?uuid=d564895e-5fe3-4ae5-a2c6-e80a0ef1a19b"]},{"id":"ITEM-3","itemData":{"URL":"https://data.worldbank.org/indicator/ny.gdp.pcap.cd","author":[{"dropping-particle":"","family":"World Bank","given":"","non-dropping-particle":"","parse-names":false,"suffix":""}],"id":"ITEM-3","issued":{"date-parts":[["0"]]},"title":"GDP per capita (current US$).","type":"webpage"},"uris":["http://www.mendeley.com/documents/?uuid=f3e38bd1-1d2d-476d-920b-0468580ffff8"]}],"mendeley":{"formattedCitation":"&lt;sup&gt;1–3&lt;/sup&gt;","plainTextFormattedCitation":"1–3","previouslyFormattedCitation":"&lt;sup&gt;1–3&lt;/sup&gt;"},"properties":{"noteIndex":0},"schema":"https://github.com/citation-style-language/schema/raw/master/csl-citation.json"}</w:instrText>
      </w:r>
      <w:r w:rsidR="00CE6565" w:rsidRPr="00664D52">
        <w:rPr>
          <w:rFonts w:ascii="Helvetica" w:hAnsi="Helvetica" w:cstheme="minorHAnsi"/>
          <w:sz w:val="20"/>
          <w:szCs w:val="20"/>
        </w:rPr>
        <w:fldChar w:fldCharType="separate"/>
      </w:r>
      <w:r w:rsidR="00CE6565" w:rsidRPr="00664D52">
        <w:rPr>
          <w:rFonts w:ascii="Helvetica" w:hAnsi="Helvetica" w:cstheme="minorHAnsi"/>
          <w:noProof/>
          <w:sz w:val="20"/>
          <w:szCs w:val="20"/>
          <w:vertAlign w:val="superscript"/>
        </w:rPr>
        <w:t>1–3</w:t>
      </w:r>
      <w:r w:rsidR="00CE6565" w:rsidRPr="00664D52">
        <w:rPr>
          <w:rFonts w:ascii="Helvetica" w:hAnsi="Helvetica" w:cstheme="minorHAnsi"/>
          <w:sz w:val="20"/>
          <w:szCs w:val="20"/>
        </w:rPr>
        <w:fldChar w:fldCharType="end"/>
      </w:r>
      <w:r w:rsidR="00CE6565" w:rsidRPr="00664D52">
        <w:rPr>
          <w:rFonts w:ascii="Helvetica" w:hAnsi="Helvetica" w:cstheme="minorHAnsi"/>
          <w:sz w:val="20"/>
          <w:szCs w:val="20"/>
        </w:rPr>
        <w:t xml:space="preserve">. </w:t>
      </w:r>
      <w:r w:rsidR="008D1A8E" w:rsidRPr="00664D52">
        <w:rPr>
          <w:rFonts w:ascii="Helvetica" w:hAnsi="Helvetica" w:cstheme="minorHAnsi"/>
          <w:sz w:val="20"/>
          <w:szCs w:val="20"/>
        </w:rPr>
        <w:t>Income group classification is also with data form World Bank</w:t>
      </w:r>
      <w:r w:rsidR="008D1A8E" w:rsidRPr="00664D52">
        <w:rPr>
          <w:rFonts w:ascii="Helvetica" w:hAnsi="Helvetica" w:cstheme="minorHAnsi"/>
          <w:sz w:val="20"/>
          <w:szCs w:val="20"/>
        </w:rPr>
        <w:fldChar w:fldCharType="begin" w:fldLock="1"/>
      </w:r>
      <w:r w:rsidR="004654D7" w:rsidRPr="00664D52">
        <w:rPr>
          <w:rFonts w:ascii="Helvetica" w:hAnsi="Helvetica" w:cstheme="minorHAnsi"/>
          <w:sz w:val="20"/>
          <w:szCs w:val="20"/>
        </w:rPr>
        <w:instrText>ADDIN CSL_CITATION {"citationItems":[{"id":"ITEM-1","itemData":{"URL":"https://datahelpdesk.worldbank.org/knowledgebase/articles/906519-world-bank-country-and-lending-groups","abstract":"Historical classification by income in XLS format","author":[{"dropping-particle":"","family":"World Bank","given":"","non-dropping-particle":"","parse-names":false,"suffix":""}],"id":"ITEM-1","issued":{"date-parts":[["0"]]},"title":"World Bank Country and Lending Groups","type":"webpage"},"uris":["http://www.mendeley.com/documents/?uuid=66694d0d-888e-43ac-8eb8-b20f93af0a09"]}],"mendeley":{"formattedCitation":"&lt;sup&gt;4&lt;/sup&gt;","plainTextFormattedCitation":"4","previouslyFormattedCitation":"&lt;sup&gt;4&lt;/sup&gt;"},"properties":{"noteIndex":0},"schema":"https://github.com/citation-style-language/schema/raw/master/csl-citation.json"}</w:instrText>
      </w:r>
      <w:r w:rsidR="008D1A8E" w:rsidRPr="00664D52">
        <w:rPr>
          <w:rFonts w:ascii="Helvetica" w:hAnsi="Helvetica" w:cstheme="minorHAnsi"/>
          <w:sz w:val="20"/>
          <w:szCs w:val="20"/>
        </w:rPr>
        <w:fldChar w:fldCharType="separate"/>
      </w:r>
      <w:r w:rsidR="008D1A8E" w:rsidRPr="00664D52">
        <w:rPr>
          <w:rFonts w:ascii="Helvetica" w:hAnsi="Helvetica" w:cstheme="minorHAnsi"/>
          <w:noProof/>
          <w:sz w:val="20"/>
          <w:szCs w:val="20"/>
          <w:vertAlign w:val="superscript"/>
        </w:rPr>
        <w:t>4</w:t>
      </w:r>
      <w:r w:rsidR="008D1A8E" w:rsidRPr="00664D52">
        <w:rPr>
          <w:rFonts w:ascii="Helvetica" w:hAnsi="Helvetica" w:cstheme="minorHAnsi"/>
          <w:sz w:val="20"/>
          <w:szCs w:val="20"/>
        </w:rPr>
        <w:fldChar w:fldCharType="end"/>
      </w:r>
      <w:r w:rsidR="008D1A8E" w:rsidRPr="00664D52">
        <w:rPr>
          <w:rFonts w:ascii="Helvetica" w:hAnsi="Helvetica" w:cstheme="minorHAnsi"/>
          <w:sz w:val="20"/>
          <w:szCs w:val="20"/>
        </w:rPr>
        <w:t xml:space="preserve">. </w:t>
      </w:r>
      <w:r w:rsidR="00CE6565" w:rsidRPr="00664D52">
        <w:rPr>
          <w:rFonts w:ascii="Helvetica" w:hAnsi="Helvetica" w:cstheme="minorHAnsi"/>
          <w:sz w:val="20"/>
          <w:szCs w:val="20"/>
        </w:rPr>
        <w:t xml:space="preserve">Panel </w:t>
      </w:r>
      <w:r w:rsidR="008D1A8E" w:rsidRPr="00664D52">
        <w:rPr>
          <w:rFonts w:ascii="Helvetica" w:hAnsi="Helvetica" w:cstheme="minorHAnsi"/>
          <w:sz w:val="20"/>
          <w:szCs w:val="20"/>
        </w:rPr>
        <w:t>(</w:t>
      </w:r>
      <w:r w:rsidR="00CE6565" w:rsidRPr="00664D52">
        <w:rPr>
          <w:rFonts w:ascii="Helvetica" w:hAnsi="Helvetica" w:cstheme="minorHAnsi"/>
          <w:b/>
          <w:bCs/>
          <w:sz w:val="20"/>
          <w:szCs w:val="20"/>
        </w:rPr>
        <w:t>b</w:t>
      </w:r>
      <w:r w:rsidR="008D1A8E" w:rsidRPr="00664D52">
        <w:rPr>
          <w:rFonts w:ascii="Helvetica" w:hAnsi="Helvetica" w:cstheme="minorHAnsi"/>
          <w:sz w:val="20"/>
          <w:szCs w:val="20"/>
        </w:rPr>
        <w:t>)</w:t>
      </w:r>
      <w:r w:rsidR="00CE6565" w:rsidRPr="00664D52">
        <w:rPr>
          <w:rFonts w:ascii="Helvetica" w:hAnsi="Helvetica" w:cstheme="minorHAnsi"/>
          <w:sz w:val="20"/>
          <w:szCs w:val="20"/>
        </w:rPr>
        <w:t xml:space="preserve"> omits Ireland (GDP per capita of $80,886 and passengers carried per capita of 34.5)</w:t>
      </w:r>
      <w:r w:rsidR="006638F4" w:rsidRPr="00664D52">
        <w:rPr>
          <w:rFonts w:ascii="Helvetica" w:hAnsi="Helvetica" w:cstheme="minorHAnsi"/>
          <w:sz w:val="20"/>
          <w:szCs w:val="20"/>
        </w:rPr>
        <w:t>. All data form panel (</w:t>
      </w:r>
      <w:r w:rsidR="006638F4" w:rsidRPr="00664D52">
        <w:rPr>
          <w:rFonts w:ascii="Helvetica" w:hAnsi="Helvetica" w:cstheme="minorHAnsi"/>
          <w:b/>
          <w:bCs/>
          <w:sz w:val="20"/>
          <w:szCs w:val="20"/>
        </w:rPr>
        <w:t>b</w:t>
      </w:r>
      <w:r w:rsidR="006638F4" w:rsidRPr="00664D52">
        <w:rPr>
          <w:rFonts w:ascii="Helvetica" w:hAnsi="Helvetica" w:cstheme="minorHAnsi"/>
          <w:sz w:val="20"/>
          <w:szCs w:val="20"/>
        </w:rPr>
        <w:t>) is for 2019, except for Aruba (2018 values), Jamaica (2018 values), Gabon (2016 values), Eritrea (2015 values), Yemen (2018 values) because of data availability.</w:t>
      </w:r>
    </w:p>
    <w:p w14:paraId="11A2B1E7" w14:textId="77777777" w:rsidR="00FF4F57" w:rsidRPr="00664D52" w:rsidRDefault="00FF4F57" w:rsidP="00FF4F57">
      <w:pPr>
        <w:spacing w:before="120" w:afterLines="120" w:after="288"/>
        <w:jc w:val="both"/>
        <w:rPr>
          <w:rFonts w:ascii="Helvetica" w:hAnsi="Helvetica" w:cstheme="minorHAnsi"/>
        </w:rPr>
      </w:pPr>
      <w:r w:rsidRPr="00664D52">
        <w:rPr>
          <w:rFonts w:ascii="Helvetica" w:hAnsi="Helvetica" w:cstheme="minorHAnsi"/>
          <w:noProof/>
        </w:rPr>
        <w:lastRenderedPageBreak/>
        <w:drawing>
          <wp:inline distT="0" distB="0" distL="0" distR="0" wp14:anchorId="095FB077" wp14:editId="37017FC0">
            <wp:extent cx="5895388" cy="45720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l="3419" r="2930"/>
                    <a:stretch/>
                  </pic:blipFill>
                  <pic:spPr bwMode="auto">
                    <a:xfrm>
                      <a:off x="0" y="0"/>
                      <a:ext cx="5910077" cy="4583392"/>
                    </a:xfrm>
                    <a:prstGeom prst="rect">
                      <a:avLst/>
                    </a:prstGeom>
                    <a:ln>
                      <a:noFill/>
                    </a:ln>
                    <a:extLst>
                      <a:ext uri="{53640926-AAD7-44D8-BBD7-CCE9431645EC}">
                        <a14:shadowObscured xmlns:a14="http://schemas.microsoft.com/office/drawing/2010/main"/>
                      </a:ext>
                    </a:extLst>
                  </pic:spPr>
                </pic:pic>
              </a:graphicData>
            </a:graphic>
          </wp:inline>
        </w:drawing>
      </w:r>
    </w:p>
    <w:p w14:paraId="298FB6AC" w14:textId="43F88BB8" w:rsidR="00FF4F57" w:rsidRPr="00664D52" w:rsidRDefault="00FF4F57" w:rsidP="00FF4F57">
      <w:pPr>
        <w:spacing w:before="120" w:afterLines="120" w:after="288"/>
        <w:jc w:val="both"/>
        <w:rPr>
          <w:rFonts w:ascii="Helvetica" w:hAnsi="Helvetica" w:cstheme="minorHAnsi"/>
          <w:sz w:val="20"/>
          <w:szCs w:val="20"/>
        </w:rPr>
      </w:pPr>
      <w:r w:rsidRPr="00664D52">
        <w:rPr>
          <w:rFonts w:ascii="Helvetica" w:hAnsi="Helvetica" w:cstheme="minorHAnsi"/>
          <w:b/>
          <w:bCs/>
          <w:sz w:val="20"/>
          <w:szCs w:val="20"/>
        </w:rPr>
        <w:t>Supplementary Fig. 2 |</w:t>
      </w:r>
      <w:r w:rsidRPr="00664D52">
        <w:rPr>
          <w:rFonts w:ascii="Helvetica" w:hAnsi="Helvetica" w:cstheme="minorHAnsi"/>
          <w:sz w:val="20"/>
          <w:szCs w:val="20"/>
        </w:rPr>
        <w:t xml:space="preserve"> Schematic with different decarbonization options for aviation based on flight time: short-haul (&lt;3 hours), medium-haul (3-6 hours), and long-haul (&gt;6 hours)</w:t>
      </w:r>
      <w:r w:rsidRPr="00664D52">
        <w:rPr>
          <w:rFonts w:ascii="Helvetica" w:hAnsi="Helvetica" w:cstheme="minorHAnsi"/>
          <w:sz w:val="20"/>
          <w:szCs w:val="20"/>
        </w:rPr>
        <w:fldChar w:fldCharType="begin" w:fldLock="1"/>
      </w:r>
      <w:r w:rsidR="004654D7" w:rsidRPr="00664D52">
        <w:rPr>
          <w:rFonts w:ascii="Helvetica" w:hAnsi="Helvetica" w:cstheme="minorHAnsi"/>
          <w:sz w:val="20"/>
          <w:szCs w:val="20"/>
        </w:rPr>
        <w:instrText>ADDIN CSL_CITATION {"citationItems":[{"id":"ITEM-1","itemData":{"URL":"https://guides.developer.iata.org/v202/docs/atsb-fht?highlight=","accessed":{"date-parts":[["2022","5","19"]]},"author":[{"dropping-particle":"","family":"IATA","given":"","non-dropping-particle":"","parse-names":false,"suffix":""}],"id":"ITEM-1","issued":{"date-parts":[["2020","8","28"]]},"title":"FHT Flight haul type - ATSB","type":"webpage"},"uris":["http://www.mendeley.com/documents/?uuid=2a60ccfa-3711-3570-a2da-9a37ab3059da"]}],"mendeley":{"formattedCitation":"&lt;sup&gt;5&lt;/sup&gt;","plainTextFormattedCitation":"5","previouslyFormattedCitation":"&lt;sup&gt;5&lt;/sup&gt;"},"properties":{"noteIndex":0},"schema":"https://github.com/citation-style-language/schema/raw/master/csl-citation.json"}</w:instrText>
      </w:r>
      <w:r w:rsidRPr="00664D52">
        <w:rPr>
          <w:rFonts w:ascii="Helvetica" w:hAnsi="Helvetica" w:cstheme="minorHAnsi"/>
          <w:sz w:val="20"/>
          <w:szCs w:val="20"/>
        </w:rPr>
        <w:fldChar w:fldCharType="separate"/>
      </w:r>
      <w:r w:rsidR="008D1A8E" w:rsidRPr="00664D52">
        <w:rPr>
          <w:rFonts w:ascii="Helvetica" w:hAnsi="Helvetica" w:cstheme="minorHAnsi"/>
          <w:noProof/>
          <w:sz w:val="20"/>
          <w:szCs w:val="20"/>
          <w:vertAlign w:val="superscript"/>
        </w:rPr>
        <w:t>5</w:t>
      </w:r>
      <w:r w:rsidRPr="00664D52">
        <w:rPr>
          <w:rFonts w:ascii="Helvetica" w:hAnsi="Helvetica" w:cstheme="minorHAnsi"/>
          <w:sz w:val="20"/>
          <w:szCs w:val="20"/>
        </w:rPr>
        <w:fldChar w:fldCharType="end"/>
      </w:r>
      <w:r w:rsidRPr="00664D52">
        <w:rPr>
          <w:rFonts w:ascii="Helvetica" w:hAnsi="Helvetica" w:cstheme="minorHAnsi"/>
          <w:sz w:val="20"/>
          <w:szCs w:val="20"/>
        </w:rPr>
        <w:t>. Four main fuels are considered: electricity</w:t>
      </w:r>
      <w:r w:rsidRPr="00664D52">
        <w:rPr>
          <w:rFonts w:ascii="Helvetica" w:hAnsi="Helvetica" w:cstheme="minorHAnsi"/>
          <w:sz w:val="20"/>
          <w:szCs w:val="20"/>
        </w:rPr>
        <w:fldChar w:fldCharType="begin" w:fldLock="1"/>
      </w:r>
      <w:r w:rsidR="004654D7" w:rsidRPr="00664D52">
        <w:rPr>
          <w:rFonts w:ascii="Helvetica" w:hAnsi="Helvetica" w:cstheme="minorHAnsi"/>
          <w:sz w:val="20"/>
          <w:szCs w:val="20"/>
        </w:rPr>
        <w:instrText>ADDIN CSL_CITATION {"citationItems":[{"id":"ITEM-1","itemData":{"DOI":"10.2514/1.B37015/ASSET/IMAGES/LARGE/FIGURE13.JPEG","ISSN":"15333876","abstract":"The reduction of aviation's CO2 emissions is a major objective of the aviation industry. About 98% of the world's aviation CO2 is produced by aircraft with gross takeoff mass above 25 metric tonnes, referred to herein as airliners. Propulsion of such aircraft can require power and energy levels of tens of megawatts and hundreds of thousands of kilowatt hours per flight. The challenges to electrically powering these airliners are examined in the context of CO2 reduction. Additional possible benefits such as noise and cost reduction are explored. All electric (battery), hybrid, and turboelectric approaches are considered. Technical issues including weight, efficiency, and heat rejection are examined. In addition, economic and policy implications of an industry conversion to electric propulsion are discussed. The conclusion of this study is that electric propulsion is not a promising path to significant reduction of aviation's CO2 in the first half of the 21st century.","author":[{"dropping-particle":"","family":"Epstein","given":"Alan H.","non-dropping-particle":"","parse-names":false,"suffix":""},{"dropping-particle":"","family":"O'Flarity","given":"Steven M.","non-dropping-particle":"","parse-names":false,"suffix":""}],"container-title":"Journal of Propulsion and Power","id":"ITEM-1","issue":"3","issued":{"date-parts":[["2019","2","8"]]},"page":"572-582","publisher":"American Institute of Aeronautics and Astronautics Inc.","title":"Considerations for reducing aviation's CO2 with aircraft electric propulsion","type":"article-journal","volume":"35"},"uris":["http://www.mendeley.com/documents/?uuid=9e16b98c-f7dc-31a2-bbbe-9d19635a39e3"]},{"id":"ITEM-2","itemData":{"author":[{"dropping-particle":"","family":"World Economic Forum","given":"","non-dropping-particle":"","parse-names":false,"suffix":""}],"id":"ITEM-2","issued":{"date-parts":[["2020"]]},"title":"Clean Skies for Tomorrow Sustainable Aviation Fuels as a Pathway to Net-Zero Aviation Terms of use and disclaimer","type":"report"},"uris":["http://www.mendeley.com/documents/?uuid=516da3aa-019b-3ec8-9131-9612421d2b3b"]},{"id":"ITEM-3","itemData":{"URL":"https://www.iea.org/reports/aviation","accessed":{"date-parts":[["2021","11","12"]]},"author":[{"dropping-particle":"","family":"IEA","given":"","non-dropping-particle":"","parse-names":false,"suffix":""}],"id":"ITEM-3","issued":{"date-parts":[["2021"]]},"publisher-place":"Paris","title":"Aviation – Analysis","type":"webpage"},"uris":["http://www.mendeley.com/documents/?uuid=49b29cbc-e38d-32ff-a527-104709614a3c"]}],"mendeley":{"formattedCitation":"&lt;sup&gt;6–8&lt;/sup&gt;","plainTextFormattedCitation":"6–8","previouslyFormattedCitation":"&lt;sup&gt;6–8&lt;/sup&gt;"},"properties":{"noteIndex":0},"schema":"https://github.com/citation-style-language/schema/raw/master/csl-citation.json"}</w:instrText>
      </w:r>
      <w:r w:rsidRPr="00664D52">
        <w:rPr>
          <w:rFonts w:ascii="Helvetica" w:hAnsi="Helvetica" w:cstheme="minorHAnsi"/>
          <w:sz w:val="20"/>
          <w:szCs w:val="20"/>
        </w:rPr>
        <w:fldChar w:fldCharType="separate"/>
      </w:r>
      <w:r w:rsidR="008D1A8E" w:rsidRPr="00664D52">
        <w:rPr>
          <w:rFonts w:ascii="Helvetica" w:hAnsi="Helvetica" w:cstheme="minorHAnsi"/>
          <w:noProof/>
          <w:sz w:val="20"/>
          <w:szCs w:val="20"/>
          <w:vertAlign w:val="superscript"/>
        </w:rPr>
        <w:t>6–8</w:t>
      </w:r>
      <w:r w:rsidRPr="00664D52">
        <w:rPr>
          <w:rFonts w:ascii="Helvetica" w:hAnsi="Helvetica" w:cstheme="minorHAnsi"/>
          <w:sz w:val="20"/>
          <w:szCs w:val="20"/>
        </w:rPr>
        <w:fldChar w:fldCharType="end"/>
      </w:r>
      <w:r w:rsidRPr="00664D52">
        <w:rPr>
          <w:rFonts w:ascii="Helvetica" w:hAnsi="Helvetica" w:cstheme="minorHAnsi"/>
          <w:sz w:val="20"/>
          <w:szCs w:val="20"/>
        </w:rPr>
        <w:t>, hydrogen</w:t>
      </w:r>
      <w:r w:rsidRPr="00664D52">
        <w:rPr>
          <w:rFonts w:ascii="Helvetica" w:hAnsi="Helvetica" w:cstheme="minorHAnsi"/>
          <w:sz w:val="20"/>
          <w:szCs w:val="20"/>
        </w:rPr>
        <w:fldChar w:fldCharType="begin" w:fldLock="1"/>
      </w:r>
      <w:r w:rsidR="004654D7" w:rsidRPr="00664D52">
        <w:rPr>
          <w:rFonts w:ascii="Helvetica" w:hAnsi="Helvetica" w:cstheme="minorHAnsi"/>
          <w:sz w:val="20"/>
          <w:szCs w:val="20"/>
        </w:rPr>
        <w:instrText>ADDIN CSL_CITATION {"citationItems":[{"id":"ITEM-1","itemData":{"DOI":"10.1016/J.ENERGY.2021.121126","ISSN":"0360-5442","abstract":"In this study, life cycle assessments and comparative evaluations are performed for different types of renewable and alternative fuels for aircrafts. The life cycle impacts of both hydrogen and ammonia fuels are primarily investigated considering conventional and renewable energy-based routes. The overall life cycle impacts of several hydrocarbon fuels including kerosene, ethanol, methanol, dimethyl ether, and biodiesel are also studied. The steam methane reforming-based route for hydrogen and ammonia fuels is found to have higher global warming potentials as compared to alternative production routes. High phosphate emissions result in a higher freshwater eutrophication potential for the solar-based route for ammonia fuel. Fossil fuel-based dimethyl ether is found to have a comparatively higher global warming potential of 1.3 kgCO2 equivalent per tonne-km amongst the considered hydrocarbon fuels that include ethanol (1.1 kgCO2 equivalent per tonne-km), kerosene (1.04 kgCO2 equivalent per tonne-km), methanol (1.01 kgCO2 equivalent per tonne-km), and biodiesel (1.07 kgCO2 equivalent per tonne-km). Dimethyl ether is found to entail high toxicity potentials and the reduction of life cycle arsenic, barium, cadmium, chromium, cobalt, and lead emissions is recommended. However, higher photochemical ozone formation potentials of 0.0055 and 0.0046 kgNOx equivalent per tonne-km are associated with biodiesel and kerosene fuels respectively.","author":[{"dropping-particle":"","family":"Siddiqui","given":"O.","non-dropping-particle":"","parse-names":false,"suffix":""},{"dropping-particle":"","family":"Dincer","given":"I.","non-dropping-particle":"","parse-names":false,"suffix":""}],"container-title":"Energy","id":"ITEM-1","issued":{"date-parts":[["2021","11","1"]]},"page":"121126","publisher":"Pergamon","title":"A comparative life cycle assessment of clean aviation fuels","type":"article-journal","volume":"234"},"uris":["http://www.mendeley.com/documents/?uuid=b81f2130-902e-32e1-be8a-58098a36aaf9"]},{"id":"ITEM-2","itemData":{"author":[{"dropping-particle":"","family":"World Economic Forum","given":"","non-dropping-particle":"","parse-names":false,"suffix":""}],"id":"ITEM-2","issued":{"date-parts":[["2020"]]},"title":"Clean Skies for Tomorrow Sustainable Aviation Fuels as a Pathway to Net-Zero Aviation Terms of use and disclaimer","type":"report"},"uris":["http://www.mendeley.com/documents/?uuid=516da3aa-019b-3ec8-9131-9612421d2b3b"]},{"id":"ITEM-3","itemData":{"URL":"https://www.iea.org/reports/aviation","accessed":{"date-parts":[["2021","11","12"]]},"author":[{"dropping-particle":"","family":"IEA","given":"","non-dropping-particle":"","parse-names":false,"suffix":""}],"id":"ITEM-3","issued":{"date-parts":[["2021"]]},"publisher-place":"Paris","title":"Aviation – Analysis","type":"webpage"},"uris":["http://www.mendeley.com/documents/?uuid=49b29cbc-e38d-32ff-a527-104709614a3c"]}],"mendeley":{"formattedCitation":"&lt;sup&gt;7–9&lt;/sup&gt;","plainTextFormattedCitation":"7–9","previouslyFormattedCitation":"&lt;sup&gt;7–9&lt;/sup&gt;"},"properties":{"noteIndex":0},"schema":"https://github.com/citation-style-language/schema/raw/master/csl-citation.json"}</w:instrText>
      </w:r>
      <w:r w:rsidRPr="00664D52">
        <w:rPr>
          <w:rFonts w:ascii="Helvetica" w:hAnsi="Helvetica" w:cstheme="minorHAnsi"/>
          <w:sz w:val="20"/>
          <w:szCs w:val="20"/>
        </w:rPr>
        <w:fldChar w:fldCharType="separate"/>
      </w:r>
      <w:r w:rsidR="008D1A8E" w:rsidRPr="00664D52">
        <w:rPr>
          <w:rFonts w:ascii="Helvetica" w:hAnsi="Helvetica" w:cstheme="minorHAnsi"/>
          <w:noProof/>
          <w:sz w:val="20"/>
          <w:szCs w:val="20"/>
          <w:vertAlign w:val="superscript"/>
        </w:rPr>
        <w:t>7–9</w:t>
      </w:r>
      <w:r w:rsidRPr="00664D52">
        <w:rPr>
          <w:rFonts w:ascii="Helvetica" w:hAnsi="Helvetica" w:cstheme="minorHAnsi"/>
          <w:sz w:val="20"/>
          <w:szCs w:val="20"/>
        </w:rPr>
        <w:fldChar w:fldCharType="end"/>
      </w:r>
      <w:r w:rsidRPr="00664D52">
        <w:rPr>
          <w:rFonts w:ascii="Helvetica" w:hAnsi="Helvetica" w:cstheme="minorHAnsi"/>
          <w:sz w:val="20"/>
          <w:szCs w:val="20"/>
        </w:rPr>
        <w:t>, synthetic fuels</w:t>
      </w:r>
      <w:r w:rsidRPr="00664D52">
        <w:rPr>
          <w:rFonts w:ascii="Helvetica" w:hAnsi="Helvetica" w:cstheme="minorHAnsi"/>
          <w:sz w:val="20"/>
          <w:szCs w:val="20"/>
        </w:rPr>
        <w:fldChar w:fldCharType="begin" w:fldLock="1"/>
      </w:r>
      <w:r w:rsidR="004654D7" w:rsidRPr="00664D52">
        <w:rPr>
          <w:rFonts w:ascii="Helvetica" w:hAnsi="Helvetica" w:cstheme="minorHAnsi"/>
          <w:sz w:val="20"/>
          <w:szCs w:val="20"/>
        </w:rPr>
        <w:instrText>ADDIN CSL_CITATION {"citationItems":[{"id":"ITEM-1","itemData":{"DOI":"10.1021/ACS.ENERGYFUELS.6B00665/SUPPL_FILE/EF6B00665_SI_001.PDF","ISSN":"15205029","abstract":"This study seeks to explore whether electrochemical reduction of CO2 (using current US average and future low carbon electricity) will become a viable route for the reuse of CO2 for producing synthetic fuel. This paper presents the results of a technical and economic analysis conducted for a pathway that converts CO2 released from fossil fuel-burning power plants to diesel fuel via electrochemical reduction of CO2 to CO and the Fischer-Tropsch process. Currently achievable performance levels for CO2 electrolyzers and the Fischer-Tropsch process were used to compute key metrics, including (i) cost of the synthetic fuel, (ii) well-to-gate CO2 emissions, and (iii) overall energy efficiency. An engineering and economic model framework was developed for the investigation. The discounted cash flow analysis method was employed to calculate the cost of diesel fuel using a 500 MW power plant as the CO2 source. The model takes into account capital expenditures as well as operating costs for the reactors and auxiliaries. The final cost varies from 3.80 to 9.20 dollars per gallon in 2010 US dollars depending on the projected level of technology achieved. The WTG CO2 emissions vary from 180% (nearly twice) to a reduction of 75% compared to that of the business as usual scenario without carbon sequestration. The well-to-gate energy efficiency varies from 41 to 65%.","author":[{"dropping-particle":"","family":"Li","given":"Xuping","non-dropping-particle":"","parse-names":false,"suffix":""},{"dropping-particle":"","family":"Anderson","given":"Paul","non-dropping-particle":"","parse-names":false,"suffix":""},{"dropping-particle":"","family":"Jhong","given":"Huei Ru Molly","non-dropping-particle":"","parse-names":false,"suffix":""},{"dropping-particle":"","family":"Paster","given":"Mark","non-dropping-particle":"","parse-names":false,"suffix":""},{"dropping-particle":"","family":"Stubbins","given":"James F.","non-dropping-particle":"","parse-names":false,"suffix":""},{"dropping-particle":"","family":"Kenis","given":"Paul J.A.","non-dropping-particle":"","parse-names":false,"suffix":""}],"container-title":"Energy and Fuels","id":"ITEM-1","issue":"7","issued":{"date-parts":[["2016","7","21"]]},"page":"5980-5989","publisher":"American Chemical Society","title":"Greenhouse Gas Emissions, Energy Efficiency, and Cost of Synthetic Fuel Production Using Electrochemical CO2 Conversion and the Fischer-Tropsch Process","type":"article-journal","volume":"30"},"uris":["http://www.mendeley.com/documents/?uuid=919cf770-6779-38ed-b1cb-67bd247b52cf"]},{"id":"ITEM-2","itemData":{"DOI":"10.1038/s41558-021-01032-7","ISSN":"1758-6798","abstract":"E-fuels promise to replace fossil fuels with renewable electricity without the demand-side transformations required for a direct electrification. However, e-fuels’ versatility is counterbalanced by their fragile climate effectiveness, high costs and uncertain availability. E-fuel mitigation costs are €800–1,200 per tCO2. Large-scale deployment could reduce costs to €20–270 per tCO2 until 2050, yet it is unlikely that e-fuels will become cheap and abundant early enough. Neglecting demand-side transformations threatens to lock in a fossil-fuel dependency if e-fuels fall short of expectations. Sensible climate policy supports e-fuel deployment while hedging against the risk of their unavailability at large scale. Policies should be guided by a ‘merit order of end uses’ that prioritizes hydrogen and e-fuels for sectors that are inaccessible to direct electrification. E-fuels—hydrocarbon fuels synthesized from green hydrogen—can replace fossil fuels. This Perspective highlights the opportunities and risks of e-fuels, and concludes that hydrogen and e-fuels should be prioritized for sectors inaccessible to direct electrification.","author":[{"dropping-particle":"","family":"Ueckerdt","given":"Falko","non-dropping-particle":"","parse-names":false,"suffix":""},{"dropping-particle":"","family":"Bauer","given":"Christian","non-dropping-particle":"","parse-names":false,"suffix":""},{"dropping-particle":"","family":"Dirnaichner","given":"Alois","non-dropping-particle":"","parse-names":false,"suffix":""},{"dropping-particle":"","family":"Everall","given":"Jordan","non-dropping-particle":"","parse-names":false,"suffix":""},{"dropping-particle":"","family":"Sacchi","given":"Romain","non-dropping-particle":"","parse-names":false,"suffix":""},{"dropping-particle":"","family":"Luderer","given":"Gunnar","non-dropping-particle":"","parse-names":false,"suffix":""}],"container-title":"Nature Climate Change 2021 11:5","id":"ITEM-2","issue":"5","issued":{"date-parts":[["2021","5","6"]]},"page":"384-393","publisher":"Nature Publishing Group","title":"Potential and risks of hydrogen-based e-fuels in climate change mitigation","type":"article-journal","volume":"11"},"uris":["http://www.mendeley.com/documents/?uuid=9b6cd0e2-012d-34d0-b26e-222743bea226"]},{"id":"ITEM-3","itemData":{"DOI":"10.1002/CITE.201700129","ISSN":"1522-2640","abstract":"Severe reductions in the greenhouse gas intensity of aviation fuels are required to get a growing aviation sector on a flightpath compliant with the Paris Climate Agreement. Introducing renewable energy into aviation is challenging. The power-to-liquid (PtL) pathway uses renewable electricity, CO2, and water to synthesize a sustainable alternative fuel that chemically resembles conventional jet fuel. The state-of-art of key technologies for PtL fuel production as well as the environmental and techno-economic performance of the resulting fuel in comparison with fossil and biomass-derived jet fuel are reviewed.","author":[{"dropping-particle":"","family":"Schmidt","given":"Patrick","non-dropping-particle":"","parse-names":false,"suffix":""},{"dropping-particle":"","family":"Batteiger","given":"Valentin","non-dropping-particle":"","parse-names":false,"suffix":""},{"dropping-particle":"","family":"Roth","given":"Arne","non-dropping-particle":"","parse-names":false,"suffix":""},{"dropping-particle":"","family":"Weindorf","given":"Werner","non-dropping-particle":"","parse-names":false,"suffix":""},{"dropping-particle":"","family":"Raksha","given":"Tetyana","non-dropping-particle":"","parse-names":false,"suffix":""}],"container-title":"Chemie Ingenieur Technik","id":"ITEM-3","issue":"1-2","issued":{"date-parts":[["2018","1","1"]]},"page":"127-140","publisher":"John Wiley &amp; Sons, Ltd","title":"Power-to-Liquids as Renewable Fuel Option for Aviation: A Review","type":"article-journal","volume":"90"},"uris":["http://www.mendeley.com/documents/?uuid=79d017cb-d4d2-3a81-8b2f-0b6d3f7cf6b1"]},{"id":"ITEM-4","itemData":{"URL":"https://www.iea.org/reports/aviation","accessed":{"date-parts":[["2021","11","12"]]},"author":[{"dropping-particle":"","family":"IEA","given":"","non-dropping-particle":"","parse-names":false,"suffix":""}],"id":"ITEM-4","issued":{"date-parts":[["2021"]]},"publisher-place":"Paris","title":"Aviation – Analysis","type":"webpage"},"uris":["http://www.mendeley.com/documents/?uuid=49b29cbc-e38d-32ff-a527-104709614a3c"]},{"id":"ITEM-5","itemData":{"author":[{"dropping-particle":"","family":"World Economic Forum","given":"","non-dropping-particle":"","parse-names":false,"suffix":""}],"id":"ITEM-5","issued":{"date-parts":[["2020"]]},"title":"Clean Skies for Tomorrow Sustainable Aviation Fuels as a Pathway to Net-Zero Aviation Terms of use and disclaimer","type":"report"},"uris":["http://www.mendeley.com/documents/?uuid=516da3aa-019b-3ec8-9131-9612421d2b3b"]}],"mendeley":{"formattedCitation":"&lt;sup&gt;7,8,10–12&lt;/sup&gt;","plainTextFormattedCitation":"7,8,10–12","previouslyFormattedCitation":"&lt;sup&gt;7,8,10–12&lt;/sup&gt;"},"properties":{"noteIndex":0},"schema":"https://github.com/citation-style-language/schema/raw/master/csl-citation.json"}</w:instrText>
      </w:r>
      <w:r w:rsidRPr="00664D52">
        <w:rPr>
          <w:rFonts w:ascii="Helvetica" w:hAnsi="Helvetica" w:cstheme="minorHAnsi"/>
          <w:sz w:val="20"/>
          <w:szCs w:val="20"/>
        </w:rPr>
        <w:fldChar w:fldCharType="separate"/>
      </w:r>
      <w:r w:rsidR="008D1A8E" w:rsidRPr="00664D52">
        <w:rPr>
          <w:rFonts w:ascii="Helvetica" w:hAnsi="Helvetica" w:cstheme="minorHAnsi"/>
          <w:noProof/>
          <w:sz w:val="20"/>
          <w:szCs w:val="20"/>
          <w:vertAlign w:val="superscript"/>
        </w:rPr>
        <w:t>7,8,10–12</w:t>
      </w:r>
      <w:r w:rsidRPr="00664D52">
        <w:rPr>
          <w:rFonts w:ascii="Helvetica" w:hAnsi="Helvetica" w:cstheme="minorHAnsi"/>
          <w:sz w:val="20"/>
          <w:szCs w:val="20"/>
        </w:rPr>
        <w:fldChar w:fldCharType="end"/>
      </w:r>
      <w:r w:rsidRPr="00664D52">
        <w:rPr>
          <w:rFonts w:ascii="Helvetica" w:hAnsi="Helvetica" w:cstheme="minorHAnsi"/>
          <w:sz w:val="20"/>
          <w:szCs w:val="20"/>
        </w:rPr>
        <w:t>, and biofuels</w:t>
      </w:r>
      <w:r w:rsidRPr="00664D52">
        <w:rPr>
          <w:rFonts w:ascii="Helvetica" w:hAnsi="Helvetica" w:cstheme="minorHAnsi"/>
          <w:sz w:val="20"/>
          <w:szCs w:val="20"/>
        </w:rPr>
        <w:fldChar w:fldCharType="begin" w:fldLock="1"/>
      </w:r>
      <w:r w:rsidR="00865131" w:rsidRPr="00664D52">
        <w:rPr>
          <w:rFonts w:ascii="Helvetica" w:hAnsi="Helvetica" w:cstheme="minorHAnsi"/>
          <w:sz w:val="20"/>
          <w:szCs w:val="20"/>
        </w:rPr>
        <w:instrText>ADDIN CSL_CITATION {"citationItems":[{"id":"ITEM-1","itemData":{"DOI":"10.1016/J.JOULE.2021.12.013","ISSN":"2542-4351","abstract":"Dr. Derek Vardon is the chief technology officer of Alder Fuels. Prior to joining Alder Fuels, he worked at the National Renewable Energy Laboratory (NREL) leading research and development projects to decarbonize aviation and heavy-duty ground transportation with fuels produced from biomass and waste. He is the author of over 30 peer-reviewed scientific publications on biofuels and biobased chemicals, inventor on multiple pending and issued US patents, and affiliate faculty member in the department of chemistry at the Colorado School of Mines. He received his BS, MS, and PhD in environmental engineering from the University of Illinois at Urbana-Champaign. Bryan Sherbacow is the chief executive officer of Alder Fuels, which is commercializing technology to enable carbon-negative crude oil from biomass for use in existing refineries. Alder partnered with Honeywell for development and licensing. United Airlines has contracted with Alder for the largest publicly announced agreement for sustainable aviation fuel (SAF) in aviation history to date. Mr. Sherbacow is a recognized pioneer in the development of low carbon fuels and responsible for the first commercialization of SAF. He serves as Chairman of the Low Carbon Fuels Coalition and a steering committee member of the Business Aviation Coalition for SAF. Dr. Kaiyu Guan is a Blue Waters Associate Professor in ecohydrology and remote sensing and the Founding Director of Agroecosystem Sustainability Center at the University of Illinois at Urbana-Champaign (UIUC). He got his PhD at Princeton University and was a postdoc fellow at Stanford University before he joined UIUC in Feb 2016. Guan's group at UIUC focuses on bringing the interdisciplinary domain knowledge (plant ecology, hydrology, biogeochemistry, and climate science), satellite/airborne data, fieldwork, supercomputing, and machine learning together to revolutionize how we monitor and model plant-carbon-water-nutrient interactions for agricultural ecosystems, across the US and globe. Dr. Joshua Heyne is an associate professor of mechanical &amp; aerospace engineering at the University of Dayton. Since 2014, Professor Heyne has worked to streamline the qualification process of SAFs under the 40-institution and 150-member National Jet Fuel Combustion Program (NJFCP). Outside of the NJFCP, Professor Heyne works on SAF candidate prescreening, GCxGC methods, high-performance fuels, and engine design to utilize SAF properties. He is a quad-chair of the Commercia…","author":[{"dropping-particle":"","family":"Vardon","given":"Derek R.","non-dropping-particle":"","parse-names":false,"suffix":""},{"dropping-particle":"","family":"Sherbacow","given":"Bryan J.","non-dropping-particle":"","parse-names":false,"suffix":""},{"dropping-particle":"","family":"Guan","given":"Kaiyu","non-dropping-particle":"","parse-names":false,"suffix":""},{"dropping-particle":"","family":"Heyne","given":"Joshua S.","non-dropping-particle":"","parse-names":false,"suffix":""},{"dropping-particle":"","family":"Abdullah","given":"Zia","non-dropping-particle":"","parse-names":false,"suffix":""}],"container-title":"Joule","id":"ITEM-1","issue":"1","issued":{"date-parts":[["2022","1","19"]]},"page":"16-21","publisher":"Cell Press","title":"Realizing “net-zero-carbon” sustainable aviation fuel","type":"article-journal","volume":"6"},"uris":["http://www.mendeley.com/documents/?uuid=41f10f7c-3fc0-3d0a-b9b9-6e6c9cf1d9be"]},{"id":"ITEM-2","itemData":{"author":[{"dropping-particle":"","family":"Bosch","given":"Jonathan","non-dropping-particle":"","parse-names":false,"suffix":""},{"dropping-particle":"","family":"Jong","given":"Sierk","non-dropping-particle":"de","parse-names":false,"suffix":""},{"dropping-particle":"","family":"Hoefnagels","given":"Ric","non-dropping-particle":"","parse-names":false,"suffix":""},{"dropping-particle":"","family":"Slade","given":"Raphael","non-dropping-particle":"","parse-names":false,"suffix":""}],"id":"ITEM-2","issued":{"date-parts":[["2017"]]},"title":"Aviation biofuels: strategically important, technically achievable, tough to deliver","type":"report"},"uris":["http://www.mendeley.com/documents/?uuid=65bb7bb5-3ac2-3d79-a3e1-a1daf32a15f8"]},{"id":"ITEM-3","itemData":{"DOI":"10.1016/J.RSER.2018.11.033","ISSN":"1364-0321","abstract":"This article presents results of a European Commission Joint Research Centre study to analyse the Greenhouse Gas (GHG) emissions and energy efficiency of various options for alternative aviation fuels. Interest in alternative aviation fuels is growing, as the sector seeks viable options to reduce increasing GHG emissions. For biofuels non-biogenic emissions arise from cultivation, harvesting and transport of the feedstock, as well as from their conversion into biofuel. It is important to consider whether any emissions reductions benefits are justified by the energy efficiency of each alternative. This article is focussed on American Society for Testing and Materials (ASTM) certifiable alternative drop-in biojet fuels [1], i.e. non-fossil hydrocarbon fuels which have (i) the same chemical structure and (ii) can be blended with conventional jet fuels, (iii) can use the same jet fuel supply infrastructure, and (iv) do not require modification of the aircraft. The results indicate that the biofuels studied tended to exhibit lower GHG than conventional jet fuels although indirect effects or existing uses of materials were not included in this study. Some biofuels performed better at reducing GHG than others (for example biofuels from wastes and residues). A large and important effect on emissions is seen due to land type used for cultivation and whether methane capture is used for certain pathways. GHG savings results vary due to the Life Cycle Analysis (LCA) methodology chosen for dealing with emissions and co-products. Certain pathways are notably more energy intensive than others and strong GHG reduction does not always coincide with high energy efficiency. An overview of industry initiatives and critical EU legislation relating to aviation biofuels is given. The insights from this work are expected to be of use for decision-makers considering investment options in this sector.","author":[{"dropping-particle":"","family":"O'Connell","given":"Adrian","non-dropping-particle":"","parse-names":false,"suffix":""},{"dropping-particle":"","family":"Kousoulidou","given":"Marina","non-dropping-particle":"","parse-names":false,"suffix":""},{"dropping-particle":"","family":"Lonza","given":"Laura","non-dropping-particle":"","parse-names":false,"suffix":""},{"dropping-particle":"","family":"Weindorf","given":"Werner","non-dropping-particle":"","parse-names":false,"suffix":""}],"container-title":"Renewable and Sustainable Energy Reviews","id":"ITEM-3","issued":{"date-parts":[["2019","3","1"]]},"page":"504-515","publisher":"Pergamon","title":"Considerations on GHG emissions and energy balances of promising aviation biofuel pathways","type":"article-journal","volume":"101"},"uris":["http://www.mendeley.com/documents/?uuid=d92bd609-7fd9-30b2-bec6-7e829b340c0f"]},{"id":"ITEM-4","itemData":{"author":[{"dropping-particle":"","family":"Hamelinck","given":"C.","non-dropping-particle":"","parse-names":false,"suffix":""},{"dropping-particle":"","family":"Cuijpers","given":"M.","non-dropping-particle":"","parse-names":false,"suffix":""},{"dropping-particle":"","family":"Spoettle","given":"M.","non-dropping-particle":"","parse-names":false,"suffix":""},{"dropping-particle":"van den","family":"Bos","given":"A.","non-dropping-particle":"","parse-names":false,"suffix":""}],"id":"ITEM-4","issued":{"date-parts":[["2013"]]},"title":"Biofuels for aviation ","type":"report"},"uris":["http://www.mendeley.com/documents/?uuid=fb4e902b-0127-3be8-bcec-b9ef6783e394"]},{"id":"ITEM-5","itemData":{"ISBN":"978-92-9260-350-2","author":[{"dropping-particle":"","family":"IRENA","given":"","non-dropping-particle":"","parse-names":false,"suffix":""}],"id":"ITEM-5","issued":{"date-parts":[["2021"]]},"publisher-place":"Abu Dabi","title":"Reaching Zero with Renewables: Biojet fuels","type":"report"},"uris":["http://www.mendeley.com/documents/?uuid=2604c04f-0e88-3ebc-9ae6-a8077b46f693"]},{"id":"ITEM-6","itemData":{"DOI":"10.1016/J.ENERGY.2021.121126","ISSN":"0360-5442","abstract":"In this study, life cycle assessments and comparative evaluations are performed for different types of renewable and alternative fuels for aircrafts. The life cycle impacts of both hydrogen and ammonia fuels are primarily investigated considering conventional and renewable energy-based routes. The overall life cycle impacts of several hydrocarbon fuels including kerosene, ethanol, methanol, dimethyl ether, and biodiesel are also studied. The steam methane reforming-based route for hydrogen and ammonia fuels is found to have higher global warming potentials as compared to alternative production routes. High phosphate emissions result in a higher freshwater eutrophication potential for the solar-based route for ammonia fuel. Fossil fuel-based dimethyl ether is found to have a comparatively higher global warming potential of 1.3 kgCO2 equivalent per tonne-km amongst the considered hydrocarbon fuels that include ethanol (1.1 kgCO2 equivalent per tonne-km), kerosene (1.04 kgCO2 equivalent per tonne-km), methanol (1.01 kgCO2 equivalent per tonne-km), and biodiesel (1.07 kgCO2 equivalent per tonne-km). Dimethyl ether is found to entail high toxicity potentials and the reduction of life cycle arsenic, barium, cadmium, chromium, cobalt, and lead emissions is recommended. However, higher photochemical ozone formation potentials of 0.0055 and 0.0046 kgNOx equivalent per tonne-km are associated with biodiesel and kerosene fuels respectively.","author":[{"dropping-particle":"","family":"Siddiqui","given":"O.","non-dropping-particle":"","parse-names":false,"suffix":""},{"dropping-particle":"","family":"Dincer","given":"I.","non-dropping-particle":"","parse-names":false,"suffix":""}],"container-title":"Energy","id":"ITEM-6","issued":{"date-parts":[["2021","11","1"]]},"page":"121126","publisher":"Pergamon","title":"A comparative life cycle assessment of clean aviation fuels","type":"article-journal","volume":"234"},"uris":["http://www.mendeley.com/documents/?uuid=b81f2130-902e-32e1-be8a-58098a36aaf9"]},{"id":"ITEM-7","itemData":{"URL":"https://www.iea.org/reports/aviation","accessed":{"date-parts":[["2021","11","12"]]},"author":[{"dropping-particle":"","family":"IEA","given":"","non-dropping-particle":"","parse-names":false,"suffix":""}],"id":"ITEM-7","issued":{"date-parts":[["2021"]]},"publisher-place":"Paris","title":"Aviation – Analysis","type":"webpage"},"uris":["http://www.mendeley.com/documents/?uuid=49b29cbc-e38d-32ff-a527-104709614a3c"]},{"id":"ITEM-8","itemData":{"author":[{"dropping-particle":"","family":"World Economic Forum","given":"","non-dropping-particle":"","parse-names":false,"suffix":""}],"id":"ITEM-8","issued":{"date-parts":[["2020"]]},"title":"Clean Skies for Tomorrow Sustainable Aviation Fuels as a Pathway to Net-Zero Aviation Terms of use and disclaimer","type":"report"},"uris":["http://www.mendeley.com/documents/?uuid=516da3aa-019b-3ec8-9131-9612421d2b3b"]}],"mendeley":{"formattedCitation":"&lt;sup&gt;7–9,13–17&lt;/sup&gt;","plainTextFormattedCitation":"7–9,13–17","previouslyFormattedCitation":"&lt;sup&gt;7–9,13–17&lt;/sup&gt;"},"properties":{"noteIndex":0},"schema":"https://github.com/citation-style-language/schema/raw/master/csl-citation.json"}</w:instrText>
      </w:r>
      <w:r w:rsidRPr="00664D52">
        <w:rPr>
          <w:rFonts w:ascii="Helvetica" w:hAnsi="Helvetica" w:cstheme="minorHAnsi"/>
          <w:sz w:val="20"/>
          <w:szCs w:val="20"/>
        </w:rPr>
        <w:fldChar w:fldCharType="separate"/>
      </w:r>
      <w:r w:rsidR="008D1A8E" w:rsidRPr="00664D52">
        <w:rPr>
          <w:rFonts w:ascii="Helvetica" w:hAnsi="Helvetica" w:cstheme="minorHAnsi"/>
          <w:noProof/>
          <w:sz w:val="20"/>
          <w:szCs w:val="20"/>
          <w:vertAlign w:val="superscript"/>
        </w:rPr>
        <w:t>7–9,13–17</w:t>
      </w:r>
      <w:r w:rsidRPr="00664D52">
        <w:rPr>
          <w:rFonts w:ascii="Helvetica" w:hAnsi="Helvetica" w:cstheme="minorHAnsi"/>
          <w:sz w:val="20"/>
          <w:szCs w:val="20"/>
        </w:rPr>
        <w:fldChar w:fldCharType="end"/>
      </w:r>
      <w:r w:rsidRPr="00664D52">
        <w:rPr>
          <w:rFonts w:ascii="Helvetica" w:hAnsi="Helvetica" w:cstheme="minorHAnsi"/>
          <w:sz w:val="20"/>
          <w:szCs w:val="20"/>
        </w:rPr>
        <w:t>. We have also added a potential ammonia pathway</w:t>
      </w:r>
      <w:r w:rsidRPr="00664D52">
        <w:rPr>
          <w:rFonts w:ascii="Helvetica" w:hAnsi="Helvetica" w:cstheme="minorHAnsi"/>
          <w:sz w:val="20"/>
          <w:szCs w:val="20"/>
        </w:rPr>
        <w:fldChar w:fldCharType="begin" w:fldLock="1"/>
      </w:r>
      <w:r w:rsidR="004654D7" w:rsidRPr="00664D52">
        <w:rPr>
          <w:rFonts w:ascii="Helvetica" w:hAnsi="Helvetica" w:cstheme="minorHAnsi"/>
          <w:sz w:val="20"/>
          <w:szCs w:val="20"/>
        </w:rPr>
        <w:instrText>ADDIN CSL_CITATION {"citationItems":[{"id":"ITEM-1","itemData":{"DOI":"10.1016/J.ENERGY.2021.121126","ISSN":"0360-5442","abstract":"In this study, life cycle assessments and comparative evaluations are performed for different types of renewable and alternative fuels for aircrafts. The life cycle impacts of both hydrogen and ammonia fuels are primarily investigated considering conventional and renewable energy-based routes. The overall life cycle impacts of several hydrocarbon fuels including kerosene, ethanol, methanol, dimethyl ether, and biodiesel are also studied. The steam methane reforming-based route for hydrogen and ammonia fuels is found to have higher global warming potentials as compared to alternative production routes. High phosphate emissions result in a higher freshwater eutrophication potential for the solar-based route for ammonia fuel. Fossil fuel-based dimethyl ether is found to have a comparatively higher global warming potential of 1.3 kgCO2 equivalent per tonne-km amongst the considered hydrocarbon fuels that include ethanol (1.1 kgCO2 equivalent per tonne-km), kerosene (1.04 kgCO2 equivalent per tonne-km), methanol (1.01 kgCO2 equivalent per tonne-km), and biodiesel (1.07 kgCO2 equivalent per tonne-km). Dimethyl ether is found to entail high toxicity potentials and the reduction of life cycle arsenic, barium, cadmium, chromium, cobalt, and lead emissions is recommended. However, higher photochemical ozone formation potentials of 0.0055 and 0.0046 kgNOx equivalent per tonne-km are associated with biodiesel and kerosene fuels respectively.","author":[{"dropping-particle":"","family":"Siddiqui","given":"O.","non-dropping-particle":"","parse-names":false,"suffix":""},{"dropping-particle":"","family":"Dincer","given":"I.","non-dropping-particle":"","parse-names":false,"suffix":""}],"container-title":"Energy","id":"ITEM-1","issued":{"date-parts":[["2021","11","1"]]},"page":"121126","publisher":"Pergamon","title":"A comparative life cycle assessment of clean aviation fuels","type":"article-journal","volume":"234"},"uris":["http://www.mendeley.com/documents/?uuid=b81f2130-902e-32e1-be8a-58098a36aaf9"]}],"mendeley":{"formattedCitation":"&lt;sup&gt;9&lt;/sup&gt;","plainTextFormattedCitation":"9","previouslyFormattedCitation":"&lt;sup&gt;9&lt;/sup&gt;"},"properties":{"noteIndex":0},"schema":"https://github.com/citation-style-language/schema/raw/master/csl-citation.json"}</w:instrText>
      </w:r>
      <w:r w:rsidRPr="00664D52">
        <w:rPr>
          <w:rFonts w:ascii="Helvetica" w:hAnsi="Helvetica" w:cstheme="minorHAnsi"/>
          <w:sz w:val="20"/>
          <w:szCs w:val="20"/>
        </w:rPr>
        <w:fldChar w:fldCharType="separate"/>
      </w:r>
      <w:r w:rsidR="008D1A8E" w:rsidRPr="00664D52">
        <w:rPr>
          <w:rFonts w:ascii="Helvetica" w:hAnsi="Helvetica" w:cstheme="minorHAnsi"/>
          <w:noProof/>
          <w:sz w:val="20"/>
          <w:szCs w:val="20"/>
          <w:vertAlign w:val="superscript"/>
        </w:rPr>
        <w:t>9</w:t>
      </w:r>
      <w:r w:rsidRPr="00664D52">
        <w:rPr>
          <w:rFonts w:ascii="Helvetica" w:hAnsi="Helvetica" w:cstheme="minorHAnsi"/>
          <w:sz w:val="20"/>
          <w:szCs w:val="20"/>
        </w:rPr>
        <w:fldChar w:fldCharType="end"/>
      </w:r>
      <w:r w:rsidRPr="00664D52">
        <w:rPr>
          <w:rFonts w:ascii="Helvetica" w:hAnsi="Helvetica" w:cstheme="minorHAnsi"/>
          <w:sz w:val="20"/>
          <w:szCs w:val="20"/>
        </w:rPr>
        <w:t>. The categories are not exclusive and are meant to depict a simple representation of decarbonizing aviation.</w:t>
      </w:r>
    </w:p>
    <w:p w14:paraId="71E24CA1" w14:textId="77777777" w:rsidR="00FF4F57" w:rsidRPr="00664D52" w:rsidRDefault="00FF4F57" w:rsidP="00FF4F57">
      <w:pPr>
        <w:rPr>
          <w:rFonts w:ascii="Helvetica" w:hAnsi="Helvetica" w:cstheme="minorHAnsi"/>
          <w:sz w:val="20"/>
          <w:szCs w:val="20"/>
        </w:rPr>
      </w:pPr>
    </w:p>
    <w:p w14:paraId="7FB4B529" w14:textId="77777777" w:rsidR="00BC468B" w:rsidRPr="00664D52" w:rsidRDefault="00BC468B" w:rsidP="00BC468B">
      <w:pPr>
        <w:spacing w:line="360" w:lineRule="auto"/>
        <w:rPr>
          <w:rFonts w:ascii="Helvetica" w:eastAsia="Arial" w:hAnsi="Helvetica" w:cstheme="minorHAnsi"/>
          <w:sz w:val="22"/>
          <w:szCs w:val="22"/>
          <w:lang w:eastAsia="en-US"/>
        </w:rPr>
      </w:pPr>
    </w:p>
    <w:p w14:paraId="5C7C25EB" w14:textId="45CF2F8B" w:rsidR="00576730" w:rsidRPr="00664D52" w:rsidRDefault="000A7DD3" w:rsidP="00576730">
      <w:pPr>
        <w:spacing w:before="120" w:afterLines="120" w:after="288"/>
        <w:jc w:val="center"/>
        <w:rPr>
          <w:rFonts w:ascii="Helvetica" w:hAnsi="Helvetica" w:cstheme="minorHAnsi"/>
          <w:b/>
          <w:bCs/>
          <w:sz w:val="20"/>
          <w:szCs w:val="20"/>
        </w:rPr>
      </w:pPr>
      <w:r w:rsidRPr="00664D52">
        <w:rPr>
          <w:rFonts w:ascii="Helvetica" w:hAnsi="Helvetica" w:cstheme="minorHAnsi"/>
          <w:b/>
          <w:bCs/>
          <w:noProof/>
          <w:sz w:val="20"/>
          <w:szCs w:val="20"/>
        </w:rPr>
        <w:lastRenderedPageBreak/>
        <w:drawing>
          <wp:inline distT="0" distB="0" distL="0" distR="0" wp14:anchorId="385FB619" wp14:editId="745271F5">
            <wp:extent cx="4325815" cy="4317034"/>
            <wp:effectExtent l="0" t="0" r="5080" b="127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0064" cy="4351213"/>
                    </a:xfrm>
                    <a:prstGeom prst="rect">
                      <a:avLst/>
                    </a:prstGeom>
                  </pic:spPr>
                </pic:pic>
              </a:graphicData>
            </a:graphic>
          </wp:inline>
        </w:drawing>
      </w:r>
    </w:p>
    <w:p w14:paraId="2FA41453" w14:textId="370D20DA" w:rsidR="004710B2" w:rsidRPr="00664D52" w:rsidRDefault="004710B2" w:rsidP="004710B2">
      <w:pPr>
        <w:spacing w:before="120" w:afterLines="120" w:after="288"/>
        <w:jc w:val="both"/>
        <w:rPr>
          <w:rFonts w:ascii="Helvetica" w:hAnsi="Helvetica" w:cstheme="minorHAnsi"/>
          <w:sz w:val="20"/>
          <w:szCs w:val="20"/>
        </w:rPr>
      </w:pPr>
      <w:r w:rsidRPr="00664D52">
        <w:rPr>
          <w:rFonts w:ascii="Helvetica" w:hAnsi="Helvetica" w:cstheme="minorHAnsi"/>
          <w:b/>
          <w:bCs/>
          <w:sz w:val="20"/>
          <w:szCs w:val="20"/>
        </w:rPr>
        <w:t>Supplementary Fig</w:t>
      </w:r>
      <w:r w:rsidR="00460211" w:rsidRPr="00664D52">
        <w:rPr>
          <w:rFonts w:ascii="Helvetica" w:hAnsi="Helvetica" w:cstheme="minorHAnsi"/>
          <w:b/>
          <w:bCs/>
          <w:sz w:val="20"/>
          <w:szCs w:val="20"/>
        </w:rPr>
        <w:t>.</w:t>
      </w:r>
      <w:r w:rsidRPr="00664D52">
        <w:rPr>
          <w:rFonts w:ascii="Helvetica" w:hAnsi="Helvetica" w:cstheme="minorHAnsi"/>
          <w:b/>
          <w:bCs/>
          <w:sz w:val="20"/>
          <w:szCs w:val="20"/>
        </w:rPr>
        <w:t xml:space="preserve"> </w:t>
      </w:r>
      <w:r w:rsidR="002207AD" w:rsidRPr="00664D52">
        <w:rPr>
          <w:rFonts w:ascii="Helvetica" w:hAnsi="Helvetica" w:cstheme="minorHAnsi"/>
          <w:b/>
          <w:bCs/>
          <w:sz w:val="20"/>
          <w:szCs w:val="20"/>
        </w:rPr>
        <w:t>3</w:t>
      </w:r>
      <w:r w:rsidRPr="00664D52">
        <w:rPr>
          <w:rFonts w:ascii="Helvetica" w:hAnsi="Helvetica" w:cstheme="minorHAnsi"/>
          <w:b/>
          <w:sz w:val="20"/>
          <w:szCs w:val="20"/>
        </w:rPr>
        <w:t>|</w:t>
      </w:r>
      <w:r w:rsidRPr="00664D52">
        <w:rPr>
          <w:rFonts w:ascii="Helvetica" w:hAnsi="Helvetica" w:cstheme="minorHAnsi"/>
          <w:sz w:val="20"/>
          <w:szCs w:val="20"/>
        </w:rPr>
        <w:t xml:space="preserve"> Nine scenarios for future global aviation emissions based on the Kaya identity</w:t>
      </w:r>
      <w:r w:rsidR="001C55B1" w:rsidRPr="00664D52">
        <w:rPr>
          <w:rFonts w:ascii="Helvetica" w:hAnsi="Helvetica" w:cstheme="minorHAnsi"/>
          <w:sz w:val="20"/>
          <w:szCs w:val="20"/>
        </w:rPr>
        <w:t>. More details on Supplementary</w:t>
      </w:r>
      <w:r w:rsidR="00D25CA7" w:rsidRPr="00664D52">
        <w:rPr>
          <w:rFonts w:ascii="Helvetica" w:hAnsi="Helvetica" w:cstheme="minorHAnsi"/>
          <w:sz w:val="20"/>
          <w:szCs w:val="20"/>
        </w:rPr>
        <w:t xml:space="preserve"> </w:t>
      </w:r>
      <w:r w:rsidR="001C55B1" w:rsidRPr="00664D52">
        <w:rPr>
          <w:rFonts w:ascii="Helvetica" w:hAnsi="Helvetica" w:cstheme="minorHAnsi"/>
          <w:sz w:val="20"/>
          <w:szCs w:val="20"/>
        </w:rPr>
        <w:t>Table 1.</w:t>
      </w:r>
    </w:p>
    <w:p w14:paraId="420E02CD" w14:textId="394844EC" w:rsidR="00576730" w:rsidRPr="00664D52" w:rsidRDefault="00576730">
      <w:pPr>
        <w:rPr>
          <w:rFonts w:ascii="Helvetica" w:hAnsi="Helvetica" w:cstheme="minorHAnsi"/>
          <w:b/>
          <w:bCs/>
          <w:sz w:val="20"/>
          <w:szCs w:val="20"/>
        </w:rPr>
      </w:pPr>
    </w:p>
    <w:p w14:paraId="4EA868E8" w14:textId="77777777" w:rsidR="00576730" w:rsidRPr="00664D52" w:rsidRDefault="00576730" w:rsidP="00576730">
      <w:pPr>
        <w:spacing w:before="120" w:afterLines="120" w:after="288"/>
        <w:jc w:val="both"/>
        <w:rPr>
          <w:rFonts w:ascii="Helvetica" w:hAnsi="Helvetica" w:cstheme="minorHAnsi"/>
          <w:sz w:val="20"/>
          <w:szCs w:val="20"/>
        </w:rPr>
      </w:pPr>
    </w:p>
    <w:p w14:paraId="4DF5E1E7" w14:textId="77777777" w:rsidR="002207AD" w:rsidRPr="00664D52" w:rsidRDefault="002207AD" w:rsidP="002207AD">
      <w:pPr>
        <w:spacing w:before="120" w:afterLines="120" w:after="288"/>
        <w:jc w:val="center"/>
        <w:rPr>
          <w:rFonts w:ascii="Helvetica" w:hAnsi="Helvetica" w:cstheme="minorHAnsi"/>
          <w:sz w:val="20"/>
          <w:szCs w:val="20"/>
        </w:rPr>
      </w:pPr>
      <w:r w:rsidRPr="00664D52">
        <w:rPr>
          <w:rFonts w:ascii="Helvetica" w:hAnsi="Helvetica" w:cstheme="minorHAnsi"/>
          <w:noProof/>
          <w:sz w:val="20"/>
          <w:szCs w:val="20"/>
        </w:rPr>
        <w:lastRenderedPageBreak/>
        <w:drawing>
          <wp:inline distT="0" distB="0" distL="0" distR="0" wp14:anchorId="24E07545" wp14:editId="6F0087B3">
            <wp:extent cx="3801236" cy="4256314"/>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037" cy="4293042"/>
                    </a:xfrm>
                    <a:prstGeom prst="rect">
                      <a:avLst/>
                    </a:prstGeom>
                  </pic:spPr>
                </pic:pic>
              </a:graphicData>
            </a:graphic>
          </wp:inline>
        </w:drawing>
      </w:r>
    </w:p>
    <w:p w14:paraId="6CE83FB2" w14:textId="047C782D" w:rsidR="002207AD" w:rsidRPr="00664D52" w:rsidRDefault="002207AD" w:rsidP="002207AD">
      <w:pPr>
        <w:spacing w:before="120" w:afterLines="120" w:after="288"/>
        <w:jc w:val="both"/>
        <w:rPr>
          <w:rFonts w:ascii="Helvetica" w:hAnsi="Helvetica" w:cstheme="minorHAnsi"/>
          <w:b/>
          <w:bCs/>
          <w:sz w:val="20"/>
          <w:szCs w:val="20"/>
          <w:u w:val="single"/>
        </w:rPr>
      </w:pPr>
      <w:r w:rsidRPr="00664D52">
        <w:rPr>
          <w:rFonts w:ascii="Helvetica" w:hAnsi="Helvetica" w:cstheme="minorHAnsi"/>
          <w:b/>
          <w:sz w:val="20"/>
          <w:szCs w:val="20"/>
        </w:rPr>
        <w:t xml:space="preserve">Supplementary Fig. 4 | </w:t>
      </w:r>
      <w:r w:rsidRPr="00664D52">
        <w:rPr>
          <w:rFonts w:ascii="Helvetica" w:hAnsi="Helvetica" w:cstheme="minorHAnsi"/>
          <w:bCs/>
          <w:sz w:val="20"/>
          <w:szCs w:val="20"/>
        </w:rPr>
        <w:t>Schematic for Kaya properties in net-zero aviation and our scenario design. We pair demand (</w:t>
      </w:r>
      <w:r w:rsidRPr="00664D52">
        <w:rPr>
          <w:rFonts w:ascii="Helvetica" w:hAnsi="Helvetica" w:cstheme="minorHAnsi"/>
          <w:bCs/>
          <w:i/>
          <w:iCs/>
          <w:sz w:val="20"/>
          <w:szCs w:val="20"/>
        </w:rPr>
        <w:t xml:space="preserve">D) </w:t>
      </w:r>
      <w:r w:rsidRPr="00664D52">
        <w:rPr>
          <w:rFonts w:ascii="Helvetica" w:hAnsi="Helvetica" w:cstheme="minorHAnsi"/>
          <w:bCs/>
          <w:sz w:val="20"/>
          <w:szCs w:val="20"/>
        </w:rPr>
        <w:t>and energy intensity (</w:t>
      </w:r>
      <w:r w:rsidRPr="00664D52">
        <w:rPr>
          <w:rFonts w:ascii="Helvetica" w:hAnsi="Helvetica" w:cstheme="minorHAnsi"/>
          <w:bCs/>
          <w:i/>
          <w:iCs/>
          <w:sz w:val="20"/>
          <w:szCs w:val="20"/>
        </w:rPr>
        <w:t>e</w:t>
      </w:r>
      <w:r w:rsidRPr="00664D52">
        <w:rPr>
          <w:rFonts w:ascii="Helvetica" w:hAnsi="Helvetica" w:cstheme="minorHAnsi"/>
          <w:bCs/>
          <w:sz w:val="20"/>
          <w:szCs w:val="20"/>
        </w:rPr>
        <w:t>) assumptions with different carbon intensities (</w:t>
      </w:r>
      <w:r w:rsidRPr="00664D52">
        <w:rPr>
          <w:rFonts w:ascii="Helvetica" w:hAnsi="Helvetica" w:cstheme="minorHAnsi"/>
          <w:bCs/>
          <w:i/>
          <w:iCs/>
          <w:sz w:val="20"/>
          <w:szCs w:val="20"/>
        </w:rPr>
        <w:t>f</w:t>
      </w:r>
      <w:r w:rsidRPr="00664D52">
        <w:rPr>
          <w:rFonts w:ascii="Helvetica" w:hAnsi="Helvetica" w:cstheme="minorHAnsi"/>
          <w:bCs/>
          <w:sz w:val="20"/>
          <w:szCs w:val="20"/>
        </w:rPr>
        <w:t>), resulting in nine scenarios. Net-zero technologies are included based on flight duration (short-, medium-, and long-haul)</w:t>
      </w:r>
      <w:r w:rsidRPr="00664D52">
        <w:rPr>
          <w:rFonts w:ascii="Helvetica" w:hAnsi="Helvetica" w:cstheme="minorHAnsi"/>
          <w:bCs/>
          <w:sz w:val="20"/>
          <w:szCs w:val="20"/>
        </w:rPr>
        <w:fldChar w:fldCharType="begin" w:fldLock="1"/>
      </w:r>
      <w:r w:rsidR="004654D7" w:rsidRPr="00664D52">
        <w:rPr>
          <w:rFonts w:ascii="Helvetica" w:hAnsi="Helvetica" w:cstheme="minorHAnsi"/>
          <w:bCs/>
          <w:sz w:val="20"/>
          <w:szCs w:val="20"/>
        </w:rPr>
        <w:instrText>ADDIN CSL_CITATION {"citationItems":[{"id":"ITEM-1","itemData":{"URL":"https://guides.developer.iata.org/v202/docs/atsb-fht?highlight=","accessed":{"date-parts":[["2022","5","19"]]},"author":[{"dropping-particle":"","family":"IATA","given":"","non-dropping-particle":"","parse-names":false,"suffix":""}],"id":"ITEM-1","issued":{"date-parts":[["2020","8","28"]]},"title":"FHT Flight haul type - ATSB","type":"webpage"},"uris":["http://www.mendeley.com/documents/?uuid=2a60ccfa-3711-3570-a2da-9a37ab3059da"]}],"mendeley":{"formattedCitation":"&lt;sup&gt;5&lt;/sup&gt;","plainTextFormattedCitation":"5","previouslyFormattedCitation":"&lt;sup&gt;5&lt;/sup&gt;"},"properties":{"noteIndex":0},"schema":"https://github.com/citation-style-language/schema/raw/master/csl-citation.json"}</w:instrText>
      </w:r>
      <w:r w:rsidRPr="00664D52">
        <w:rPr>
          <w:rFonts w:ascii="Helvetica" w:hAnsi="Helvetica" w:cstheme="minorHAnsi"/>
          <w:bCs/>
          <w:sz w:val="20"/>
          <w:szCs w:val="20"/>
        </w:rPr>
        <w:fldChar w:fldCharType="separate"/>
      </w:r>
      <w:r w:rsidR="008D1A8E" w:rsidRPr="00664D52">
        <w:rPr>
          <w:rFonts w:ascii="Helvetica" w:hAnsi="Helvetica" w:cstheme="minorHAnsi"/>
          <w:bCs/>
          <w:noProof/>
          <w:sz w:val="20"/>
          <w:szCs w:val="20"/>
          <w:vertAlign w:val="superscript"/>
        </w:rPr>
        <w:t>5</w:t>
      </w:r>
      <w:r w:rsidRPr="00664D52">
        <w:rPr>
          <w:rFonts w:ascii="Helvetica" w:hAnsi="Helvetica" w:cstheme="minorHAnsi"/>
          <w:bCs/>
          <w:sz w:val="20"/>
          <w:szCs w:val="20"/>
        </w:rPr>
        <w:fldChar w:fldCharType="end"/>
      </w:r>
      <w:r w:rsidRPr="00664D52">
        <w:rPr>
          <w:rFonts w:ascii="Helvetica" w:hAnsi="Helvetica" w:cstheme="minorHAnsi"/>
          <w:bCs/>
          <w:sz w:val="20"/>
          <w:szCs w:val="20"/>
        </w:rPr>
        <w:t xml:space="preserve">. Sequestration pathways for direct air capture (DAC) and carbon capture and storage (CCS) are greyed out since they are not analyzed in this study, though are alternatives for decarbonization. We highlight two fuel switching options: sustainable aviation fuels (SAFs) and new propulsion technologies. </w:t>
      </w:r>
    </w:p>
    <w:p w14:paraId="0DD6DF28" w14:textId="77777777" w:rsidR="00576730" w:rsidRPr="00664D52" w:rsidRDefault="00576730" w:rsidP="00576730">
      <w:pPr>
        <w:spacing w:before="120" w:afterLines="120" w:after="288"/>
        <w:jc w:val="both"/>
        <w:rPr>
          <w:rFonts w:ascii="Helvetica" w:hAnsi="Helvetica" w:cstheme="minorHAnsi"/>
          <w:sz w:val="20"/>
          <w:szCs w:val="20"/>
        </w:rPr>
      </w:pPr>
    </w:p>
    <w:p w14:paraId="31C45999" w14:textId="77777777" w:rsidR="002A7533" w:rsidRPr="00664D52" w:rsidRDefault="002A7533" w:rsidP="00576730">
      <w:pPr>
        <w:spacing w:before="120" w:afterLines="120" w:after="288"/>
        <w:jc w:val="both"/>
        <w:rPr>
          <w:rFonts w:ascii="Helvetica" w:hAnsi="Helvetica" w:cstheme="minorHAnsi"/>
          <w:sz w:val="20"/>
          <w:szCs w:val="20"/>
        </w:rPr>
      </w:pPr>
    </w:p>
    <w:p w14:paraId="75FE36F0" w14:textId="0D3F730D" w:rsidR="008C0FF5" w:rsidRPr="00664D52" w:rsidRDefault="003F5039" w:rsidP="009952F6">
      <w:pPr>
        <w:spacing w:before="120" w:afterLines="120" w:after="288"/>
        <w:jc w:val="center"/>
        <w:rPr>
          <w:rFonts w:ascii="Helvetica" w:hAnsi="Helvetica" w:cstheme="minorHAnsi"/>
          <w:b/>
          <w:bCs/>
        </w:rPr>
      </w:pPr>
      <w:r w:rsidRPr="00664D52">
        <w:rPr>
          <w:rFonts w:ascii="Helvetica" w:hAnsi="Helvetica" w:cstheme="minorHAnsi"/>
          <w:noProof/>
        </w:rPr>
        <w:lastRenderedPageBreak/>
        <w:drawing>
          <wp:inline distT="0" distB="0" distL="0" distR="0" wp14:anchorId="4920E329" wp14:editId="344501A7">
            <wp:extent cx="5102578" cy="5876141"/>
            <wp:effectExtent l="0" t="0" r="3175" b="4445"/>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6380" cy="5915067"/>
                    </a:xfrm>
                    <a:prstGeom prst="rect">
                      <a:avLst/>
                    </a:prstGeom>
                  </pic:spPr>
                </pic:pic>
              </a:graphicData>
            </a:graphic>
          </wp:inline>
        </w:drawing>
      </w:r>
    </w:p>
    <w:p w14:paraId="348E988A" w14:textId="35A0EB58" w:rsidR="008C0FF5" w:rsidRPr="00664D52" w:rsidRDefault="008C0FF5" w:rsidP="008C0FF5">
      <w:pPr>
        <w:spacing w:before="120" w:afterLines="120" w:after="288"/>
        <w:jc w:val="both"/>
        <w:rPr>
          <w:rFonts w:ascii="Helvetica" w:hAnsi="Helvetica" w:cstheme="minorHAnsi"/>
          <w:sz w:val="20"/>
          <w:szCs w:val="20"/>
        </w:rPr>
      </w:pPr>
      <w:r w:rsidRPr="00664D52">
        <w:rPr>
          <w:rFonts w:ascii="Helvetica" w:hAnsi="Helvetica" w:cstheme="minorHAnsi"/>
          <w:b/>
          <w:sz w:val="20"/>
          <w:szCs w:val="20"/>
        </w:rPr>
        <w:t xml:space="preserve">Supplementary </w:t>
      </w:r>
      <w:r w:rsidRPr="00664D52">
        <w:rPr>
          <w:rFonts w:ascii="Helvetica" w:hAnsi="Helvetica" w:cstheme="minorHAnsi"/>
          <w:b/>
          <w:bCs/>
          <w:sz w:val="20"/>
          <w:szCs w:val="20"/>
        </w:rPr>
        <w:t>Fig. 5 |</w:t>
      </w:r>
      <w:r w:rsidRPr="00664D52">
        <w:rPr>
          <w:rFonts w:ascii="Helvetica" w:hAnsi="Helvetica" w:cstheme="minorHAnsi"/>
          <w:sz w:val="20"/>
          <w:szCs w:val="20"/>
        </w:rPr>
        <w:t xml:space="preserve"> The role of different fuels powering aviation. Panel </w:t>
      </w:r>
      <w:r w:rsidR="003F5039" w:rsidRPr="00664D52">
        <w:rPr>
          <w:rFonts w:ascii="Helvetica" w:hAnsi="Helvetica" w:cstheme="minorHAnsi"/>
          <w:sz w:val="20"/>
          <w:szCs w:val="20"/>
        </w:rPr>
        <w:t>(</w:t>
      </w:r>
      <w:r w:rsidRPr="00664D52">
        <w:rPr>
          <w:rFonts w:ascii="Helvetica" w:hAnsi="Helvetica" w:cstheme="minorHAnsi"/>
          <w:b/>
          <w:bCs/>
          <w:sz w:val="20"/>
          <w:szCs w:val="20"/>
        </w:rPr>
        <w:t>a</w:t>
      </w:r>
      <w:r w:rsidR="003F5039" w:rsidRPr="00664D52">
        <w:rPr>
          <w:rFonts w:ascii="Helvetica" w:hAnsi="Helvetica" w:cstheme="minorHAnsi"/>
          <w:sz w:val="20"/>
          <w:szCs w:val="20"/>
        </w:rPr>
        <w:t>)</w:t>
      </w:r>
      <w:r w:rsidRPr="00664D52">
        <w:rPr>
          <w:rFonts w:ascii="Helvetica" w:hAnsi="Helvetica" w:cstheme="minorHAnsi"/>
          <w:sz w:val="20"/>
          <w:szCs w:val="20"/>
        </w:rPr>
        <w:t xml:space="preserve"> shows aircraft performance for different planes based on fuel fraction and thousand passenger-kilometer, with data from ICAO</w:t>
      </w:r>
      <w:r w:rsidRPr="00664D52">
        <w:rPr>
          <w:rFonts w:ascii="Helvetica" w:hAnsi="Helvetica" w:cstheme="minorHAnsi"/>
          <w:sz w:val="20"/>
          <w:szCs w:val="20"/>
        </w:rPr>
        <w:fldChar w:fldCharType="begin" w:fldLock="1"/>
      </w:r>
      <w:r w:rsidR="004654D7" w:rsidRPr="00664D52">
        <w:rPr>
          <w:rFonts w:ascii="Helvetica" w:hAnsi="Helvetica" w:cstheme="minorHAnsi"/>
          <w:sz w:val="20"/>
          <w:szCs w:val="20"/>
        </w:rPr>
        <w:instrText>ADDIN CSL_CITATION {"citationItems":[{"id":"ITEM-1","itemData":{"URL":"https://doc8643.com/search/icao","accessed":{"date-parts":[["2022","5","24"]]},"author":[{"dropping-particle":"","family":"ICAO","given":"","non-dropping-particle":"","parse-names":false,"suffix":""}],"id":"ITEM-1","issued":{"date-parts":[["2022"]]},"title":"ICAO Doc8643","type":"webpage"},"uris":["http://www.mendeley.com/documents/?uuid=50e086f0-a3b1-3f5a-b38a-b71f9bb62ab4"]}],"mendeley":{"formattedCitation":"&lt;sup&gt;18&lt;/sup&gt;","plainTextFormattedCitation":"18","previouslyFormattedCitation":"&lt;sup&gt;18&lt;/sup&gt;"},"properties":{"noteIndex":0},"schema":"https://github.com/citation-style-language/schema/raw/master/csl-citation.json"}</w:instrText>
      </w:r>
      <w:r w:rsidRPr="00664D52">
        <w:rPr>
          <w:rFonts w:ascii="Helvetica" w:hAnsi="Helvetica" w:cstheme="minorHAnsi"/>
          <w:sz w:val="20"/>
          <w:szCs w:val="20"/>
        </w:rPr>
        <w:fldChar w:fldCharType="separate"/>
      </w:r>
      <w:r w:rsidR="008D1A8E" w:rsidRPr="00664D52">
        <w:rPr>
          <w:rFonts w:ascii="Helvetica" w:hAnsi="Helvetica" w:cstheme="minorHAnsi"/>
          <w:noProof/>
          <w:sz w:val="20"/>
          <w:szCs w:val="20"/>
          <w:vertAlign w:val="superscript"/>
        </w:rPr>
        <w:t>18</w:t>
      </w:r>
      <w:r w:rsidRPr="00664D52">
        <w:rPr>
          <w:rFonts w:ascii="Helvetica" w:hAnsi="Helvetica" w:cstheme="minorHAnsi"/>
          <w:sz w:val="20"/>
          <w:szCs w:val="20"/>
        </w:rPr>
        <w:fldChar w:fldCharType="end"/>
      </w:r>
      <w:r w:rsidRPr="00664D52">
        <w:rPr>
          <w:rFonts w:ascii="Helvetica" w:hAnsi="Helvetica" w:cstheme="minorHAnsi"/>
          <w:sz w:val="20"/>
          <w:szCs w:val="20"/>
        </w:rPr>
        <w:t>. Blue dots represent fossil jet fuel powered planes, and red dots represent planes powered by electricity or hydrogen. Total range for two types of long-haul planes are shown in terms of mass (</w:t>
      </w:r>
      <w:r w:rsidRPr="00664D52">
        <w:rPr>
          <w:rFonts w:ascii="Helvetica" w:hAnsi="Helvetica" w:cstheme="minorHAnsi"/>
          <w:b/>
          <w:bCs/>
          <w:sz w:val="20"/>
          <w:szCs w:val="20"/>
        </w:rPr>
        <w:t>b</w:t>
      </w:r>
      <w:r w:rsidRPr="00664D52">
        <w:rPr>
          <w:rFonts w:ascii="Helvetica" w:hAnsi="Helvetica" w:cstheme="minorHAnsi"/>
          <w:sz w:val="20"/>
          <w:szCs w:val="20"/>
        </w:rPr>
        <w:t>) and volume (</w:t>
      </w:r>
      <w:r w:rsidRPr="00664D52">
        <w:rPr>
          <w:rFonts w:ascii="Helvetica" w:hAnsi="Helvetica" w:cstheme="minorHAnsi"/>
          <w:b/>
          <w:bCs/>
          <w:sz w:val="20"/>
          <w:szCs w:val="20"/>
        </w:rPr>
        <w:t>c</w:t>
      </w:r>
      <w:r w:rsidRPr="00664D52">
        <w:rPr>
          <w:rFonts w:ascii="Helvetica" w:hAnsi="Helvetica" w:cstheme="minorHAnsi"/>
          <w:sz w:val="20"/>
          <w:szCs w:val="20"/>
        </w:rPr>
        <w:t>). Blue represents the maximum possible distance to fly in thousand km for each type of plane powered by fossil jet fuel, while green represents hydrogen and red battery powered. The lighter shades assume up to 90% higher efficiency based on</w:t>
      </w:r>
      <w:r w:rsidRPr="00664D52">
        <w:rPr>
          <w:rFonts w:ascii="Helvetica" w:hAnsi="Helvetica" w:cstheme="minorHAnsi"/>
          <w:sz w:val="20"/>
          <w:szCs w:val="20"/>
        </w:rPr>
        <w:fldChar w:fldCharType="begin" w:fldLock="1"/>
      </w:r>
      <w:r w:rsidR="004654D7" w:rsidRPr="00664D52">
        <w:rPr>
          <w:rFonts w:ascii="Helvetica" w:hAnsi="Helvetica" w:cstheme="minorHAnsi"/>
          <w:sz w:val="20"/>
          <w:szCs w:val="20"/>
        </w:rPr>
        <w:instrText>ADDIN CSL_CITATION {"citationItems":[{"id":"ITEM-1","itemData":{"DOI":"10.2514/1.B37015/ASSET/IMAGES/LARGE/FIGURE13.JPEG","ISSN":"15333876","abstract":"The reduction of aviation's CO2 emissions is a major objective of the aviation industry. About 98% of the world's aviation CO2 is produced by aircraft with gross takeoff mass above 25 metric tonnes, referred to herein as airliners. Propulsion of such aircraft can require power and energy levels of tens of megawatts and hundreds of thousands of kilowatt hours per flight. The challenges to electrically powering these airliners are examined in the context of CO2 reduction. Additional possible benefits such as noise and cost reduction are explored. All electric (battery), hybrid, and turboelectric approaches are considered. Technical issues including weight, efficiency, and heat rejection are examined. In addition, economic and policy implications of an industry conversion to electric propulsion are discussed. The conclusion of this study is that electric propulsion is not a promising path to significant reduction of aviation's CO2 in the first half of the 21st century.","author":[{"dropping-particle":"","family":"Epstein","given":"Alan H.","non-dropping-particle":"","parse-names":false,"suffix":""},{"dropping-particle":"","family":"O'Flarity","given":"Steven M.","non-dropping-particle":"","parse-names":false,"suffix":""}],"container-title":"Journal of Propulsion and Power","id":"ITEM-1","issue":"3","issued":{"date-parts":[["2019","2","8"]]},"page":"572-582","publisher":"American Institute of Aeronautics and Astronautics Inc.","title":"Considerations for reducing aviation's CO2 with aircraft electric propulsion","type":"article-journal","volume":"35"},"uris":["http://www.mendeley.com/documents/?uuid=9e16b98c-f7dc-31a2-bbbe-9d19635a39e3"]}],"mendeley":{"formattedCitation":"&lt;sup&gt;6&lt;/sup&gt;","plainTextFormattedCitation":"6","previouslyFormattedCitation":"&lt;sup&gt;6&lt;/sup&gt;"},"properties":{"noteIndex":0},"schema":"https://github.com/citation-style-language/schema/raw/master/csl-citation.json"}</w:instrText>
      </w:r>
      <w:r w:rsidRPr="00664D52">
        <w:rPr>
          <w:rFonts w:ascii="Helvetica" w:hAnsi="Helvetica" w:cstheme="minorHAnsi"/>
          <w:sz w:val="20"/>
          <w:szCs w:val="20"/>
        </w:rPr>
        <w:fldChar w:fldCharType="separate"/>
      </w:r>
      <w:r w:rsidR="008D1A8E" w:rsidRPr="00664D52">
        <w:rPr>
          <w:rFonts w:ascii="Helvetica" w:hAnsi="Helvetica" w:cstheme="minorHAnsi"/>
          <w:noProof/>
          <w:sz w:val="20"/>
          <w:szCs w:val="20"/>
          <w:vertAlign w:val="superscript"/>
        </w:rPr>
        <w:t>6</w:t>
      </w:r>
      <w:r w:rsidRPr="00664D52">
        <w:rPr>
          <w:rFonts w:ascii="Helvetica" w:hAnsi="Helvetica" w:cstheme="minorHAnsi"/>
          <w:sz w:val="20"/>
          <w:szCs w:val="20"/>
        </w:rPr>
        <w:fldChar w:fldCharType="end"/>
      </w:r>
      <w:r w:rsidRPr="00664D52">
        <w:rPr>
          <w:rFonts w:ascii="Helvetica" w:hAnsi="Helvetica" w:cstheme="minorHAnsi"/>
          <w:sz w:val="20"/>
          <w:szCs w:val="20"/>
        </w:rPr>
        <w:t xml:space="preserve">. There are two reference flights added </w:t>
      </w:r>
      <w:r w:rsidR="00A32894" w:rsidRPr="00664D52">
        <w:rPr>
          <w:rFonts w:ascii="Helvetica" w:hAnsi="Helvetica" w:cstheme="minorHAnsi"/>
          <w:sz w:val="20"/>
          <w:szCs w:val="20"/>
        </w:rPr>
        <w:t>as a dashed line in</w:t>
      </w:r>
      <w:r w:rsidRPr="00664D52">
        <w:rPr>
          <w:rFonts w:ascii="Helvetica" w:hAnsi="Helvetica" w:cstheme="minorHAnsi"/>
          <w:sz w:val="20"/>
          <w:szCs w:val="20"/>
        </w:rPr>
        <w:t xml:space="preserve"> panels </w:t>
      </w:r>
      <w:r w:rsidR="0007028A" w:rsidRPr="00664D52">
        <w:rPr>
          <w:rFonts w:ascii="Helvetica" w:hAnsi="Helvetica" w:cstheme="minorHAnsi"/>
          <w:sz w:val="20"/>
          <w:szCs w:val="20"/>
        </w:rPr>
        <w:t>(</w:t>
      </w:r>
      <w:r w:rsidRPr="00664D52">
        <w:rPr>
          <w:rFonts w:ascii="Helvetica" w:hAnsi="Helvetica" w:cstheme="minorHAnsi"/>
          <w:b/>
          <w:bCs/>
          <w:sz w:val="20"/>
          <w:szCs w:val="20"/>
        </w:rPr>
        <w:t>b</w:t>
      </w:r>
      <w:r w:rsidR="0007028A" w:rsidRPr="00664D52">
        <w:rPr>
          <w:rFonts w:ascii="Helvetica" w:hAnsi="Helvetica" w:cstheme="minorHAnsi"/>
          <w:sz w:val="20"/>
          <w:szCs w:val="20"/>
        </w:rPr>
        <w:t>)</w:t>
      </w:r>
      <w:r w:rsidRPr="00664D52">
        <w:rPr>
          <w:rFonts w:ascii="Helvetica" w:hAnsi="Helvetica" w:cstheme="minorHAnsi"/>
          <w:sz w:val="20"/>
          <w:szCs w:val="20"/>
        </w:rPr>
        <w:t xml:space="preserve"> and </w:t>
      </w:r>
      <w:r w:rsidR="0007028A" w:rsidRPr="00664D52">
        <w:rPr>
          <w:rFonts w:ascii="Helvetica" w:hAnsi="Helvetica" w:cstheme="minorHAnsi"/>
          <w:sz w:val="20"/>
          <w:szCs w:val="20"/>
        </w:rPr>
        <w:t>(</w:t>
      </w:r>
      <w:r w:rsidRPr="00664D52">
        <w:rPr>
          <w:rFonts w:ascii="Helvetica" w:hAnsi="Helvetica" w:cstheme="minorHAnsi"/>
          <w:b/>
          <w:bCs/>
          <w:sz w:val="20"/>
          <w:szCs w:val="20"/>
        </w:rPr>
        <w:t>c</w:t>
      </w:r>
      <w:r w:rsidR="0007028A" w:rsidRPr="00664D52">
        <w:rPr>
          <w:rFonts w:ascii="Helvetica" w:hAnsi="Helvetica" w:cstheme="minorHAnsi"/>
          <w:sz w:val="20"/>
          <w:szCs w:val="20"/>
        </w:rPr>
        <w:t>)</w:t>
      </w:r>
      <w:r w:rsidRPr="00664D52">
        <w:rPr>
          <w:rFonts w:ascii="Helvetica" w:hAnsi="Helvetica" w:cstheme="minorHAnsi"/>
          <w:sz w:val="20"/>
          <w:szCs w:val="20"/>
        </w:rPr>
        <w:t>: from Los Angeles (LAX</w:t>
      </w:r>
      <w:r w:rsidR="0097118F" w:rsidRPr="00664D52">
        <w:rPr>
          <w:rFonts w:ascii="Helvetica" w:hAnsi="Helvetica" w:cstheme="minorHAnsi"/>
          <w:sz w:val="20"/>
          <w:szCs w:val="20"/>
        </w:rPr>
        <w:t>)</w:t>
      </w:r>
      <w:r w:rsidRPr="00664D52">
        <w:rPr>
          <w:rFonts w:ascii="Helvetica" w:hAnsi="Helvetica" w:cstheme="minorHAnsi"/>
          <w:sz w:val="20"/>
          <w:szCs w:val="20"/>
        </w:rPr>
        <w:t xml:space="preserve"> to Beijing (PEK), and from New York</w:t>
      </w:r>
      <w:r w:rsidR="004D0F3D" w:rsidRPr="00664D52">
        <w:rPr>
          <w:rFonts w:ascii="Helvetica" w:hAnsi="Helvetica" w:cstheme="minorHAnsi"/>
          <w:sz w:val="20"/>
          <w:szCs w:val="20"/>
        </w:rPr>
        <w:t xml:space="preserve"> City</w:t>
      </w:r>
      <w:r w:rsidRPr="00664D52">
        <w:rPr>
          <w:rFonts w:ascii="Helvetica" w:hAnsi="Helvetica" w:cstheme="minorHAnsi"/>
          <w:sz w:val="20"/>
          <w:szCs w:val="20"/>
        </w:rPr>
        <w:t xml:space="preserve"> (JFK) to London (LHR). For total range based on mass (</w:t>
      </w:r>
      <w:r w:rsidRPr="00664D52">
        <w:rPr>
          <w:rFonts w:ascii="Helvetica" w:hAnsi="Helvetica" w:cstheme="minorHAnsi"/>
          <w:b/>
          <w:bCs/>
          <w:sz w:val="20"/>
          <w:szCs w:val="20"/>
        </w:rPr>
        <w:t>b</w:t>
      </w:r>
      <w:r w:rsidRPr="00664D52">
        <w:rPr>
          <w:rFonts w:ascii="Helvetica" w:hAnsi="Helvetica" w:cstheme="minorHAnsi"/>
          <w:sz w:val="20"/>
          <w:szCs w:val="20"/>
        </w:rPr>
        <w:t xml:space="preserve">) we assume 60% maximum fuel fraction (remainder allocated to passengers, seats, cargo, etc.), for the battery weight we assume 260 </w:t>
      </w:r>
      <w:proofErr w:type="spellStart"/>
      <w:r w:rsidRPr="00664D52">
        <w:rPr>
          <w:rFonts w:ascii="Helvetica" w:hAnsi="Helvetica" w:cstheme="minorHAnsi"/>
          <w:sz w:val="20"/>
          <w:szCs w:val="20"/>
        </w:rPr>
        <w:t>Wh</w:t>
      </w:r>
      <w:proofErr w:type="spellEnd"/>
      <w:r w:rsidRPr="00664D52">
        <w:rPr>
          <w:rFonts w:ascii="Helvetica" w:hAnsi="Helvetica" w:cstheme="minorHAnsi"/>
          <w:sz w:val="20"/>
          <w:szCs w:val="20"/>
        </w:rPr>
        <w:t>/kg of a 18650 Li-ion cell, and for hydrogen weight 1500 kWh/t</w:t>
      </w:r>
      <w:r w:rsidRPr="00664D52">
        <w:rPr>
          <w:rFonts w:ascii="Helvetica" w:hAnsi="Helvetica" w:cstheme="minorHAnsi"/>
          <w:sz w:val="20"/>
          <w:szCs w:val="20"/>
        </w:rPr>
        <w:fldChar w:fldCharType="begin" w:fldLock="1"/>
      </w:r>
      <w:r w:rsidR="00BB1C38" w:rsidRPr="00664D52">
        <w:rPr>
          <w:rFonts w:ascii="Helvetica" w:hAnsi="Helvetica" w:cstheme="minorHAnsi"/>
          <w:sz w:val="20"/>
          <w:szCs w:val="20"/>
        </w:rPr>
        <w:instrText>ADDIN CSL_CITATION {"citationItems":[{"id":"ITEM-1","itemData":{"ISBN":"1020092920","abstract":"The role of chief information officer (CIO) is riddled with ambiguity. To better understand the role, together with the causes and consequences of the ambiguity, we conducted interviews with CIOs, CxOs, recruiters, and industry analysts. Our findings indicate that this ambiguity is rooted in the fact that there are five distinct CIO roles: Utility IT Director, Evangelist CIO, Innovator CIO, Facilitator CIO, and Agility IT Director/CIO. The appropriate role for a particular organization at a point in time is determined by the criticality of information and technology for competitive differentiation and the maturity of its information leadership capabilities. Both are strongly influenced by the digital literacy of the CxO team. Moreover, our research suggests that in some organizations, the CIO roles follow a clear evolutionary path as some responsibilities that CIOs have assumed migrate away from the CIO and become embedded in CxO roles. We highlight the implications of this shift and provide specific recommendations for CIOs, CEOs, and CxOs as they seek to clarify the role of CIO so that they can optimize the value they generate from IT investments.","author":[{"dropping-particle":"","family":"DOE","given":"","non-dropping-particle":"","parse-names":false,"suffix":""}],"container-title":"October","id":"ITEM-1","issue":"1","issued":{"date-parts":[["2012"]]},"title":"Hydrogen Storage | Department of Energy","type":"article"},"uris":["http://www.mendeley.com/documents/?uuid=e9b19fd6-f143-3ef5-809d-c59a8cfd19a2"]}],"mendeley":{"formattedCitation":"&lt;sup&gt;19&lt;/sup&gt;","plainTextFormattedCitation":"19","previouslyFormattedCitation":"&lt;sup&gt;19&lt;/sup&gt;"},"properties":{"noteIndex":0},"schema":"https://github.com/citation-style-language/schema/raw/master/csl-citation.json"}</w:instrText>
      </w:r>
      <w:r w:rsidRPr="00664D52">
        <w:rPr>
          <w:rFonts w:ascii="Helvetica" w:hAnsi="Helvetica" w:cstheme="minorHAnsi"/>
          <w:sz w:val="20"/>
          <w:szCs w:val="20"/>
        </w:rPr>
        <w:fldChar w:fldCharType="separate"/>
      </w:r>
      <w:r w:rsidR="008D1A8E" w:rsidRPr="00664D52">
        <w:rPr>
          <w:rFonts w:ascii="Helvetica" w:hAnsi="Helvetica" w:cstheme="minorHAnsi"/>
          <w:noProof/>
          <w:sz w:val="20"/>
          <w:szCs w:val="20"/>
          <w:vertAlign w:val="superscript"/>
        </w:rPr>
        <w:t>19</w:t>
      </w:r>
      <w:r w:rsidRPr="00664D52">
        <w:rPr>
          <w:rFonts w:ascii="Helvetica" w:hAnsi="Helvetica" w:cstheme="minorHAnsi"/>
          <w:sz w:val="20"/>
          <w:szCs w:val="20"/>
        </w:rPr>
        <w:fldChar w:fldCharType="end"/>
      </w:r>
      <w:r w:rsidRPr="00664D52">
        <w:rPr>
          <w:rFonts w:ascii="Helvetica" w:hAnsi="Helvetica" w:cstheme="minorHAnsi"/>
          <w:sz w:val="20"/>
          <w:szCs w:val="20"/>
        </w:rPr>
        <w:t>. For total range based on volume (</w:t>
      </w:r>
      <w:r w:rsidRPr="00664D52">
        <w:rPr>
          <w:rFonts w:ascii="Helvetica" w:hAnsi="Helvetica" w:cstheme="minorHAnsi"/>
          <w:b/>
          <w:bCs/>
          <w:sz w:val="20"/>
          <w:szCs w:val="20"/>
        </w:rPr>
        <w:t>c</w:t>
      </w:r>
      <w:r w:rsidRPr="00664D52">
        <w:rPr>
          <w:rFonts w:ascii="Helvetica" w:hAnsi="Helvetica" w:cstheme="minorHAnsi"/>
          <w:sz w:val="20"/>
          <w:szCs w:val="20"/>
        </w:rPr>
        <w:t xml:space="preserve">) we assume that the volume of batteries and hydrogen is 1.5 times the volume of fossil jet fuel, and that the volume of batteries is 0.0785 kWh/L of 18650 Li-ion cell, and 1 kWh/L for hydrogen. </w:t>
      </w:r>
    </w:p>
    <w:p w14:paraId="2DCD5F74" w14:textId="34C98371" w:rsidR="008C0FF5" w:rsidRPr="00664D52" w:rsidRDefault="008C0FF5" w:rsidP="00576730">
      <w:pPr>
        <w:spacing w:before="120" w:afterLines="120" w:after="288"/>
        <w:jc w:val="both"/>
        <w:rPr>
          <w:rFonts w:ascii="Helvetica" w:hAnsi="Helvetica" w:cstheme="minorHAnsi"/>
          <w:sz w:val="20"/>
          <w:szCs w:val="20"/>
        </w:rPr>
        <w:sectPr w:rsidR="008C0FF5" w:rsidRPr="00664D52">
          <w:footerReference w:type="even" r:id="rId15"/>
          <w:footerReference w:type="default" r:id="rId16"/>
          <w:pgSz w:w="12240" w:h="15840"/>
          <w:pgMar w:top="1440" w:right="1440" w:bottom="1440" w:left="1440" w:header="720" w:footer="720" w:gutter="0"/>
          <w:cols w:space="720"/>
          <w:docGrid w:linePitch="360"/>
        </w:sectPr>
      </w:pPr>
    </w:p>
    <w:p w14:paraId="3AD3B072" w14:textId="7B588A95" w:rsidR="00576730" w:rsidRPr="00664D52" w:rsidRDefault="00B84D48" w:rsidP="00576730">
      <w:pPr>
        <w:spacing w:before="120" w:afterLines="120" w:after="288"/>
        <w:jc w:val="both"/>
        <w:rPr>
          <w:rFonts w:ascii="Helvetica" w:hAnsi="Helvetica" w:cstheme="minorHAnsi"/>
          <w:sz w:val="20"/>
          <w:szCs w:val="20"/>
        </w:rPr>
      </w:pPr>
      <w:r w:rsidRPr="00664D52">
        <w:rPr>
          <w:rFonts w:ascii="Helvetica" w:hAnsi="Helvetica" w:cstheme="minorHAnsi"/>
          <w:b/>
          <w:bCs/>
          <w:sz w:val="20"/>
          <w:szCs w:val="20"/>
        </w:rPr>
        <w:lastRenderedPageBreak/>
        <w:t xml:space="preserve">Supplementary </w:t>
      </w:r>
      <w:r w:rsidR="00576730" w:rsidRPr="00664D52">
        <w:rPr>
          <w:rFonts w:ascii="Helvetica" w:hAnsi="Helvetica" w:cstheme="minorHAnsi"/>
          <w:b/>
          <w:bCs/>
          <w:sz w:val="20"/>
          <w:szCs w:val="20"/>
        </w:rPr>
        <w:t xml:space="preserve">Table </w:t>
      </w:r>
      <w:r w:rsidRPr="00664D52">
        <w:rPr>
          <w:rFonts w:ascii="Helvetica" w:hAnsi="Helvetica" w:cstheme="minorHAnsi"/>
          <w:b/>
          <w:bCs/>
          <w:sz w:val="20"/>
          <w:szCs w:val="20"/>
        </w:rPr>
        <w:t>1</w:t>
      </w:r>
      <w:r w:rsidR="00576730" w:rsidRPr="00664D52">
        <w:rPr>
          <w:rFonts w:ascii="Helvetica" w:hAnsi="Helvetica" w:cstheme="minorHAnsi"/>
          <w:b/>
          <w:sz w:val="20"/>
          <w:szCs w:val="20"/>
        </w:rPr>
        <w:t>|</w:t>
      </w:r>
      <w:r w:rsidR="00576730" w:rsidRPr="00664D52">
        <w:rPr>
          <w:rFonts w:ascii="Helvetica" w:hAnsi="Helvetica" w:cstheme="minorHAnsi"/>
          <w:sz w:val="20"/>
          <w:szCs w:val="20"/>
        </w:rPr>
        <w:t xml:space="preserve"> The Kaya Identity Sources and Explanations</w:t>
      </w:r>
    </w:p>
    <w:tbl>
      <w:tblPr>
        <w:tblStyle w:val="TableGrid"/>
        <w:tblW w:w="12811" w:type="dxa"/>
        <w:tblCellMar>
          <w:left w:w="72" w:type="dxa"/>
          <w:right w:w="72" w:type="dxa"/>
        </w:tblCellMar>
        <w:tblLook w:val="04A0" w:firstRow="1" w:lastRow="0" w:firstColumn="1" w:lastColumn="0" w:noHBand="0" w:noVBand="1"/>
      </w:tblPr>
      <w:tblGrid>
        <w:gridCol w:w="376"/>
        <w:gridCol w:w="2139"/>
        <w:gridCol w:w="3432"/>
        <w:gridCol w:w="3432"/>
        <w:gridCol w:w="3432"/>
      </w:tblGrid>
      <w:tr w:rsidR="001C4E68" w:rsidRPr="007D2326" w14:paraId="6C5A00CA" w14:textId="77777777" w:rsidTr="00192579">
        <w:trPr>
          <w:cantSplit/>
          <w:trHeight w:val="20"/>
        </w:trPr>
        <w:tc>
          <w:tcPr>
            <w:tcW w:w="376" w:type="dxa"/>
            <w:vMerge w:val="restart"/>
            <w:shd w:val="clear" w:color="auto" w:fill="auto"/>
          </w:tcPr>
          <w:p w14:paraId="6624CDF1" w14:textId="77777777" w:rsidR="00576730" w:rsidRPr="007D2326" w:rsidRDefault="00576730" w:rsidP="00C138C5">
            <w:pPr>
              <w:jc w:val="center"/>
              <w:rPr>
                <w:rFonts w:ascii="Helvetica" w:hAnsi="Helvetica" w:cstheme="minorHAnsi"/>
                <w:b/>
                <w:bCs/>
                <w:sz w:val="17"/>
                <w:szCs w:val="17"/>
              </w:rPr>
            </w:pPr>
          </w:p>
        </w:tc>
        <w:tc>
          <w:tcPr>
            <w:tcW w:w="2139" w:type="dxa"/>
            <w:shd w:val="clear" w:color="auto" w:fill="auto"/>
          </w:tcPr>
          <w:p w14:paraId="2CFD9029" w14:textId="77777777" w:rsidR="00576730" w:rsidRPr="007D2326" w:rsidRDefault="00576730" w:rsidP="00C138C5">
            <w:pPr>
              <w:jc w:val="center"/>
              <w:rPr>
                <w:rFonts w:ascii="Helvetica" w:hAnsi="Helvetica" w:cstheme="minorHAnsi"/>
                <w:b/>
                <w:bCs/>
                <w:sz w:val="17"/>
                <w:szCs w:val="17"/>
              </w:rPr>
            </w:pPr>
            <w:r w:rsidRPr="007D2326">
              <w:rPr>
                <w:rFonts w:ascii="Helvetica" w:hAnsi="Helvetica" w:cstheme="minorHAnsi"/>
                <w:b/>
                <w:bCs/>
                <w:sz w:val="17"/>
                <w:szCs w:val="17"/>
              </w:rPr>
              <w:t>Emissions (</w:t>
            </w:r>
            <w:r w:rsidRPr="007D2326">
              <w:rPr>
                <w:rFonts w:ascii="Helvetica" w:hAnsi="Helvetica" w:cstheme="minorHAnsi"/>
                <w:b/>
                <w:bCs/>
                <w:i/>
                <w:iCs/>
                <w:sz w:val="17"/>
                <w:szCs w:val="17"/>
              </w:rPr>
              <w:t>F</w:t>
            </w:r>
            <w:r w:rsidRPr="007D2326">
              <w:rPr>
                <w:rFonts w:ascii="Helvetica" w:hAnsi="Helvetica" w:cstheme="minorHAnsi"/>
                <w:b/>
                <w:bCs/>
                <w:sz w:val="17"/>
                <w:szCs w:val="17"/>
              </w:rPr>
              <w:t>)</w:t>
            </w:r>
          </w:p>
        </w:tc>
        <w:tc>
          <w:tcPr>
            <w:tcW w:w="3432" w:type="dxa"/>
            <w:shd w:val="clear" w:color="auto" w:fill="auto"/>
          </w:tcPr>
          <w:p w14:paraId="1690472B" w14:textId="77777777" w:rsidR="00576730" w:rsidRPr="007D2326" w:rsidRDefault="00576730" w:rsidP="00C138C5">
            <w:pPr>
              <w:jc w:val="center"/>
              <w:rPr>
                <w:rFonts w:ascii="Helvetica" w:hAnsi="Helvetica" w:cstheme="minorHAnsi"/>
                <w:b/>
                <w:bCs/>
                <w:sz w:val="17"/>
                <w:szCs w:val="17"/>
              </w:rPr>
            </w:pPr>
            <w:r w:rsidRPr="007D2326">
              <w:rPr>
                <w:rFonts w:ascii="Helvetica" w:hAnsi="Helvetica" w:cstheme="minorHAnsi"/>
                <w:b/>
                <w:bCs/>
                <w:sz w:val="17"/>
                <w:szCs w:val="17"/>
              </w:rPr>
              <w:t>Demand (</w:t>
            </w:r>
            <w:r w:rsidRPr="007D2326">
              <w:rPr>
                <w:rFonts w:ascii="Helvetica" w:hAnsi="Helvetica" w:cstheme="minorHAnsi"/>
                <w:b/>
                <w:bCs/>
                <w:i/>
                <w:iCs/>
                <w:sz w:val="17"/>
                <w:szCs w:val="17"/>
              </w:rPr>
              <w:t>D</w:t>
            </w:r>
            <w:r w:rsidRPr="007D2326">
              <w:rPr>
                <w:rFonts w:ascii="Helvetica" w:hAnsi="Helvetica" w:cstheme="minorHAnsi"/>
                <w:b/>
                <w:bCs/>
                <w:sz w:val="17"/>
                <w:szCs w:val="17"/>
              </w:rPr>
              <w:t>)</w:t>
            </w:r>
          </w:p>
        </w:tc>
        <w:tc>
          <w:tcPr>
            <w:tcW w:w="3432" w:type="dxa"/>
            <w:shd w:val="clear" w:color="auto" w:fill="auto"/>
          </w:tcPr>
          <w:p w14:paraId="38070108" w14:textId="77777777" w:rsidR="00576730" w:rsidRPr="007D2326" w:rsidRDefault="00576730" w:rsidP="00C138C5">
            <w:pPr>
              <w:jc w:val="center"/>
              <w:rPr>
                <w:rFonts w:ascii="Helvetica" w:hAnsi="Helvetica" w:cstheme="minorHAnsi"/>
                <w:b/>
                <w:bCs/>
                <w:sz w:val="17"/>
                <w:szCs w:val="17"/>
                <w:lang w:val="es-ES"/>
              </w:rPr>
            </w:pPr>
            <w:r w:rsidRPr="007D2326">
              <w:rPr>
                <w:rFonts w:ascii="Helvetica" w:hAnsi="Helvetica" w:cstheme="minorHAnsi"/>
                <w:b/>
                <w:bCs/>
                <w:sz w:val="17"/>
                <w:szCs w:val="17"/>
                <w:lang w:val="es-ES"/>
              </w:rPr>
              <w:t xml:space="preserve">Energy </w:t>
            </w:r>
            <w:proofErr w:type="spellStart"/>
            <w:r w:rsidRPr="007D2326">
              <w:rPr>
                <w:rFonts w:ascii="Helvetica" w:hAnsi="Helvetica" w:cstheme="minorHAnsi"/>
                <w:b/>
                <w:bCs/>
                <w:sz w:val="17"/>
                <w:szCs w:val="17"/>
                <w:lang w:val="es-ES"/>
              </w:rPr>
              <w:t>intensity</w:t>
            </w:r>
            <w:proofErr w:type="spellEnd"/>
            <w:r w:rsidRPr="007D2326">
              <w:rPr>
                <w:rFonts w:ascii="Helvetica" w:hAnsi="Helvetica" w:cstheme="minorHAnsi"/>
                <w:b/>
                <w:bCs/>
                <w:sz w:val="17"/>
                <w:szCs w:val="17"/>
                <w:lang w:val="es-ES"/>
              </w:rPr>
              <w:t xml:space="preserve"> (</w:t>
            </w:r>
            <w:r w:rsidRPr="007D2326">
              <w:rPr>
                <w:rFonts w:ascii="Helvetica" w:hAnsi="Helvetica" w:cstheme="minorHAnsi"/>
                <w:b/>
                <w:bCs/>
                <w:i/>
                <w:iCs/>
                <w:sz w:val="17"/>
                <w:szCs w:val="17"/>
                <w:lang w:val="es-ES"/>
              </w:rPr>
              <w:t>e = E/D</w:t>
            </w:r>
            <w:r w:rsidRPr="007D2326">
              <w:rPr>
                <w:rFonts w:ascii="Helvetica" w:hAnsi="Helvetica" w:cstheme="minorHAnsi"/>
                <w:b/>
                <w:bCs/>
                <w:sz w:val="17"/>
                <w:szCs w:val="17"/>
                <w:lang w:val="es-ES"/>
              </w:rPr>
              <w:t>)</w:t>
            </w:r>
          </w:p>
        </w:tc>
        <w:tc>
          <w:tcPr>
            <w:tcW w:w="3432" w:type="dxa"/>
            <w:shd w:val="clear" w:color="auto" w:fill="auto"/>
          </w:tcPr>
          <w:p w14:paraId="7FBF6386" w14:textId="77777777" w:rsidR="00576730" w:rsidRPr="007D2326" w:rsidRDefault="00576730" w:rsidP="00C138C5">
            <w:pPr>
              <w:jc w:val="center"/>
              <w:rPr>
                <w:rFonts w:ascii="Helvetica" w:hAnsi="Helvetica" w:cstheme="minorHAnsi"/>
                <w:b/>
                <w:bCs/>
                <w:sz w:val="17"/>
                <w:szCs w:val="17"/>
              </w:rPr>
            </w:pPr>
            <w:r w:rsidRPr="007D2326">
              <w:rPr>
                <w:rFonts w:ascii="Helvetica" w:hAnsi="Helvetica" w:cstheme="minorHAnsi"/>
                <w:b/>
                <w:bCs/>
                <w:sz w:val="17"/>
                <w:szCs w:val="17"/>
              </w:rPr>
              <w:t>Carbon intensity (</w:t>
            </w:r>
            <w:r w:rsidRPr="007D2326">
              <w:rPr>
                <w:rFonts w:ascii="Helvetica" w:hAnsi="Helvetica" w:cstheme="minorHAnsi"/>
                <w:b/>
                <w:bCs/>
                <w:i/>
                <w:iCs/>
                <w:sz w:val="17"/>
                <w:szCs w:val="17"/>
              </w:rPr>
              <w:t>f = F/E</w:t>
            </w:r>
            <w:r w:rsidRPr="007D2326">
              <w:rPr>
                <w:rFonts w:ascii="Helvetica" w:hAnsi="Helvetica" w:cstheme="minorHAnsi"/>
                <w:b/>
                <w:bCs/>
                <w:sz w:val="17"/>
                <w:szCs w:val="17"/>
              </w:rPr>
              <w:t>)</w:t>
            </w:r>
          </w:p>
        </w:tc>
      </w:tr>
      <w:tr w:rsidR="001C4E68" w:rsidRPr="007D2326" w14:paraId="55B7D4BB" w14:textId="77777777" w:rsidTr="00192579">
        <w:trPr>
          <w:trHeight w:val="20"/>
        </w:trPr>
        <w:tc>
          <w:tcPr>
            <w:tcW w:w="376" w:type="dxa"/>
            <w:vMerge/>
            <w:shd w:val="clear" w:color="auto" w:fill="auto"/>
          </w:tcPr>
          <w:p w14:paraId="53DD41FD" w14:textId="77777777" w:rsidR="00576730" w:rsidRPr="007D2326" w:rsidRDefault="00576730" w:rsidP="00C138C5">
            <w:pPr>
              <w:jc w:val="center"/>
              <w:rPr>
                <w:rFonts w:ascii="Helvetica" w:hAnsi="Helvetica" w:cstheme="minorHAnsi"/>
                <w:i/>
                <w:iCs/>
                <w:sz w:val="17"/>
                <w:szCs w:val="17"/>
              </w:rPr>
            </w:pPr>
          </w:p>
        </w:tc>
        <w:tc>
          <w:tcPr>
            <w:tcW w:w="2139" w:type="dxa"/>
            <w:shd w:val="clear" w:color="auto" w:fill="auto"/>
          </w:tcPr>
          <w:p w14:paraId="6A396372" w14:textId="77777777" w:rsidR="00576730" w:rsidRPr="007D2326" w:rsidRDefault="00576730" w:rsidP="00C138C5">
            <w:pPr>
              <w:jc w:val="center"/>
              <w:rPr>
                <w:rFonts w:ascii="Helvetica" w:hAnsi="Helvetica" w:cstheme="minorHAnsi"/>
                <w:i/>
                <w:iCs/>
                <w:sz w:val="17"/>
                <w:szCs w:val="17"/>
              </w:rPr>
            </w:pPr>
            <w:r w:rsidRPr="007D2326">
              <w:rPr>
                <w:rFonts w:ascii="Helvetica" w:hAnsi="Helvetica" w:cstheme="minorHAnsi"/>
                <w:i/>
                <w:iCs/>
                <w:sz w:val="17"/>
                <w:szCs w:val="17"/>
              </w:rPr>
              <w:t>Mt CO</w:t>
            </w:r>
            <w:r w:rsidRPr="007D2326">
              <w:rPr>
                <w:rFonts w:ascii="Helvetica" w:hAnsi="Helvetica" w:cstheme="minorHAnsi"/>
                <w:i/>
                <w:iCs/>
                <w:sz w:val="17"/>
                <w:szCs w:val="17"/>
                <w:vertAlign w:val="subscript"/>
              </w:rPr>
              <w:t>2</w:t>
            </w:r>
          </w:p>
        </w:tc>
        <w:tc>
          <w:tcPr>
            <w:tcW w:w="3432" w:type="dxa"/>
            <w:shd w:val="clear" w:color="auto" w:fill="auto"/>
          </w:tcPr>
          <w:p w14:paraId="36A8F2C4" w14:textId="77777777" w:rsidR="00576730" w:rsidRPr="007D2326" w:rsidRDefault="00576730" w:rsidP="00C138C5">
            <w:pPr>
              <w:jc w:val="center"/>
              <w:rPr>
                <w:rFonts w:ascii="Helvetica" w:hAnsi="Helvetica" w:cstheme="minorHAnsi"/>
                <w:i/>
                <w:iCs/>
                <w:sz w:val="17"/>
                <w:szCs w:val="17"/>
              </w:rPr>
            </w:pPr>
            <w:r w:rsidRPr="007D2326">
              <w:rPr>
                <w:rFonts w:ascii="Helvetica" w:hAnsi="Helvetica" w:cstheme="minorHAnsi"/>
                <w:i/>
                <w:iCs/>
                <w:sz w:val="17"/>
                <w:szCs w:val="17"/>
              </w:rPr>
              <w:t>Ton-km equivalent</w:t>
            </w:r>
          </w:p>
        </w:tc>
        <w:tc>
          <w:tcPr>
            <w:tcW w:w="3432" w:type="dxa"/>
            <w:shd w:val="clear" w:color="auto" w:fill="auto"/>
          </w:tcPr>
          <w:p w14:paraId="0A7627B1" w14:textId="77777777" w:rsidR="00576730" w:rsidRPr="007D2326" w:rsidRDefault="00576730" w:rsidP="00C138C5">
            <w:pPr>
              <w:jc w:val="center"/>
              <w:rPr>
                <w:rFonts w:ascii="Helvetica" w:hAnsi="Helvetica" w:cstheme="minorHAnsi"/>
                <w:i/>
                <w:iCs/>
                <w:sz w:val="17"/>
                <w:szCs w:val="17"/>
              </w:rPr>
            </w:pPr>
            <w:r w:rsidRPr="007D2326">
              <w:rPr>
                <w:rFonts w:ascii="Helvetica" w:hAnsi="Helvetica" w:cstheme="minorHAnsi"/>
                <w:i/>
                <w:iCs/>
                <w:sz w:val="17"/>
                <w:szCs w:val="17"/>
              </w:rPr>
              <w:t>MJ/ton-km equivalent</w:t>
            </w:r>
          </w:p>
        </w:tc>
        <w:tc>
          <w:tcPr>
            <w:tcW w:w="3432" w:type="dxa"/>
            <w:shd w:val="clear" w:color="auto" w:fill="auto"/>
          </w:tcPr>
          <w:p w14:paraId="71DD66A6" w14:textId="77777777" w:rsidR="00576730" w:rsidRPr="007D2326" w:rsidRDefault="00576730" w:rsidP="00C138C5">
            <w:pPr>
              <w:jc w:val="center"/>
              <w:rPr>
                <w:rFonts w:ascii="Helvetica" w:hAnsi="Helvetica" w:cstheme="minorHAnsi"/>
                <w:i/>
                <w:iCs/>
                <w:sz w:val="17"/>
                <w:szCs w:val="17"/>
              </w:rPr>
            </w:pPr>
            <w:r w:rsidRPr="007D2326">
              <w:rPr>
                <w:rFonts w:ascii="Helvetica" w:hAnsi="Helvetica" w:cstheme="minorHAnsi"/>
                <w:i/>
                <w:iCs/>
                <w:sz w:val="17"/>
                <w:szCs w:val="17"/>
              </w:rPr>
              <w:t>Mt CO</w:t>
            </w:r>
            <w:r w:rsidRPr="007D2326">
              <w:rPr>
                <w:rFonts w:ascii="Helvetica" w:hAnsi="Helvetica" w:cstheme="minorHAnsi"/>
                <w:i/>
                <w:iCs/>
                <w:sz w:val="17"/>
                <w:szCs w:val="17"/>
                <w:vertAlign w:val="subscript"/>
              </w:rPr>
              <w:t>2</w:t>
            </w:r>
            <w:r w:rsidRPr="007D2326">
              <w:rPr>
                <w:rFonts w:ascii="Helvetica" w:hAnsi="Helvetica" w:cstheme="minorHAnsi"/>
                <w:i/>
                <w:iCs/>
                <w:sz w:val="17"/>
                <w:szCs w:val="17"/>
              </w:rPr>
              <w:t>/ MJ</w:t>
            </w:r>
          </w:p>
        </w:tc>
      </w:tr>
      <w:tr w:rsidR="001C4E68" w:rsidRPr="007D2326" w14:paraId="13A1586E" w14:textId="77777777" w:rsidTr="00192579">
        <w:trPr>
          <w:cantSplit/>
          <w:trHeight w:val="20"/>
        </w:trPr>
        <w:tc>
          <w:tcPr>
            <w:tcW w:w="376" w:type="dxa"/>
            <w:textDirection w:val="btLr"/>
          </w:tcPr>
          <w:p w14:paraId="0868EF77" w14:textId="77777777" w:rsidR="00576730" w:rsidRPr="007D2326" w:rsidRDefault="00576730" w:rsidP="00C138C5">
            <w:pPr>
              <w:jc w:val="center"/>
              <w:rPr>
                <w:rFonts w:ascii="Helvetica" w:hAnsi="Helvetica" w:cstheme="minorHAnsi"/>
                <w:b/>
                <w:bCs/>
                <w:sz w:val="17"/>
                <w:szCs w:val="17"/>
              </w:rPr>
            </w:pPr>
            <w:r w:rsidRPr="007D2326">
              <w:rPr>
                <w:rFonts w:ascii="Helvetica" w:hAnsi="Helvetica" w:cstheme="minorHAnsi"/>
                <w:b/>
                <w:bCs/>
                <w:sz w:val="17"/>
                <w:szCs w:val="17"/>
              </w:rPr>
              <w:t>Historical</w:t>
            </w:r>
          </w:p>
        </w:tc>
        <w:tc>
          <w:tcPr>
            <w:tcW w:w="2139" w:type="dxa"/>
          </w:tcPr>
          <w:p w14:paraId="78DF3E19" w14:textId="2ACF08D4" w:rsidR="00576730" w:rsidRPr="007D2326" w:rsidRDefault="00576730" w:rsidP="009F5DB7">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Historical</w:t>
            </w:r>
            <w:r w:rsidR="009F5DB7" w:rsidRPr="007D2326">
              <w:rPr>
                <w:rFonts w:ascii="Helvetica" w:hAnsi="Helvetica" w:cstheme="minorHAnsi"/>
                <w:sz w:val="17"/>
                <w:szCs w:val="17"/>
              </w:rPr>
              <w:t xml:space="preserve"> </w:t>
            </w:r>
            <w:r w:rsidRPr="007D2326">
              <w:rPr>
                <w:rFonts w:ascii="Helvetica" w:hAnsi="Helvetica" w:cstheme="minorHAnsi"/>
                <w:sz w:val="17"/>
                <w:szCs w:val="17"/>
              </w:rPr>
              <w:t>emissions (1990-2020) from IEA</w:t>
            </w:r>
            <w:r w:rsidRPr="007D2326">
              <w:rPr>
                <w:rFonts w:ascii="Helvetica" w:hAnsi="Helvetica" w:cstheme="minorHAnsi"/>
                <w:sz w:val="17"/>
                <w:szCs w:val="17"/>
              </w:rPr>
              <w:fldChar w:fldCharType="begin" w:fldLock="1"/>
            </w:r>
            <w:r w:rsidR="004654D7" w:rsidRPr="007D2326">
              <w:rPr>
                <w:rFonts w:ascii="Helvetica" w:hAnsi="Helvetica" w:cstheme="minorHAnsi"/>
                <w:sz w:val="17"/>
                <w:szCs w:val="17"/>
              </w:rPr>
              <w:instrText>ADDIN CSL_CITATION {"citationItems":[{"id":"ITEM-1","itemData":{"DOI":"https://doi.org/10.1787/data-00429-en","author":[{"dropping-particle":"","family":"IEA","given":"","non-dropping-particle":"","parse-names":false,"suffix":""}],"id":"ITEM-1","issued":{"date-parts":[["2022"]]},"title":"Detailed CO2 estimates, IEA CO2 Emissions from Fuel Combustion Statistics: Greenhouse Gas Emissions from Energy (database)","type":"webpage"},"uris":["http://www.mendeley.com/documents/?uuid=aa6c93c3-8245-4658-b22a-4088c6774a09"]}],"mendeley":{"formattedCitation":"&lt;sup&gt;20&lt;/sup&gt;","plainTextFormattedCitation":"20","previouslyFormattedCitation":"&lt;sup&gt;20&lt;/sup&gt;"},"properties":{"noteIndex":0},"schema":"https://github.com/citation-style-language/schema/raw/master/csl-citation.json"}</w:instrText>
            </w:r>
            <w:r w:rsidRPr="007D2326">
              <w:rPr>
                <w:rFonts w:ascii="Helvetica" w:hAnsi="Helvetica" w:cstheme="minorHAnsi"/>
                <w:sz w:val="17"/>
                <w:szCs w:val="17"/>
              </w:rPr>
              <w:fldChar w:fldCharType="separate"/>
            </w:r>
            <w:r w:rsidR="008D1A8E" w:rsidRPr="007D2326">
              <w:rPr>
                <w:rFonts w:ascii="Helvetica" w:hAnsi="Helvetica" w:cstheme="minorHAnsi"/>
                <w:noProof/>
                <w:sz w:val="17"/>
                <w:szCs w:val="17"/>
                <w:vertAlign w:val="superscript"/>
              </w:rPr>
              <w:t>20</w:t>
            </w:r>
            <w:r w:rsidRPr="007D2326">
              <w:rPr>
                <w:rFonts w:ascii="Helvetica" w:hAnsi="Helvetica" w:cstheme="minorHAnsi"/>
                <w:sz w:val="17"/>
                <w:szCs w:val="17"/>
              </w:rPr>
              <w:fldChar w:fldCharType="end"/>
            </w:r>
            <w:r w:rsidRPr="007D2326">
              <w:rPr>
                <w:rFonts w:ascii="Helvetica" w:hAnsi="Helvetica" w:cstheme="minorHAnsi"/>
                <w:sz w:val="17"/>
                <w:szCs w:val="17"/>
              </w:rPr>
              <w:t>.</w:t>
            </w:r>
            <w:r w:rsidR="009F5DB7" w:rsidRPr="007D2326">
              <w:rPr>
                <w:rFonts w:ascii="Helvetica" w:hAnsi="Helvetica" w:cstheme="minorHAnsi"/>
                <w:sz w:val="17"/>
                <w:szCs w:val="17"/>
              </w:rPr>
              <w:t xml:space="preserve"> </w:t>
            </w:r>
            <w:r w:rsidRPr="007D2326">
              <w:rPr>
                <w:rFonts w:ascii="Helvetica" w:hAnsi="Helvetica" w:cstheme="minorHAnsi"/>
                <w:sz w:val="17"/>
                <w:szCs w:val="17"/>
              </w:rPr>
              <w:t>2021 emissions from CMP and adjusted by previous year difference between CMP and IEA (13%)</w:t>
            </w:r>
            <w:r w:rsidRPr="007D2326">
              <w:rPr>
                <w:rFonts w:ascii="Helvetica" w:hAnsi="Helvetica" w:cstheme="minorHAnsi"/>
                <w:sz w:val="17"/>
                <w:szCs w:val="17"/>
              </w:rPr>
              <w:fldChar w:fldCharType="begin" w:fldLock="1"/>
            </w:r>
            <w:r w:rsidR="004654D7" w:rsidRPr="007D2326">
              <w:rPr>
                <w:rFonts w:ascii="Helvetica" w:hAnsi="Helvetica" w:cstheme="minorHAnsi"/>
                <w:sz w:val="17"/>
                <w:szCs w:val="17"/>
              </w:rPr>
              <w:instrText>ADDIN CSL_CITATION {"citationItems":[{"id":"ITEM-1","itemData":{"URL":"https://carbonmonitor.org/international-aviation","accessed":{"date-parts":[["2022","2","14"]]},"author":[{"dropping-particle":"","family":"Carbon Monitor Project","given":"","non-dropping-particle":"","parse-names":false,"suffix":""}],"id":"ITEM-1","issued":{"date-parts":[["2022"]]},"title":"CO2 emissions","type":"webpage"},"uris":["http://www.mendeley.com/documents/?uuid=0753a4e0-cadc-3366-9444-e66e6a90cf79"]}],"mendeley":{"formattedCitation":"&lt;sup&gt;21&lt;/sup&gt;","plainTextFormattedCitation":"21","previouslyFormattedCitation":"&lt;sup&gt;21&lt;/sup&gt;"},"properties":{"noteIndex":0},"schema":"https://github.com/citation-style-language/schema/raw/master/csl-citation.json"}</w:instrText>
            </w:r>
            <w:r w:rsidRPr="007D2326">
              <w:rPr>
                <w:rFonts w:ascii="Helvetica" w:hAnsi="Helvetica" w:cstheme="minorHAnsi"/>
                <w:sz w:val="17"/>
                <w:szCs w:val="17"/>
              </w:rPr>
              <w:fldChar w:fldCharType="separate"/>
            </w:r>
            <w:r w:rsidR="008D1A8E" w:rsidRPr="007D2326">
              <w:rPr>
                <w:rFonts w:ascii="Helvetica" w:hAnsi="Helvetica" w:cstheme="minorHAnsi"/>
                <w:noProof/>
                <w:sz w:val="17"/>
                <w:szCs w:val="17"/>
                <w:vertAlign w:val="superscript"/>
              </w:rPr>
              <w:t>21</w:t>
            </w:r>
            <w:r w:rsidRPr="007D2326">
              <w:rPr>
                <w:rFonts w:ascii="Helvetica" w:hAnsi="Helvetica" w:cstheme="minorHAnsi"/>
                <w:sz w:val="17"/>
                <w:szCs w:val="17"/>
              </w:rPr>
              <w:fldChar w:fldCharType="end"/>
            </w:r>
            <w:r w:rsidRPr="007D2326">
              <w:rPr>
                <w:rFonts w:ascii="Helvetica" w:hAnsi="Helvetica" w:cstheme="minorHAnsi"/>
                <w:sz w:val="17"/>
                <w:szCs w:val="17"/>
              </w:rPr>
              <w:t>.</w:t>
            </w:r>
          </w:p>
        </w:tc>
        <w:tc>
          <w:tcPr>
            <w:tcW w:w="3432" w:type="dxa"/>
          </w:tcPr>
          <w:p w14:paraId="275E2AE9" w14:textId="358B64D4" w:rsidR="00576730" w:rsidRPr="007D2326" w:rsidRDefault="00576730" w:rsidP="009F5DB7">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Passenger demand from ICAO (1990-2019)</w:t>
            </w:r>
            <w:r w:rsidR="00934E75" w:rsidRPr="007D2326">
              <w:rPr>
                <w:rFonts w:ascii="Helvetica" w:hAnsi="Helvetica" w:cstheme="minorHAnsi"/>
                <w:sz w:val="17"/>
                <w:szCs w:val="17"/>
              </w:rPr>
              <w:fldChar w:fldCharType="begin" w:fldLock="1"/>
            </w:r>
            <w:r w:rsidR="00BB1C38" w:rsidRPr="007D2326">
              <w:rPr>
                <w:rFonts w:ascii="Helvetica" w:hAnsi="Helvetica" w:cstheme="minorHAnsi"/>
                <w:sz w:val="17"/>
                <w:szCs w:val="17"/>
              </w:rPr>
              <w:instrText>ADDIN CSL_CITATION {"citationItems":[{"id":"ITEM-1","itemData":{"URL":"https://www.icao.int/sustainability/documents/AirTransport-figures.pdf","abstract":"The air transport industry is not only • a vital engine of global socioeconomic growth • but is also of vital importance as a catalyst for economic development,-creating direct and indirect employment,-supporting tourism and local businesses, and-stimulating foreign investment and international trade. 2","accessed":{"date-parts":[["2022","6","29"]]},"author":[{"dropping-particle":"","family":"ICAO","given":"","non-dropping-particle":"","parse-names":false,"suffix":""}],"id":"ITEM-1","issued":{"date-parts":[["2014"]]},"title":"The air transport industry","type":"webpage"},"uris":["http://www.mendeley.com/documents/?uuid=10ea4922-e596-3c38-9342-20c3e71c327c"]},{"id":"ITEM-2","itemData":{"URL":"https://www.icao.int/annual-report-2019/Pages/the-world-of-air-transport-in-2019.aspx","accessed":{"date-parts":[["2022","6","29"]]},"author":[{"dropping-particle":"","family":"ICAO","given":"","non-dropping-particle":"","parse-names":false,"suffix":""}],"id":"ITEM-2","issued":{"date-parts":[["2020"]]},"title":"The World of Air Transport in 2019","type":"webpage"},"uris":["http://www.mendeley.com/documents/?uuid=365c3a70-35ee-327b-8807-08ccec159105"]}],"mendeley":{"formattedCitation":"&lt;sup&gt;22,23&lt;/sup&gt;","plainTextFormattedCitation":"22,23","previouslyFormattedCitation":"&lt;sup&gt;22,23&lt;/sup&gt;"},"properties":{"noteIndex":0},"schema":"https://github.com/citation-style-language/schema/raw/master/csl-citation.json"}</w:instrText>
            </w:r>
            <w:r w:rsidR="00934E75" w:rsidRPr="007D2326">
              <w:rPr>
                <w:rFonts w:ascii="Helvetica" w:hAnsi="Helvetica" w:cstheme="minorHAnsi"/>
                <w:sz w:val="17"/>
                <w:szCs w:val="17"/>
              </w:rPr>
              <w:fldChar w:fldCharType="separate"/>
            </w:r>
            <w:r w:rsidR="00934E75" w:rsidRPr="007D2326">
              <w:rPr>
                <w:rFonts w:ascii="Helvetica" w:hAnsi="Helvetica" w:cstheme="minorHAnsi"/>
                <w:noProof/>
                <w:sz w:val="17"/>
                <w:szCs w:val="17"/>
                <w:vertAlign w:val="superscript"/>
              </w:rPr>
              <w:t>22,23</w:t>
            </w:r>
            <w:r w:rsidR="00934E75" w:rsidRPr="007D2326">
              <w:rPr>
                <w:rFonts w:ascii="Helvetica" w:hAnsi="Helvetica" w:cstheme="minorHAnsi"/>
                <w:sz w:val="17"/>
                <w:szCs w:val="17"/>
              </w:rPr>
              <w:fldChar w:fldCharType="end"/>
            </w:r>
            <w:r w:rsidRPr="007D2326">
              <w:rPr>
                <w:rFonts w:ascii="Helvetica" w:hAnsi="Helvetica" w:cstheme="minorHAnsi"/>
                <w:sz w:val="17"/>
                <w:szCs w:val="17"/>
              </w:rPr>
              <w:t>. 2020 and 2021 values were estimated based on emissions</w:t>
            </w:r>
            <w:r w:rsidR="00865131" w:rsidRPr="007D2326">
              <w:rPr>
                <w:rFonts w:ascii="Helvetica" w:hAnsi="Helvetica" w:cstheme="minorHAnsi"/>
                <w:sz w:val="17"/>
                <w:szCs w:val="17"/>
              </w:rPr>
              <w:fldChar w:fldCharType="begin" w:fldLock="1"/>
            </w:r>
            <w:r w:rsidR="00934E75" w:rsidRPr="007D2326">
              <w:rPr>
                <w:rFonts w:ascii="Helvetica" w:hAnsi="Helvetica" w:cstheme="minorHAnsi"/>
                <w:sz w:val="17"/>
                <w:szCs w:val="17"/>
              </w:rPr>
              <w:instrText>ADDIN CSL_CITATION {"citationItems":[{"id":"ITEM-1","itemData":{"URL":"https://carbonmonitor.org/international-aviation","accessed":{"date-parts":[["2022","2","14"]]},"author":[{"dropping-particle":"","family":"Carbon Monitor Project","given":"","non-dropping-particle":"","parse-names":false,"suffix":""}],"id":"ITEM-1","issued":{"date-parts":[["2022"]]},"title":"CO2 emissions","type":"webpage"},"uris":["http://www.mendeley.com/documents/?uuid=0753a4e0-cadc-3366-9444-e66e6a90cf79"]}],"mendeley":{"formattedCitation":"&lt;sup&gt;21&lt;/sup&gt;","plainTextFormattedCitation":"21","previouslyFormattedCitation":"&lt;sup&gt;21&lt;/sup&gt;"},"properties":{"noteIndex":0},"schema":"https://github.com/citation-style-language/schema/raw/master/csl-citation.json"}</w:instrText>
            </w:r>
            <w:r w:rsidR="00865131" w:rsidRPr="007D2326">
              <w:rPr>
                <w:rFonts w:ascii="Helvetica" w:hAnsi="Helvetica" w:cstheme="minorHAnsi"/>
                <w:sz w:val="17"/>
                <w:szCs w:val="17"/>
              </w:rPr>
              <w:fldChar w:fldCharType="separate"/>
            </w:r>
            <w:r w:rsidR="00865131" w:rsidRPr="007D2326">
              <w:rPr>
                <w:rFonts w:ascii="Helvetica" w:hAnsi="Helvetica" w:cstheme="minorHAnsi"/>
                <w:noProof/>
                <w:sz w:val="17"/>
                <w:szCs w:val="17"/>
                <w:vertAlign w:val="superscript"/>
              </w:rPr>
              <w:t>21</w:t>
            </w:r>
            <w:r w:rsidR="00865131" w:rsidRPr="007D2326">
              <w:rPr>
                <w:rFonts w:ascii="Helvetica" w:hAnsi="Helvetica" w:cstheme="minorHAnsi"/>
                <w:sz w:val="17"/>
                <w:szCs w:val="17"/>
              </w:rPr>
              <w:fldChar w:fldCharType="end"/>
            </w:r>
            <w:r w:rsidRPr="007D2326">
              <w:rPr>
                <w:rFonts w:ascii="Helvetica" w:hAnsi="Helvetica" w:cstheme="minorHAnsi"/>
                <w:sz w:val="17"/>
                <w:szCs w:val="17"/>
              </w:rPr>
              <w:t>.</w:t>
            </w:r>
          </w:p>
          <w:p w14:paraId="62A100CA" w14:textId="03F7AE50" w:rsidR="00576730" w:rsidRPr="007D2326" w:rsidRDefault="00576730" w:rsidP="009F5DB7">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Freight demand from 1990-2020 from the World Bank Data</w:t>
            </w:r>
            <w:r w:rsidRPr="007D2326">
              <w:rPr>
                <w:rFonts w:ascii="Helvetica" w:hAnsi="Helvetica" w:cstheme="minorHAnsi"/>
                <w:sz w:val="17"/>
                <w:szCs w:val="17"/>
              </w:rPr>
              <w:fldChar w:fldCharType="begin" w:fldLock="1"/>
            </w:r>
            <w:r w:rsidR="00555187" w:rsidRPr="007D2326">
              <w:rPr>
                <w:rFonts w:ascii="Helvetica" w:hAnsi="Helvetica" w:cstheme="minorHAnsi"/>
                <w:sz w:val="17"/>
                <w:szCs w:val="17"/>
              </w:rPr>
              <w:instrText>ADDIN CSL_CITATION {"citationItems":[{"id":"ITEM-1","itemData":{"URL":"https://data.worldbank.org/indicator/IS.AIR.GOOD.MT.K1","accessed":{"date-parts":[["2022","2","14"]]},"author":[{"dropping-particle":"","family":"World Bank","given":"","non-dropping-particle":"","parse-names":false,"suffix":""}],"id":"ITEM-1","issued":{"date-parts":[["0"]]},"title":"Air transport, freight (million ton-km) | Data","type":"webpage"},"uris":["http://www.mendeley.com/documents/?uuid=ccb1557d-2841-37cb-9f73-d185bc06dc31"]}],"mendeley":{"formattedCitation":"&lt;sup&gt;24&lt;/sup&gt;","plainTextFormattedCitation":"24","previouslyFormattedCitation":"&lt;sup&gt;24&lt;/sup&gt;"},"properties":{"noteIndex":0},"schema":"https://github.com/citation-style-language/schema/raw/master/csl-citation.json"}</w:instrText>
            </w:r>
            <w:r w:rsidRPr="007D2326">
              <w:rPr>
                <w:rFonts w:ascii="Helvetica" w:hAnsi="Helvetica" w:cstheme="minorHAnsi"/>
                <w:sz w:val="17"/>
                <w:szCs w:val="17"/>
              </w:rPr>
              <w:fldChar w:fldCharType="separate"/>
            </w:r>
            <w:r w:rsidR="00934E75" w:rsidRPr="007D2326">
              <w:rPr>
                <w:rFonts w:ascii="Helvetica" w:hAnsi="Helvetica" w:cstheme="minorHAnsi"/>
                <w:noProof/>
                <w:sz w:val="17"/>
                <w:szCs w:val="17"/>
                <w:vertAlign w:val="superscript"/>
              </w:rPr>
              <w:t>24</w:t>
            </w:r>
            <w:r w:rsidRPr="007D2326">
              <w:rPr>
                <w:rFonts w:ascii="Helvetica" w:hAnsi="Helvetica" w:cstheme="minorHAnsi"/>
                <w:sz w:val="17"/>
                <w:szCs w:val="17"/>
              </w:rPr>
              <w:fldChar w:fldCharType="end"/>
            </w:r>
            <w:r w:rsidRPr="007D2326">
              <w:rPr>
                <w:rFonts w:ascii="Helvetica" w:hAnsi="Helvetica" w:cstheme="minorHAnsi"/>
                <w:sz w:val="17"/>
                <w:szCs w:val="17"/>
              </w:rPr>
              <w:t>. For 2021 we assume that cargo demand grew 7.9% in 2021 compared to 2019 based on IATA’s estimates</w:t>
            </w:r>
            <w:r w:rsidRPr="007D2326">
              <w:rPr>
                <w:rFonts w:ascii="Helvetica" w:hAnsi="Helvetica" w:cstheme="minorHAnsi"/>
                <w:sz w:val="17"/>
                <w:szCs w:val="17"/>
              </w:rPr>
              <w:fldChar w:fldCharType="begin" w:fldLock="1"/>
            </w:r>
            <w:r w:rsidR="00555187" w:rsidRPr="007D2326">
              <w:rPr>
                <w:rFonts w:ascii="Helvetica" w:hAnsi="Helvetica" w:cstheme="minorHAnsi"/>
                <w:sz w:val="17"/>
                <w:szCs w:val="17"/>
              </w:rPr>
              <w:instrText>ADDIN CSL_CITATION {"citationItems":[{"id":"ITEM-1","itemData":{"URL":"https://www.freightwaves.com/news/iata-forecasts-2021-air-cargo-revenues-to-hit-record-175b","accessed":{"date-parts":[["2022","2","14"]]},"author":[{"dropping-particle":"","family":"Freight Waves","given":"","non-dropping-particle":"","parse-names":false,"suffix":""}],"id":"ITEM-1","issued":{"date-parts":[["2021"]]},"title":"IATA forecasts 2021 air cargo revenues to hit record $175B - FreightWaves","type":"webpage"},"uris":["http://www.mendeley.com/documents/?uuid=e073517f-8dd0-32f3-9fbf-58cf9c0fd39d"]}],"mendeley":{"formattedCitation":"&lt;sup&gt;25&lt;/sup&gt;","plainTextFormattedCitation":"25","previouslyFormattedCitation":"&lt;sup&gt;25&lt;/sup&gt;"},"properties":{"noteIndex":0},"schema":"https://github.com/citation-style-language/schema/raw/master/csl-citation.json"}</w:instrText>
            </w:r>
            <w:r w:rsidRPr="007D2326">
              <w:rPr>
                <w:rFonts w:ascii="Helvetica" w:hAnsi="Helvetica" w:cstheme="minorHAnsi"/>
                <w:sz w:val="17"/>
                <w:szCs w:val="17"/>
              </w:rPr>
              <w:fldChar w:fldCharType="separate"/>
            </w:r>
            <w:r w:rsidR="00934E75" w:rsidRPr="007D2326">
              <w:rPr>
                <w:rFonts w:ascii="Helvetica" w:hAnsi="Helvetica" w:cstheme="minorHAnsi"/>
                <w:noProof/>
                <w:sz w:val="17"/>
                <w:szCs w:val="17"/>
                <w:vertAlign w:val="superscript"/>
              </w:rPr>
              <w:t>25</w:t>
            </w:r>
            <w:r w:rsidRPr="007D2326">
              <w:rPr>
                <w:rFonts w:ascii="Helvetica" w:hAnsi="Helvetica" w:cstheme="minorHAnsi"/>
                <w:sz w:val="17"/>
                <w:szCs w:val="17"/>
              </w:rPr>
              <w:fldChar w:fldCharType="end"/>
            </w:r>
            <w:r w:rsidRPr="007D2326">
              <w:rPr>
                <w:rFonts w:ascii="Helvetica" w:hAnsi="Helvetica" w:cstheme="minorHAnsi"/>
                <w:sz w:val="17"/>
                <w:szCs w:val="17"/>
              </w:rPr>
              <w:t>.</w:t>
            </w:r>
          </w:p>
          <w:p w14:paraId="531E28E9" w14:textId="23E0A4EC" w:rsidR="00576730" w:rsidRPr="007D2326" w:rsidRDefault="00576730" w:rsidP="009F5DB7">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Passenger demand was converted from “passenger-km” to “ton-km-equivalent” assuming 90 kg by passenger on average, consistent with IEA</w:t>
            </w:r>
            <w:r w:rsidRPr="007D2326">
              <w:rPr>
                <w:rFonts w:ascii="Helvetica" w:hAnsi="Helvetica" w:cstheme="minorHAnsi"/>
                <w:sz w:val="17"/>
                <w:szCs w:val="17"/>
              </w:rPr>
              <w:fldChar w:fldCharType="begin" w:fldLock="1"/>
            </w:r>
            <w:r w:rsidR="00555187" w:rsidRPr="007D2326">
              <w:rPr>
                <w:rFonts w:ascii="Helvetica" w:hAnsi="Helvetica" w:cstheme="minorHAnsi"/>
                <w:sz w:val="17"/>
                <w:szCs w:val="17"/>
              </w:rPr>
              <w:instrText>ADDIN CSL_CITATION {"citationItems":[{"id":"ITEM-1","itemData":{"URL":"https://www.iea.org/data-and-statistics/charts/energy-intensity-of-passenger-aviation-in-the-net-zero-scenario-2000-2030","accessed":{"date-parts":[["2022","2","28"]]},"author":[{"dropping-particle":"","family":"IEA","given":"","non-dropping-particle":"","parse-names":false,"suffix":""}],"id":"ITEM-1","issued":{"date-parts":[["2021","10","20"]]},"title":"Energy intensity of passenger aviation in the Net Zero Scenario, 2000-2030 – Charts – Data &amp; Statistics - IEA","type":"webpage"},"uris":["http://www.mendeley.com/documents/?uuid=dbc802f4-6c97-3577-a36e-194b1bbb349d"]}],"mendeley":{"formattedCitation":"&lt;sup&gt;26&lt;/sup&gt;","plainTextFormattedCitation":"26","previouslyFormattedCitation":"&lt;sup&gt;26&lt;/sup&gt;"},"properties":{"noteIndex":0},"schema":"https://github.com/citation-style-language/schema/raw/master/csl-citation.json"}</w:instrText>
            </w:r>
            <w:r w:rsidRPr="007D2326">
              <w:rPr>
                <w:rFonts w:ascii="Helvetica" w:hAnsi="Helvetica" w:cstheme="minorHAnsi"/>
                <w:sz w:val="17"/>
                <w:szCs w:val="17"/>
              </w:rPr>
              <w:fldChar w:fldCharType="separate"/>
            </w:r>
            <w:r w:rsidR="00934E75" w:rsidRPr="007D2326">
              <w:rPr>
                <w:rFonts w:ascii="Helvetica" w:hAnsi="Helvetica" w:cstheme="minorHAnsi"/>
                <w:noProof/>
                <w:sz w:val="17"/>
                <w:szCs w:val="17"/>
                <w:vertAlign w:val="superscript"/>
              </w:rPr>
              <w:t>26</w:t>
            </w:r>
            <w:r w:rsidRPr="007D2326">
              <w:rPr>
                <w:rFonts w:ascii="Helvetica" w:hAnsi="Helvetica" w:cstheme="minorHAnsi"/>
                <w:sz w:val="17"/>
                <w:szCs w:val="17"/>
              </w:rPr>
              <w:fldChar w:fldCharType="end"/>
            </w:r>
            <w:r w:rsidRPr="007D2326">
              <w:rPr>
                <w:rFonts w:ascii="Helvetica" w:hAnsi="Helvetica" w:cstheme="minorHAnsi"/>
                <w:sz w:val="17"/>
                <w:szCs w:val="17"/>
              </w:rPr>
              <w:t>.</w:t>
            </w:r>
          </w:p>
        </w:tc>
        <w:tc>
          <w:tcPr>
            <w:tcW w:w="3432" w:type="dxa"/>
          </w:tcPr>
          <w:p w14:paraId="47145E9E" w14:textId="13B06746" w:rsidR="00576730" w:rsidRPr="007D2326" w:rsidRDefault="00576730" w:rsidP="009F5DB7">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Energy intensity was calculated for 1990-2019 based on total aviation demand (passenger and freight)</w:t>
            </w:r>
            <w:r w:rsidR="00555187" w:rsidRPr="007D2326">
              <w:rPr>
                <w:rFonts w:ascii="Helvetica" w:hAnsi="Helvetica" w:cstheme="minorHAnsi"/>
                <w:sz w:val="17"/>
                <w:szCs w:val="17"/>
              </w:rPr>
              <w:fldChar w:fldCharType="begin" w:fldLock="1"/>
            </w:r>
            <w:r w:rsidR="00BB1C38" w:rsidRPr="007D2326">
              <w:rPr>
                <w:rFonts w:ascii="Helvetica" w:hAnsi="Helvetica" w:cstheme="minorHAnsi"/>
                <w:sz w:val="17"/>
                <w:szCs w:val="17"/>
              </w:rPr>
              <w:instrText>ADDIN CSL_CITATION {"citationItems":[{"id":"ITEM-1","itemData":{"URL":"https://www.icao.int/sustainability/documents/AirTransport-figures.pdf","abstract":"The air transport industry is not only • a vital engine of global socioeconomic growth • but is also of vital importance as a catalyst for economic development,-creating direct and indirect employment,-supporting tourism and local businesses, and-stimulating foreign investment and international trade. 2","accessed":{"date-parts":[["2022","6","29"]]},"author":[{"dropping-particle":"","family":"ICAO","given":"","non-dropping-particle":"","parse-names":false,"suffix":""}],"id":"ITEM-1","issued":{"date-parts":[["2014"]]},"title":"The air transport industry","type":"webpage"},"uris":["http://www.mendeley.com/documents/?uuid=10ea4922-e596-3c38-9342-20c3e71c327c"]},{"id":"ITEM-2","itemData":{"URL":"https://www.icao.int/annual-report-2019/Pages/the-world-of-air-transport-in-2019.aspx","accessed":{"date-parts":[["2022","6","29"]]},"author":[{"dropping-particle":"","family":"ICAO","given":"","non-dropping-particle":"","parse-names":false,"suffix":""}],"id":"ITEM-2","issued":{"date-parts":[["2020"]]},"title":"The World of Air Transport in 2019","type":"webpage"},"uris":["http://www.mendeley.com/documents/?uuid=365c3a70-35ee-327b-8807-08ccec159105"]},{"id":"ITEM-3","itemData":{"URL":"https://data.worldbank.org/indicator/IS.AIR.GOOD.MT.K1","accessed":{"date-parts":[["2022","2","14"]]},"author":[{"dropping-particle":"","family":"World Bank","given":"","non-dropping-particle":"","parse-names":false,"suffix":""}],"id":"ITEM-3","issued":{"date-parts":[["0"]]},"title":"Air transport, freight (million ton-km) | Data","type":"webpage"},"uris":["http://www.mendeley.com/documents/?uuid=ccb1557d-2841-37cb-9f73-d185bc06dc31"]}],"mendeley":{"formattedCitation":"&lt;sup&gt;22–24&lt;/sup&gt;","plainTextFormattedCitation":"22–24","previouslyFormattedCitation":"&lt;sup&gt;22–24&lt;/sup&gt;"},"properties":{"noteIndex":0},"schema":"https://github.com/citation-style-language/schema/raw/master/csl-citation.json"}</w:instrText>
            </w:r>
            <w:r w:rsidR="00555187" w:rsidRPr="007D2326">
              <w:rPr>
                <w:rFonts w:ascii="Helvetica" w:hAnsi="Helvetica" w:cstheme="minorHAnsi"/>
                <w:sz w:val="17"/>
                <w:szCs w:val="17"/>
              </w:rPr>
              <w:fldChar w:fldCharType="separate"/>
            </w:r>
            <w:r w:rsidR="00555187" w:rsidRPr="007D2326">
              <w:rPr>
                <w:rFonts w:ascii="Helvetica" w:hAnsi="Helvetica" w:cstheme="minorHAnsi"/>
                <w:noProof/>
                <w:sz w:val="17"/>
                <w:szCs w:val="17"/>
                <w:vertAlign w:val="superscript"/>
              </w:rPr>
              <w:t>22–24</w:t>
            </w:r>
            <w:r w:rsidR="00555187" w:rsidRPr="007D2326">
              <w:rPr>
                <w:rFonts w:ascii="Helvetica" w:hAnsi="Helvetica" w:cstheme="minorHAnsi"/>
                <w:sz w:val="17"/>
                <w:szCs w:val="17"/>
              </w:rPr>
              <w:fldChar w:fldCharType="end"/>
            </w:r>
            <w:r w:rsidRPr="007D2326">
              <w:rPr>
                <w:rFonts w:ascii="Helvetica" w:hAnsi="Helvetica" w:cstheme="minorHAnsi"/>
                <w:sz w:val="17"/>
                <w:szCs w:val="17"/>
              </w:rPr>
              <w:t xml:space="preserve"> and total aviation fuel consumption from IEA’s World Energy Statistics and Balances</w:t>
            </w:r>
            <w:r w:rsidRPr="007D2326">
              <w:rPr>
                <w:rFonts w:ascii="Helvetica" w:hAnsi="Helvetica" w:cstheme="minorHAnsi"/>
                <w:sz w:val="17"/>
                <w:szCs w:val="17"/>
              </w:rPr>
              <w:fldChar w:fldCharType="begin" w:fldLock="1"/>
            </w:r>
            <w:r w:rsidR="00555187" w:rsidRPr="007D2326">
              <w:rPr>
                <w:rFonts w:ascii="Helvetica" w:hAnsi="Helvetica" w:cstheme="minorHAnsi"/>
                <w:sz w:val="17"/>
                <w:szCs w:val="17"/>
              </w:rPr>
              <w:instrText>ADDIN CSL_CITATION {"citationItems":[{"id":"ITEM-1","itemData":{"DOI":"https://doi.org/10.1787/data-00511-en","author":[{"dropping-particle":"","family":"IEA","given":"","non-dropping-particle":"","parse-names":false,"suffix":""}],"container-title":"IEA World Energy Statistics and Balances (database)","id":"ITEM-1","issued":{"date-parts":[["2022"]]},"title":"Oil demand by product for non-OECD countries","type":"webpage"},"uris":["http://www.mendeley.com/documents/?uuid=b856b370-89e9-4e95-beba-630f81669efa"]}],"mendeley":{"formattedCitation":"&lt;sup&gt;27&lt;/sup&gt;","plainTextFormattedCitation":"27","previouslyFormattedCitation":"&lt;sup&gt;27&lt;/sup&gt;"},"properties":{"noteIndex":0},"schema":"https://github.com/citation-style-language/schema/raw/master/csl-citation.json"}</w:instrText>
            </w:r>
            <w:r w:rsidRPr="007D2326">
              <w:rPr>
                <w:rFonts w:ascii="Helvetica" w:hAnsi="Helvetica" w:cstheme="minorHAnsi"/>
                <w:sz w:val="17"/>
                <w:szCs w:val="17"/>
              </w:rPr>
              <w:fldChar w:fldCharType="separate"/>
            </w:r>
            <w:r w:rsidR="00934E75" w:rsidRPr="007D2326">
              <w:rPr>
                <w:rFonts w:ascii="Helvetica" w:hAnsi="Helvetica" w:cstheme="minorHAnsi"/>
                <w:noProof/>
                <w:sz w:val="17"/>
                <w:szCs w:val="17"/>
                <w:vertAlign w:val="superscript"/>
              </w:rPr>
              <w:t>27</w:t>
            </w:r>
            <w:r w:rsidRPr="007D2326">
              <w:rPr>
                <w:rFonts w:ascii="Helvetica" w:hAnsi="Helvetica" w:cstheme="minorHAnsi"/>
                <w:sz w:val="17"/>
                <w:szCs w:val="17"/>
              </w:rPr>
              <w:fldChar w:fldCharType="end"/>
            </w:r>
            <w:r w:rsidRPr="007D2326">
              <w:rPr>
                <w:rFonts w:ascii="Helvetica" w:hAnsi="Helvetica" w:cstheme="minorHAnsi"/>
                <w:sz w:val="17"/>
                <w:szCs w:val="17"/>
              </w:rPr>
              <w:t>.</w:t>
            </w:r>
          </w:p>
          <w:p w14:paraId="07A70657" w14:textId="41B34CA8" w:rsidR="00576730" w:rsidRPr="007D2326" w:rsidRDefault="00576730" w:rsidP="009F5DB7">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For 2020-2021 we assume that the yearly average 3% energy intensity reduction from 1990-2019 is met.</w:t>
            </w:r>
          </w:p>
        </w:tc>
        <w:tc>
          <w:tcPr>
            <w:tcW w:w="3432" w:type="dxa"/>
          </w:tcPr>
          <w:p w14:paraId="2DAAFC64" w14:textId="270D544D" w:rsidR="00576730" w:rsidRPr="007D2326" w:rsidRDefault="00576730" w:rsidP="009F5DB7">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We consider tank-to-wake emissions only, which excludes fuel production and includes only carbon combustion emissions for all fuels with values from</w:t>
            </w:r>
            <w:r w:rsidRPr="007D2326">
              <w:rPr>
                <w:rFonts w:ascii="Helvetica" w:hAnsi="Helvetica" w:cstheme="minorHAnsi"/>
                <w:sz w:val="17"/>
                <w:szCs w:val="17"/>
              </w:rPr>
              <w:fldChar w:fldCharType="begin" w:fldLock="1"/>
            </w:r>
            <w:r w:rsidR="004654D7" w:rsidRPr="007D2326">
              <w:rPr>
                <w:rFonts w:ascii="Helvetica" w:hAnsi="Helvetica" w:cstheme="minorHAnsi"/>
                <w:sz w:val="17"/>
                <w:szCs w:val="17"/>
              </w:rPr>
              <w:instrText>ADDIN CSL_CITATION {"citationItems":[{"id":"ITEM-1","itemData":{"author":[{"dropping-particle":"","family":"Bosch","given":"Jonathan","non-dropping-particle":"","parse-names":false,"suffix":""},{"dropping-particle":"","family":"Jong","given":"Sierk","non-dropping-particle":"de","parse-names":false,"suffix":""},{"dropping-particle":"","family":"Hoefnagels","given":"Ric","non-dropping-particle":"","parse-names":false,"suffix":""},{"dropping-particle":"","family":"Slade","given":"Raphael","non-dropping-particle":"","parse-names":false,"suffix":""}],"id":"ITEM-1","issued":{"date-parts":[["2017"]]},"title":"Aviation biofuels: strategically important, technically achievable, tough to deliver","type":"report"},"uris":["http://www.mendeley.com/documents/?uuid=65bb7bb5-3ac2-3d79-a3e1-a1daf32a15f8"]}],"mendeley":{"formattedCitation":"&lt;sup&gt;14&lt;/sup&gt;","plainTextFormattedCitation":"14","previouslyFormattedCitation":"&lt;sup&gt;14&lt;/sup&gt;"},"properties":{"noteIndex":0},"schema":"https://github.com/citation-style-language/schema/raw/master/csl-citation.json"}</w:instrText>
            </w:r>
            <w:r w:rsidRPr="007D2326">
              <w:rPr>
                <w:rFonts w:ascii="Helvetica" w:hAnsi="Helvetica" w:cstheme="minorHAnsi"/>
                <w:sz w:val="17"/>
                <w:szCs w:val="17"/>
              </w:rPr>
              <w:fldChar w:fldCharType="separate"/>
            </w:r>
            <w:r w:rsidR="008D1A8E" w:rsidRPr="007D2326">
              <w:rPr>
                <w:rFonts w:ascii="Helvetica" w:hAnsi="Helvetica" w:cstheme="minorHAnsi"/>
                <w:noProof/>
                <w:sz w:val="17"/>
                <w:szCs w:val="17"/>
                <w:vertAlign w:val="superscript"/>
              </w:rPr>
              <w:t>14</w:t>
            </w:r>
            <w:r w:rsidRPr="007D2326">
              <w:rPr>
                <w:rFonts w:ascii="Helvetica" w:hAnsi="Helvetica" w:cstheme="minorHAnsi"/>
                <w:sz w:val="17"/>
                <w:szCs w:val="17"/>
              </w:rPr>
              <w:fldChar w:fldCharType="end"/>
            </w:r>
            <w:r w:rsidRPr="007D2326">
              <w:rPr>
                <w:rFonts w:ascii="Helvetica" w:hAnsi="Helvetica" w:cstheme="minorHAnsi"/>
                <w:sz w:val="17"/>
                <w:szCs w:val="17"/>
              </w:rPr>
              <w:t>, which are 73.5 gCO</w:t>
            </w:r>
            <w:r w:rsidRPr="007D2326">
              <w:rPr>
                <w:rFonts w:ascii="Helvetica" w:hAnsi="Helvetica" w:cstheme="minorHAnsi"/>
                <w:sz w:val="17"/>
                <w:szCs w:val="17"/>
                <w:vertAlign w:val="subscript"/>
              </w:rPr>
              <w:t>2e</w:t>
            </w:r>
            <w:r w:rsidRPr="007D2326">
              <w:rPr>
                <w:rFonts w:ascii="Helvetica" w:hAnsi="Helvetica" w:cstheme="minorHAnsi"/>
                <w:sz w:val="17"/>
                <w:szCs w:val="17"/>
              </w:rPr>
              <w:t>/MJ for fossil jet fuel, 0 gCO</w:t>
            </w:r>
            <w:r w:rsidRPr="007D2326">
              <w:rPr>
                <w:rFonts w:ascii="Helvetica" w:hAnsi="Helvetica" w:cstheme="minorHAnsi"/>
                <w:sz w:val="17"/>
                <w:szCs w:val="17"/>
                <w:vertAlign w:val="subscript"/>
              </w:rPr>
              <w:t>2e</w:t>
            </w:r>
            <w:r w:rsidRPr="007D2326">
              <w:rPr>
                <w:rFonts w:ascii="Helvetica" w:hAnsi="Helvetica" w:cstheme="minorHAnsi"/>
                <w:sz w:val="17"/>
                <w:szCs w:val="17"/>
              </w:rPr>
              <w:t>/MJ for biofuels, synthetic fuels and alternative technologies (EV-powered planes and green hydrogen).</w:t>
            </w:r>
          </w:p>
        </w:tc>
      </w:tr>
      <w:tr w:rsidR="001C4E68" w:rsidRPr="007D2326" w14:paraId="56B2CE25" w14:textId="77777777" w:rsidTr="00192579">
        <w:trPr>
          <w:cantSplit/>
          <w:trHeight w:val="20"/>
        </w:trPr>
        <w:tc>
          <w:tcPr>
            <w:tcW w:w="376" w:type="dxa"/>
            <w:vMerge w:val="restart"/>
            <w:textDirection w:val="btLr"/>
          </w:tcPr>
          <w:p w14:paraId="2FCA2E1B" w14:textId="77777777" w:rsidR="00576730" w:rsidRPr="007D2326" w:rsidRDefault="00576730" w:rsidP="00C138C5">
            <w:pPr>
              <w:jc w:val="center"/>
              <w:rPr>
                <w:rFonts w:ascii="Helvetica" w:hAnsi="Helvetica" w:cstheme="minorHAnsi"/>
                <w:b/>
                <w:bCs/>
                <w:sz w:val="17"/>
                <w:szCs w:val="17"/>
              </w:rPr>
            </w:pPr>
          </w:p>
        </w:tc>
        <w:tc>
          <w:tcPr>
            <w:tcW w:w="2139" w:type="dxa"/>
          </w:tcPr>
          <w:p w14:paraId="7A5799D9" w14:textId="77777777" w:rsidR="00576730" w:rsidRPr="007D2326" w:rsidRDefault="00576730" w:rsidP="00C138C5">
            <w:pPr>
              <w:jc w:val="center"/>
              <w:rPr>
                <w:rFonts w:ascii="Helvetica" w:hAnsi="Helvetica" w:cstheme="minorHAnsi"/>
                <w:sz w:val="17"/>
                <w:szCs w:val="17"/>
              </w:rPr>
            </w:pPr>
            <w:r w:rsidRPr="007D2326">
              <w:rPr>
                <w:rFonts w:ascii="Helvetica" w:hAnsi="Helvetica" w:cstheme="minorHAnsi"/>
                <w:b/>
                <w:bCs/>
                <w:sz w:val="17"/>
                <w:szCs w:val="17"/>
              </w:rPr>
              <w:t>Emissions (</w:t>
            </w:r>
            <w:r w:rsidRPr="007D2326">
              <w:rPr>
                <w:rFonts w:ascii="Helvetica" w:hAnsi="Helvetica" w:cstheme="minorHAnsi"/>
                <w:b/>
                <w:bCs/>
                <w:i/>
                <w:iCs/>
                <w:sz w:val="17"/>
                <w:szCs w:val="17"/>
              </w:rPr>
              <w:t>F</w:t>
            </w:r>
            <w:r w:rsidRPr="007D2326">
              <w:rPr>
                <w:rFonts w:ascii="Helvetica" w:hAnsi="Helvetica" w:cstheme="minorHAnsi"/>
                <w:b/>
                <w:bCs/>
                <w:sz w:val="17"/>
                <w:szCs w:val="17"/>
              </w:rPr>
              <w:t>)</w:t>
            </w:r>
          </w:p>
        </w:tc>
        <w:tc>
          <w:tcPr>
            <w:tcW w:w="3432" w:type="dxa"/>
          </w:tcPr>
          <w:p w14:paraId="0DB60415" w14:textId="77777777" w:rsidR="00576730" w:rsidRPr="007D2326" w:rsidRDefault="00576730" w:rsidP="00C138C5">
            <w:pPr>
              <w:jc w:val="center"/>
              <w:rPr>
                <w:rFonts w:ascii="Helvetica" w:hAnsi="Helvetica" w:cstheme="minorHAnsi"/>
                <w:sz w:val="17"/>
                <w:szCs w:val="17"/>
              </w:rPr>
            </w:pPr>
            <w:r w:rsidRPr="007D2326">
              <w:rPr>
                <w:rFonts w:ascii="Helvetica" w:hAnsi="Helvetica" w:cstheme="minorHAnsi"/>
                <w:b/>
                <w:bCs/>
                <w:sz w:val="17"/>
                <w:szCs w:val="17"/>
              </w:rPr>
              <w:t>Demand (</w:t>
            </w:r>
            <w:r w:rsidRPr="007D2326">
              <w:rPr>
                <w:rFonts w:ascii="Helvetica" w:hAnsi="Helvetica" w:cstheme="minorHAnsi"/>
                <w:b/>
                <w:bCs/>
                <w:i/>
                <w:iCs/>
                <w:sz w:val="17"/>
                <w:szCs w:val="17"/>
              </w:rPr>
              <w:t>D</w:t>
            </w:r>
            <w:r w:rsidRPr="007D2326">
              <w:rPr>
                <w:rFonts w:ascii="Helvetica" w:hAnsi="Helvetica" w:cstheme="minorHAnsi"/>
                <w:b/>
                <w:bCs/>
                <w:sz w:val="17"/>
                <w:szCs w:val="17"/>
              </w:rPr>
              <w:t>)</w:t>
            </w:r>
          </w:p>
        </w:tc>
        <w:tc>
          <w:tcPr>
            <w:tcW w:w="3432" w:type="dxa"/>
          </w:tcPr>
          <w:p w14:paraId="1AC762FC" w14:textId="77777777" w:rsidR="00576730" w:rsidRPr="007D2326" w:rsidRDefault="00576730" w:rsidP="00C138C5">
            <w:pPr>
              <w:jc w:val="center"/>
              <w:rPr>
                <w:rFonts w:ascii="Helvetica" w:hAnsi="Helvetica" w:cstheme="minorHAnsi"/>
                <w:sz w:val="17"/>
                <w:szCs w:val="17"/>
                <w:lang w:val="es-ES"/>
              </w:rPr>
            </w:pPr>
            <w:r w:rsidRPr="007D2326">
              <w:rPr>
                <w:rFonts w:ascii="Helvetica" w:hAnsi="Helvetica" w:cstheme="minorHAnsi"/>
                <w:b/>
                <w:bCs/>
                <w:sz w:val="17"/>
                <w:szCs w:val="17"/>
                <w:lang w:val="es-ES"/>
              </w:rPr>
              <w:t xml:space="preserve">Energy </w:t>
            </w:r>
            <w:proofErr w:type="spellStart"/>
            <w:r w:rsidRPr="007D2326">
              <w:rPr>
                <w:rFonts w:ascii="Helvetica" w:hAnsi="Helvetica" w:cstheme="minorHAnsi"/>
                <w:b/>
                <w:bCs/>
                <w:sz w:val="17"/>
                <w:szCs w:val="17"/>
                <w:lang w:val="es-ES"/>
              </w:rPr>
              <w:t>intensity</w:t>
            </w:r>
            <w:proofErr w:type="spellEnd"/>
            <w:r w:rsidRPr="007D2326">
              <w:rPr>
                <w:rFonts w:ascii="Helvetica" w:hAnsi="Helvetica" w:cstheme="minorHAnsi"/>
                <w:b/>
                <w:bCs/>
                <w:sz w:val="17"/>
                <w:szCs w:val="17"/>
                <w:lang w:val="es-ES"/>
              </w:rPr>
              <w:t xml:space="preserve"> (</w:t>
            </w:r>
            <w:r w:rsidRPr="007D2326">
              <w:rPr>
                <w:rFonts w:ascii="Helvetica" w:hAnsi="Helvetica" w:cstheme="minorHAnsi"/>
                <w:b/>
                <w:bCs/>
                <w:i/>
                <w:iCs/>
                <w:sz w:val="17"/>
                <w:szCs w:val="17"/>
                <w:lang w:val="es-ES"/>
              </w:rPr>
              <w:t>e = E/D</w:t>
            </w:r>
            <w:r w:rsidRPr="007D2326">
              <w:rPr>
                <w:rFonts w:ascii="Helvetica" w:hAnsi="Helvetica" w:cstheme="minorHAnsi"/>
                <w:b/>
                <w:bCs/>
                <w:sz w:val="17"/>
                <w:szCs w:val="17"/>
                <w:lang w:val="es-ES"/>
              </w:rPr>
              <w:t>)</w:t>
            </w:r>
          </w:p>
        </w:tc>
        <w:tc>
          <w:tcPr>
            <w:tcW w:w="3432" w:type="dxa"/>
          </w:tcPr>
          <w:p w14:paraId="6E2D30B7" w14:textId="77777777" w:rsidR="00576730" w:rsidRPr="007D2326" w:rsidRDefault="00576730" w:rsidP="00C138C5">
            <w:pPr>
              <w:jc w:val="center"/>
              <w:rPr>
                <w:rFonts w:ascii="Helvetica" w:hAnsi="Helvetica" w:cstheme="minorHAnsi"/>
                <w:sz w:val="17"/>
                <w:szCs w:val="17"/>
              </w:rPr>
            </w:pPr>
            <w:r w:rsidRPr="007D2326">
              <w:rPr>
                <w:rFonts w:ascii="Helvetica" w:hAnsi="Helvetica" w:cstheme="minorHAnsi"/>
                <w:b/>
                <w:bCs/>
                <w:sz w:val="17"/>
                <w:szCs w:val="17"/>
              </w:rPr>
              <w:t>Carbon intensity (</w:t>
            </w:r>
            <w:r w:rsidRPr="007D2326">
              <w:rPr>
                <w:rFonts w:ascii="Helvetica" w:hAnsi="Helvetica" w:cstheme="minorHAnsi"/>
                <w:b/>
                <w:bCs/>
                <w:i/>
                <w:iCs/>
                <w:sz w:val="17"/>
                <w:szCs w:val="17"/>
              </w:rPr>
              <w:t>f = F/E</w:t>
            </w:r>
            <w:r w:rsidRPr="007D2326">
              <w:rPr>
                <w:rFonts w:ascii="Helvetica" w:hAnsi="Helvetica" w:cstheme="minorHAnsi"/>
                <w:b/>
                <w:bCs/>
                <w:sz w:val="17"/>
                <w:szCs w:val="17"/>
              </w:rPr>
              <w:t>)</w:t>
            </w:r>
          </w:p>
        </w:tc>
      </w:tr>
      <w:tr w:rsidR="001C4E68" w:rsidRPr="007D2326" w14:paraId="0276D42C" w14:textId="77777777" w:rsidTr="004038DC">
        <w:trPr>
          <w:cantSplit/>
          <w:trHeight w:val="20"/>
        </w:trPr>
        <w:tc>
          <w:tcPr>
            <w:tcW w:w="376" w:type="dxa"/>
            <w:vMerge/>
            <w:textDirection w:val="btLr"/>
          </w:tcPr>
          <w:p w14:paraId="249B506A" w14:textId="77777777" w:rsidR="00576730" w:rsidRPr="007D2326" w:rsidRDefault="00576730" w:rsidP="00C138C5">
            <w:pPr>
              <w:jc w:val="center"/>
              <w:rPr>
                <w:rFonts w:ascii="Helvetica" w:hAnsi="Helvetica" w:cstheme="minorHAnsi"/>
                <w:b/>
                <w:bCs/>
                <w:sz w:val="17"/>
                <w:szCs w:val="17"/>
              </w:rPr>
            </w:pPr>
          </w:p>
        </w:tc>
        <w:tc>
          <w:tcPr>
            <w:tcW w:w="2139" w:type="dxa"/>
          </w:tcPr>
          <w:p w14:paraId="7568A65B" w14:textId="77777777" w:rsidR="00576730" w:rsidRPr="007D2326" w:rsidRDefault="00576730" w:rsidP="00C138C5">
            <w:pPr>
              <w:jc w:val="center"/>
              <w:rPr>
                <w:rFonts w:ascii="Helvetica" w:hAnsi="Helvetica" w:cstheme="minorHAnsi"/>
                <w:sz w:val="17"/>
                <w:szCs w:val="17"/>
              </w:rPr>
            </w:pPr>
            <w:r w:rsidRPr="007D2326">
              <w:rPr>
                <w:rFonts w:ascii="Helvetica" w:hAnsi="Helvetica" w:cstheme="minorHAnsi"/>
                <w:i/>
                <w:iCs/>
                <w:sz w:val="17"/>
                <w:szCs w:val="17"/>
              </w:rPr>
              <w:t>Mt CO</w:t>
            </w:r>
            <w:r w:rsidRPr="007D2326">
              <w:rPr>
                <w:rFonts w:ascii="Helvetica" w:hAnsi="Helvetica" w:cstheme="minorHAnsi"/>
                <w:i/>
                <w:iCs/>
                <w:sz w:val="17"/>
                <w:szCs w:val="17"/>
                <w:vertAlign w:val="subscript"/>
              </w:rPr>
              <w:t>2</w:t>
            </w:r>
          </w:p>
        </w:tc>
        <w:tc>
          <w:tcPr>
            <w:tcW w:w="3432" w:type="dxa"/>
            <w:tcBorders>
              <w:bottom w:val="single" w:sz="4" w:space="0" w:color="auto"/>
            </w:tcBorders>
          </w:tcPr>
          <w:p w14:paraId="4AC2E592" w14:textId="77777777" w:rsidR="00576730" w:rsidRPr="007D2326" w:rsidRDefault="00576730" w:rsidP="00C138C5">
            <w:pPr>
              <w:jc w:val="center"/>
              <w:rPr>
                <w:rFonts w:ascii="Helvetica" w:hAnsi="Helvetica" w:cstheme="minorHAnsi"/>
                <w:sz w:val="17"/>
                <w:szCs w:val="17"/>
              </w:rPr>
            </w:pPr>
            <w:r w:rsidRPr="007D2326">
              <w:rPr>
                <w:rFonts w:ascii="Helvetica" w:hAnsi="Helvetica" w:cstheme="minorHAnsi"/>
                <w:i/>
                <w:iCs/>
                <w:sz w:val="17"/>
                <w:szCs w:val="17"/>
              </w:rPr>
              <w:t>Ton-km equivalent</w:t>
            </w:r>
          </w:p>
        </w:tc>
        <w:tc>
          <w:tcPr>
            <w:tcW w:w="3432" w:type="dxa"/>
            <w:tcBorders>
              <w:bottom w:val="single" w:sz="4" w:space="0" w:color="auto"/>
            </w:tcBorders>
          </w:tcPr>
          <w:p w14:paraId="31EDFD43" w14:textId="77777777" w:rsidR="00576730" w:rsidRPr="007D2326" w:rsidRDefault="00576730" w:rsidP="00C138C5">
            <w:pPr>
              <w:jc w:val="center"/>
              <w:rPr>
                <w:rFonts w:ascii="Helvetica" w:hAnsi="Helvetica" w:cstheme="minorHAnsi"/>
                <w:sz w:val="17"/>
                <w:szCs w:val="17"/>
              </w:rPr>
            </w:pPr>
            <w:r w:rsidRPr="007D2326">
              <w:rPr>
                <w:rFonts w:ascii="Helvetica" w:hAnsi="Helvetica" w:cstheme="minorHAnsi"/>
                <w:i/>
                <w:iCs/>
                <w:sz w:val="17"/>
                <w:szCs w:val="17"/>
              </w:rPr>
              <w:t>MJ/ton-km equivalent</w:t>
            </w:r>
          </w:p>
        </w:tc>
        <w:tc>
          <w:tcPr>
            <w:tcW w:w="3432" w:type="dxa"/>
            <w:tcBorders>
              <w:bottom w:val="single" w:sz="4" w:space="0" w:color="auto"/>
            </w:tcBorders>
          </w:tcPr>
          <w:p w14:paraId="1219CA69" w14:textId="77777777" w:rsidR="00576730" w:rsidRPr="007D2326" w:rsidRDefault="00576730" w:rsidP="00C138C5">
            <w:pPr>
              <w:jc w:val="center"/>
              <w:rPr>
                <w:rFonts w:ascii="Helvetica" w:hAnsi="Helvetica" w:cstheme="minorHAnsi"/>
                <w:sz w:val="17"/>
                <w:szCs w:val="17"/>
              </w:rPr>
            </w:pPr>
            <w:r w:rsidRPr="007D2326">
              <w:rPr>
                <w:rFonts w:ascii="Helvetica" w:hAnsi="Helvetica" w:cstheme="minorHAnsi"/>
                <w:i/>
                <w:iCs/>
                <w:sz w:val="17"/>
                <w:szCs w:val="17"/>
              </w:rPr>
              <w:t>Mt CO</w:t>
            </w:r>
            <w:r w:rsidRPr="007D2326">
              <w:rPr>
                <w:rFonts w:ascii="Helvetica" w:hAnsi="Helvetica" w:cstheme="minorHAnsi"/>
                <w:i/>
                <w:iCs/>
                <w:sz w:val="17"/>
                <w:szCs w:val="17"/>
                <w:vertAlign w:val="subscript"/>
              </w:rPr>
              <w:t>2</w:t>
            </w:r>
            <w:r w:rsidRPr="007D2326">
              <w:rPr>
                <w:rFonts w:ascii="Helvetica" w:hAnsi="Helvetica" w:cstheme="minorHAnsi"/>
                <w:i/>
                <w:iCs/>
                <w:sz w:val="17"/>
                <w:szCs w:val="17"/>
              </w:rPr>
              <w:t>/ MJ</w:t>
            </w:r>
          </w:p>
        </w:tc>
      </w:tr>
      <w:tr w:rsidR="00B304C5" w:rsidRPr="007D2326" w14:paraId="632E49F9" w14:textId="77777777" w:rsidTr="004038DC">
        <w:trPr>
          <w:cantSplit/>
          <w:trHeight w:val="20"/>
        </w:trPr>
        <w:tc>
          <w:tcPr>
            <w:tcW w:w="376" w:type="dxa"/>
            <w:vMerge w:val="restart"/>
            <w:textDirection w:val="btLr"/>
          </w:tcPr>
          <w:p w14:paraId="23B64E0A" w14:textId="77777777" w:rsidR="00B304C5" w:rsidRPr="007D2326" w:rsidRDefault="00B304C5" w:rsidP="00C138C5">
            <w:pPr>
              <w:jc w:val="center"/>
              <w:rPr>
                <w:rFonts w:ascii="Helvetica" w:hAnsi="Helvetica" w:cstheme="minorHAnsi"/>
                <w:b/>
                <w:bCs/>
                <w:sz w:val="17"/>
                <w:szCs w:val="17"/>
              </w:rPr>
            </w:pPr>
            <w:r w:rsidRPr="007D2326">
              <w:rPr>
                <w:rFonts w:ascii="Helvetica" w:hAnsi="Helvetica" w:cstheme="minorHAnsi"/>
                <w:b/>
                <w:bCs/>
                <w:sz w:val="17"/>
                <w:szCs w:val="17"/>
              </w:rPr>
              <w:t>Projections</w:t>
            </w:r>
          </w:p>
        </w:tc>
        <w:tc>
          <w:tcPr>
            <w:tcW w:w="2139" w:type="dxa"/>
            <w:vMerge w:val="restart"/>
          </w:tcPr>
          <w:p w14:paraId="23DC9600" w14:textId="77777777" w:rsidR="00B304C5" w:rsidRPr="007D2326" w:rsidRDefault="00B304C5" w:rsidP="009F5DB7">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Future emissions projected based on different parameters from the Kaya identity.</w:t>
            </w:r>
          </w:p>
        </w:tc>
        <w:tc>
          <w:tcPr>
            <w:tcW w:w="3432" w:type="dxa"/>
            <w:tcBorders>
              <w:bottom w:val="nil"/>
            </w:tcBorders>
          </w:tcPr>
          <w:p w14:paraId="6BE282D2" w14:textId="22C0A86C" w:rsidR="00B304C5" w:rsidRPr="007D2326" w:rsidRDefault="00B304C5" w:rsidP="00B304C5">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 xml:space="preserve">Future demand scenarios follow three pathways: </w:t>
            </w:r>
          </w:p>
        </w:tc>
        <w:tc>
          <w:tcPr>
            <w:tcW w:w="3432" w:type="dxa"/>
            <w:tcBorders>
              <w:bottom w:val="nil"/>
            </w:tcBorders>
          </w:tcPr>
          <w:p w14:paraId="0DAF716E" w14:textId="5409F2E0" w:rsidR="00B304C5" w:rsidRPr="007D2326" w:rsidRDefault="00B304C5" w:rsidP="00B304C5">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 xml:space="preserve">Future energy intensity scenarios follow three pathways: </w:t>
            </w:r>
          </w:p>
        </w:tc>
        <w:tc>
          <w:tcPr>
            <w:tcW w:w="3432" w:type="dxa"/>
            <w:tcBorders>
              <w:bottom w:val="nil"/>
            </w:tcBorders>
          </w:tcPr>
          <w:p w14:paraId="08C75C58" w14:textId="0426644E" w:rsidR="00B304C5" w:rsidRPr="007D2326" w:rsidRDefault="00B304C5" w:rsidP="00B304C5">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 xml:space="preserve">Future carbon intensity scenarios follow three trajectories: </w:t>
            </w:r>
          </w:p>
        </w:tc>
      </w:tr>
      <w:tr w:rsidR="00B304C5" w:rsidRPr="007D2326" w14:paraId="50BA8931" w14:textId="77777777" w:rsidTr="004038DC">
        <w:trPr>
          <w:cantSplit/>
          <w:trHeight w:val="20"/>
        </w:trPr>
        <w:tc>
          <w:tcPr>
            <w:tcW w:w="376" w:type="dxa"/>
            <w:vMerge/>
            <w:textDirection w:val="btLr"/>
          </w:tcPr>
          <w:p w14:paraId="4F625A8A" w14:textId="77777777" w:rsidR="00B304C5" w:rsidRPr="007D2326" w:rsidRDefault="00B304C5" w:rsidP="00C138C5">
            <w:pPr>
              <w:jc w:val="center"/>
              <w:rPr>
                <w:rFonts w:ascii="Helvetica" w:hAnsi="Helvetica" w:cstheme="minorHAnsi"/>
                <w:b/>
                <w:bCs/>
                <w:sz w:val="17"/>
                <w:szCs w:val="17"/>
              </w:rPr>
            </w:pPr>
          </w:p>
        </w:tc>
        <w:tc>
          <w:tcPr>
            <w:tcW w:w="2139" w:type="dxa"/>
            <w:vMerge/>
          </w:tcPr>
          <w:p w14:paraId="0B3840B8" w14:textId="77777777" w:rsidR="00B304C5" w:rsidRPr="007D2326" w:rsidRDefault="00B304C5" w:rsidP="009F5DB7">
            <w:pPr>
              <w:spacing w:before="120" w:afterLines="50" w:after="120"/>
              <w:ind w:left="173" w:hanging="173"/>
              <w:rPr>
                <w:rFonts w:ascii="Helvetica" w:hAnsi="Helvetica" w:cstheme="minorHAnsi"/>
                <w:sz w:val="17"/>
                <w:szCs w:val="17"/>
              </w:rPr>
            </w:pPr>
          </w:p>
        </w:tc>
        <w:tc>
          <w:tcPr>
            <w:tcW w:w="3432" w:type="dxa"/>
            <w:tcBorders>
              <w:top w:val="nil"/>
              <w:bottom w:val="nil"/>
            </w:tcBorders>
          </w:tcPr>
          <w:p w14:paraId="08178B7E" w14:textId="21AFA70A" w:rsidR="00B304C5" w:rsidRPr="007D2326" w:rsidRDefault="00B304C5" w:rsidP="0061056D">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 xml:space="preserve">1. </w:t>
            </w:r>
            <w:r w:rsidRPr="007D2326">
              <w:rPr>
                <w:rFonts w:ascii="Helvetica" w:hAnsi="Helvetica" w:cstheme="minorHAnsi"/>
                <w:b/>
                <w:bCs/>
                <w:i/>
                <w:iCs/>
                <w:color w:val="FF0000"/>
                <w:sz w:val="17"/>
                <w:szCs w:val="17"/>
              </w:rPr>
              <w:t>Business-as-usual</w:t>
            </w:r>
            <w:r w:rsidRPr="007D2326">
              <w:rPr>
                <w:rFonts w:ascii="Helvetica" w:hAnsi="Helvetica" w:cstheme="minorHAnsi"/>
                <w:b/>
                <w:bCs/>
                <w:color w:val="FF0000"/>
                <w:sz w:val="17"/>
                <w:szCs w:val="17"/>
              </w:rPr>
              <w:t xml:space="preserve"> </w:t>
            </w:r>
            <w:r w:rsidRPr="007D2326">
              <w:rPr>
                <w:rFonts w:ascii="Helvetica" w:hAnsi="Helvetica" w:cstheme="minorHAnsi"/>
                <w:sz w:val="17"/>
                <w:szCs w:val="17"/>
              </w:rPr>
              <w:t>scenario following historical GDP growth of 4% per year, which represents the 1980-2019 average</w:t>
            </w:r>
            <w:r w:rsidRPr="007D2326">
              <w:rPr>
                <w:rFonts w:ascii="Helvetica" w:hAnsi="Helvetica" w:cstheme="minorHAnsi"/>
                <w:sz w:val="17"/>
                <w:szCs w:val="17"/>
              </w:rPr>
              <w:fldChar w:fldCharType="begin" w:fldLock="1"/>
            </w:r>
            <w:r w:rsidRPr="007D2326">
              <w:rPr>
                <w:rFonts w:ascii="Helvetica" w:hAnsi="Helvetica" w:cstheme="minorHAnsi"/>
                <w:sz w:val="17"/>
                <w:szCs w:val="17"/>
              </w:rPr>
              <w:instrText>ADDIN CSL_CITATION {"citationItems":[{"id":"ITEM-1","itemData":{"URL":"https://www.imf.org/en/Publications/WEO/weo-database/2021/October","abstract":"Protection of hosts against tuberculosis depends on expression of cellular immunity. To express cellular immunity, interleukin 12 (IL-12) has been shown to play an important role. Although Mycobacterium tuberculosis is known to induce IL-12 from macrophages (M phi s), the mechanism for the induction is still unclear. To understand the mechanisms of IL-12 induction from M phi s by M. tuberculosis, the IL - 12-inducing ability of substances derived from M. tuberculosis was investigated in vitro. Production of IL-12 in culture medium of M phi s was measured by ELISA system using specific antibodies. Live M. tuberculosis H37Rv induced slightly higher IL-12 production than live M. tuberculosis H37Ra upon stimulation of human or mouse alveolar macrophages (hAM phi s or mAM phi s). Heat-killed M. tuberculosis failed to induce IL-12 production of alveolar macrophages (AM phi). The responses of hAM phi s and mAM phi s to M. tuberculosis were remarkably different. mAM phi s produced five times larger amount of IL-12, compared with that from hAM phi s. Human peripheral blood mononuclear cells (PBMC) obtained by the density gradient centrifugation were also used for induction of IL-12 production. Although production levels of IL-12 from PBMC stimulated with M. tuberculosis were below the detectable level, addition of interferon-gamma (IFN-gamma) or neutralizing antibody against IL-10 augmented the production of IL-12 from PBMC, suggesting that IFN-gamma and IL-10 regulate the production of IL-12 from M phi positively and negatively, respectively. To characterize the physicochemical properties of IL-12-inducing molecules, M. tuberculosis H37Rv was disrupted by pressing with 1,000 bar and centrifuged and separated into cytosol and cell wall fraction. The culture filtrate was also examined on IL-12-inducing activity. Among the three subjects examined, cytosol was found to induce the highest production of IL-12 from mAM phi s 1 day after the stimulation. Addition of IFN-gamma to the cytosol fraction markedly increased the production of IL-12 from mAM phi s. The molecular weight of IL-12- inducing substance was shown to be more than 30kDa by fractionating with molecular filters. Treatment of 30kDa-fraction with IL-12-inducing activity by proteinase K completely abolished the activity. Furthermore, approximately 90% of IL-12-inducing activity of 30kDa- fraction was lost by proteinase K treatment even in the presence of IFN- gamma. These results indicate that the major co…","accessed":{"date-parts":[["2022","2","14"]]},"author":[{"dropping-particle":"","family":"IMF","given":"","non-dropping-particle":"","parse-names":false,"suffix":""}],"id":"ITEM-1","issued":{"date-parts":[["2021"]]},"title":"World Economic Outlook Database","type":"webpage"},"uris":["http://www.mendeley.com/documents/?uuid=1eae8c15-c3bf-35f9-bd43-e0f7f9496f75"]}],"mendeley":{"formattedCitation":"&lt;sup&gt;28&lt;/sup&gt;","plainTextFormattedCitation":"28","previouslyFormattedCitation":"&lt;sup&gt;28&lt;/sup&gt;"},"properties":{"noteIndex":0},"schema":"https://github.com/citation-style-language/schema/raw/master/csl-citation.json"}</w:instrText>
            </w:r>
            <w:r w:rsidRPr="007D2326">
              <w:rPr>
                <w:rFonts w:ascii="Helvetica" w:hAnsi="Helvetica" w:cstheme="minorHAnsi"/>
                <w:sz w:val="17"/>
                <w:szCs w:val="17"/>
              </w:rPr>
              <w:fldChar w:fldCharType="separate"/>
            </w:r>
            <w:r w:rsidRPr="007D2326">
              <w:rPr>
                <w:rFonts w:ascii="Helvetica" w:hAnsi="Helvetica" w:cstheme="minorHAnsi"/>
                <w:noProof/>
                <w:sz w:val="17"/>
                <w:szCs w:val="17"/>
                <w:vertAlign w:val="superscript"/>
              </w:rPr>
              <w:t>28</w:t>
            </w:r>
            <w:r w:rsidRPr="007D2326">
              <w:rPr>
                <w:rFonts w:ascii="Helvetica" w:hAnsi="Helvetica" w:cstheme="minorHAnsi"/>
                <w:sz w:val="17"/>
                <w:szCs w:val="17"/>
              </w:rPr>
              <w:fldChar w:fldCharType="end"/>
            </w:r>
            <w:r w:rsidRPr="007D2326">
              <w:rPr>
                <w:rFonts w:ascii="Helvetica" w:hAnsi="Helvetica" w:cstheme="minorHAnsi"/>
                <w:sz w:val="17"/>
                <w:szCs w:val="17"/>
              </w:rPr>
              <w:t xml:space="preserve"> with industry-based</w:t>
            </w:r>
            <w:r w:rsidR="004038DC" w:rsidRPr="007D2326">
              <w:rPr>
                <w:rFonts w:ascii="Helvetica" w:hAnsi="Helvetica" w:cstheme="minorHAnsi"/>
                <w:sz w:val="17"/>
                <w:szCs w:val="17"/>
              </w:rPr>
              <w:fldChar w:fldCharType="begin" w:fldLock="1"/>
            </w:r>
            <w:r w:rsidR="00BB1C38" w:rsidRPr="007D2326">
              <w:rPr>
                <w:rFonts w:ascii="Helvetica" w:hAnsi="Helvetica" w:cstheme="minorHAnsi"/>
                <w:sz w:val="17"/>
                <w:szCs w:val="17"/>
              </w:rPr>
              <w:instrText>ADDIN CSL_CITATION {"citationItems":[{"id":"ITEM-1","itemData":{"URL":"https://www.icao.int/sustainability/Documents/Post-COVID-19 forecasts scenarios tables.pdf","accessed":{"date-parts":[["2021","11","12"]]},"author":[{"dropping-particle":"","family":"ICAO","given":"","non-dropping-particle":"","parse-names":false,"suffix":""}],"id":"ITEM-1","issued":{"date-parts":[["2021"]]},"title":"Appendix A: Traffic Forecasts","type":"webpage"},"uris":["http://www.mendeley.com/documents/?uuid=c399e924-9e73-32ba-a139-fa80ba169d00"]}],"mendeley":{"formattedCitation":"&lt;sup&gt;29&lt;/sup&gt;","plainTextFormattedCitation":"29","previouslyFormattedCitation":"&lt;sup&gt;29&lt;/sup&gt;"},"properties":{"noteIndex":0},"schema":"https://github.com/citation-style-language/schema/raw/master/csl-citation.json"}</w:instrText>
            </w:r>
            <w:r w:rsidR="004038DC" w:rsidRPr="007D2326">
              <w:rPr>
                <w:rFonts w:ascii="Helvetica" w:hAnsi="Helvetica" w:cstheme="minorHAnsi"/>
                <w:sz w:val="17"/>
                <w:szCs w:val="17"/>
              </w:rPr>
              <w:fldChar w:fldCharType="separate"/>
            </w:r>
            <w:r w:rsidR="004038DC" w:rsidRPr="007D2326">
              <w:rPr>
                <w:rFonts w:ascii="Helvetica" w:hAnsi="Helvetica" w:cstheme="minorHAnsi"/>
                <w:noProof/>
                <w:sz w:val="17"/>
                <w:szCs w:val="17"/>
                <w:vertAlign w:val="superscript"/>
              </w:rPr>
              <w:t>29</w:t>
            </w:r>
            <w:r w:rsidR="004038DC" w:rsidRPr="007D2326">
              <w:rPr>
                <w:rFonts w:ascii="Helvetica" w:hAnsi="Helvetica" w:cstheme="minorHAnsi"/>
                <w:sz w:val="17"/>
                <w:szCs w:val="17"/>
              </w:rPr>
              <w:fldChar w:fldCharType="end"/>
            </w:r>
            <w:r w:rsidRPr="007D2326">
              <w:rPr>
                <w:rFonts w:ascii="Helvetica" w:hAnsi="Helvetica" w:cstheme="minorHAnsi"/>
                <w:sz w:val="17"/>
                <w:szCs w:val="17"/>
              </w:rPr>
              <w:t xml:space="preserve"> recovery of returning to 2019 levels by 2024. </w:t>
            </w:r>
          </w:p>
        </w:tc>
        <w:tc>
          <w:tcPr>
            <w:tcW w:w="3432" w:type="dxa"/>
            <w:tcBorders>
              <w:top w:val="nil"/>
              <w:bottom w:val="nil"/>
            </w:tcBorders>
          </w:tcPr>
          <w:p w14:paraId="0C7880EF" w14:textId="742B15CE" w:rsidR="00B304C5" w:rsidRPr="007D2326" w:rsidRDefault="00B304C5" w:rsidP="0061056D">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 xml:space="preserve">1. </w:t>
            </w:r>
            <w:r w:rsidRPr="007D2326">
              <w:rPr>
                <w:rFonts w:ascii="Helvetica" w:hAnsi="Helvetica" w:cstheme="minorHAnsi"/>
                <w:b/>
                <w:bCs/>
                <w:i/>
                <w:iCs/>
                <w:color w:val="FF0000"/>
                <w:sz w:val="17"/>
                <w:szCs w:val="17"/>
              </w:rPr>
              <w:t>Business-as-usual</w:t>
            </w:r>
            <w:r w:rsidRPr="007D2326">
              <w:rPr>
                <w:rFonts w:ascii="Helvetica" w:hAnsi="Helvetica" w:cstheme="minorHAnsi"/>
                <w:b/>
                <w:bCs/>
                <w:color w:val="FF0000"/>
                <w:sz w:val="17"/>
                <w:szCs w:val="17"/>
              </w:rPr>
              <w:t xml:space="preserve"> </w:t>
            </w:r>
            <w:r w:rsidRPr="007D2326">
              <w:rPr>
                <w:rFonts w:ascii="Helvetica" w:hAnsi="Helvetica" w:cstheme="minorHAnsi"/>
                <w:sz w:val="17"/>
                <w:szCs w:val="17"/>
              </w:rPr>
              <w:t>scenario following 1% yearly energy intensity improvements continue into the future</w:t>
            </w:r>
            <w:r w:rsidRPr="007D2326">
              <w:rPr>
                <w:rFonts w:ascii="Helvetica" w:hAnsi="Helvetica" w:cstheme="minorHAnsi"/>
                <w:sz w:val="17"/>
                <w:szCs w:val="17"/>
              </w:rPr>
              <w:fldChar w:fldCharType="begin" w:fldLock="1"/>
            </w:r>
            <w:r w:rsidR="00BB1C38" w:rsidRPr="007D2326">
              <w:rPr>
                <w:rFonts w:ascii="Helvetica" w:hAnsi="Helvetica" w:cstheme="minorHAnsi"/>
                <w:sz w:val="17"/>
                <w:szCs w:val="17"/>
              </w:rPr>
              <w:instrText>ADDIN CSL_CITATION {"citationItems":[{"id":"ITEM-1","itemData":{"author":[{"dropping-particle":"","family":"Zheng","given":"Xinyi Soia","non-dropping-particle":"","parse-names":false,"suffix":""},{"dropping-particle":"","family":"Rutherford","given":"Dan","non-dropping-particle":"","parse-names":false,"suffix":""}],"id":"ITEM-1","issue":"September","issued":{"date-parts":[["2020"]]},"title":"Fuel burn of new commercial jet aircraft: 1960 to 2019","type":"report"},"uris":["http://www.mendeley.com/documents/?uuid=19c4478d-17dc-3b05-a457-a448727e887a"]}],"mendeley":{"formattedCitation":"&lt;sup&gt;30&lt;/sup&gt;","plainTextFormattedCitation":"30","previouslyFormattedCitation":"&lt;sup&gt;30&lt;/sup&gt;"},"properties":{"noteIndex":0},"schema":"https://github.com/citation-style-language/schema/raw/master/csl-citation.json"}</w:instrText>
            </w:r>
            <w:r w:rsidRPr="007D2326">
              <w:rPr>
                <w:rFonts w:ascii="Helvetica" w:hAnsi="Helvetica" w:cstheme="minorHAnsi"/>
                <w:sz w:val="17"/>
                <w:szCs w:val="17"/>
              </w:rPr>
              <w:fldChar w:fldCharType="separate"/>
            </w:r>
            <w:r w:rsidR="004038DC" w:rsidRPr="007D2326">
              <w:rPr>
                <w:rFonts w:ascii="Helvetica" w:hAnsi="Helvetica" w:cstheme="minorHAnsi"/>
                <w:noProof/>
                <w:sz w:val="17"/>
                <w:szCs w:val="17"/>
                <w:vertAlign w:val="superscript"/>
              </w:rPr>
              <w:t>30</w:t>
            </w:r>
            <w:r w:rsidRPr="007D2326">
              <w:rPr>
                <w:rFonts w:ascii="Helvetica" w:hAnsi="Helvetica" w:cstheme="minorHAnsi"/>
                <w:sz w:val="17"/>
                <w:szCs w:val="17"/>
              </w:rPr>
              <w:fldChar w:fldCharType="end"/>
            </w:r>
            <w:r w:rsidRPr="007D2326">
              <w:rPr>
                <w:rFonts w:ascii="Helvetica" w:hAnsi="Helvetica" w:cstheme="minorHAnsi"/>
                <w:sz w:val="17"/>
                <w:szCs w:val="17"/>
              </w:rPr>
              <w:t xml:space="preserve">. </w:t>
            </w:r>
          </w:p>
          <w:p w14:paraId="0A4F208B" w14:textId="77777777" w:rsidR="00B304C5" w:rsidRPr="007D2326" w:rsidRDefault="00B304C5" w:rsidP="0061056D">
            <w:pPr>
              <w:spacing w:before="120" w:afterLines="50" w:after="120"/>
              <w:rPr>
                <w:rFonts w:ascii="Helvetica" w:hAnsi="Helvetica" w:cstheme="minorHAnsi"/>
                <w:sz w:val="17"/>
                <w:szCs w:val="17"/>
              </w:rPr>
            </w:pPr>
          </w:p>
        </w:tc>
        <w:tc>
          <w:tcPr>
            <w:tcW w:w="3432" w:type="dxa"/>
            <w:tcBorders>
              <w:top w:val="nil"/>
              <w:bottom w:val="nil"/>
            </w:tcBorders>
          </w:tcPr>
          <w:p w14:paraId="7291E271" w14:textId="77777777" w:rsidR="00B304C5" w:rsidRPr="007D2326" w:rsidRDefault="00B304C5" w:rsidP="0061056D">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 xml:space="preserve">1. </w:t>
            </w:r>
            <w:r w:rsidRPr="007D2326">
              <w:rPr>
                <w:rFonts w:ascii="Helvetica" w:hAnsi="Helvetica" w:cstheme="minorHAnsi"/>
                <w:b/>
                <w:bCs/>
                <w:i/>
                <w:iCs/>
                <w:color w:val="FF0000"/>
                <w:sz w:val="17"/>
                <w:szCs w:val="17"/>
              </w:rPr>
              <w:t>Carbon</w:t>
            </w:r>
            <w:r w:rsidRPr="007D2326">
              <w:rPr>
                <w:rFonts w:ascii="Helvetica" w:hAnsi="Helvetica" w:cstheme="minorHAnsi"/>
                <w:b/>
                <w:bCs/>
                <w:color w:val="FF0000"/>
                <w:sz w:val="17"/>
                <w:szCs w:val="17"/>
              </w:rPr>
              <w:t xml:space="preserve"> </w:t>
            </w:r>
            <w:r w:rsidRPr="007D2326">
              <w:rPr>
                <w:rFonts w:ascii="Helvetica" w:hAnsi="Helvetica" w:cstheme="minorHAnsi"/>
                <w:b/>
                <w:bCs/>
                <w:i/>
                <w:iCs/>
                <w:color w:val="FF0000"/>
                <w:sz w:val="17"/>
                <w:szCs w:val="17"/>
              </w:rPr>
              <w:t>Intensive</w:t>
            </w:r>
            <w:r w:rsidRPr="007D2326">
              <w:rPr>
                <w:rFonts w:ascii="Helvetica" w:hAnsi="Helvetica" w:cstheme="minorHAnsi"/>
                <w:color w:val="FF0000"/>
                <w:sz w:val="17"/>
                <w:szCs w:val="17"/>
              </w:rPr>
              <w:t xml:space="preserve"> </w:t>
            </w:r>
            <w:r w:rsidRPr="007D2326">
              <w:rPr>
                <w:rFonts w:ascii="Helvetica" w:hAnsi="Helvetica" w:cstheme="minorHAnsi"/>
                <w:sz w:val="17"/>
                <w:szCs w:val="17"/>
              </w:rPr>
              <w:t xml:space="preserve">scenario where jet fuel continues to power planes. </w:t>
            </w:r>
          </w:p>
          <w:p w14:paraId="18A017B7" w14:textId="77777777" w:rsidR="00B304C5" w:rsidRPr="007D2326" w:rsidRDefault="00B304C5" w:rsidP="009F5DB7">
            <w:pPr>
              <w:spacing w:before="120" w:afterLines="50" w:after="120"/>
              <w:ind w:left="173" w:hanging="173"/>
              <w:rPr>
                <w:rFonts w:ascii="Helvetica" w:hAnsi="Helvetica" w:cstheme="minorHAnsi"/>
                <w:sz w:val="17"/>
                <w:szCs w:val="17"/>
              </w:rPr>
            </w:pPr>
          </w:p>
        </w:tc>
      </w:tr>
      <w:tr w:rsidR="00B304C5" w:rsidRPr="007D2326" w14:paraId="50F1BBEF" w14:textId="77777777" w:rsidTr="002C026F">
        <w:trPr>
          <w:cantSplit/>
          <w:trHeight w:val="20"/>
        </w:trPr>
        <w:tc>
          <w:tcPr>
            <w:tcW w:w="376" w:type="dxa"/>
            <w:vMerge/>
            <w:textDirection w:val="btLr"/>
          </w:tcPr>
          <w:p w14:paraId="089FB786" w14:textId="77777777" w:rsidR="00B304C5" w:rsidRPr="007D2326" w:rsidRDefault="00B304C5" w:rsidP="00C138C5">
            <w:pPr>
              <w:jc w:val="center"/>
              <w:rPr>
                <w:rFonts w:ascii="Helvetica" w:hAnsi="Helvetica" w:cstheme="minorHAnsi"/>
                <w:b/>
                <w:bCs/>
                <w:sz w:val="17"/>
                <w:szCs w:val="17"/>
              </w:rPr>
            </w:pPr>
          </w:p>
        </w:tc>
        <w:tc>
          <w:tcPr>
            <w:tcW w:w="2139" w:type="dxa"/>
            <w:vMerge/>
          </w:tcPr>
          <w:p w14:paraId="725035E4" w14:textId="77777777" w:rsidR="00B304C5" w:rsidRPr="007D2326" w:rsidRDefault="00B304C5" w:rsidP="009F5DB7">
            <w:pPr>
              <w:spacing w:before="120" w:afterLines="50" w:after="120"/>
              <w:ind w:left="173" w:hanging="173"/>
              <w:rPr>
                <w:rFonts w:ascii="Helvetica" w:hAnsi="Helvetica" w:cstheme="minorHAnsi"/>
                <w:sz w:val="17"/>
                <w:szCs w:val="17"/>
              </w:rPr>
            </w:pPr>
          </w:p>
        </w:tc>
        <w:tc>
          <w:tcPr>
            <w:tcW w:w="3432" w:type="dxa"/>
            <w:tcBorders>
              <w:top w:val="nil"/>
              <w:bottom w:val="nil"/>
            </w:tcBorders>
          </w:tcPr>
          <w:p w14:paraId="0A305E19" w14:textId="06EF80D7" w:rsidR="00B304C5" w:rsidRPr="007D2326" w:rsidRDefault="00B304C5" w:rsidP="00B304C5">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 xml:space="preserve">2. </w:t>
            </w:r>
            <w:r w:rsidRPr="007D2326">
              <w:rPr>
                <w:rFonts w:ascii="Helvetica" w:hAnsi="Helvetica" w:cstheme="minorHAnsi"/>
                <w:b/>
                <w:bCs/>
                <w:i/>
                <w:iCs/>
                <w:color w:val="4472C4" w:themeColor="accent1"/>
                <w:sz w:val="17"/>
                <w:szCs w:val="17"/>
              </w:rPr>
              <w:t>Industry projections</w:t>
            </w:r>
            <w:r w:rsidRPr="007D2326">
              <w:rPr>
                <w:rFonts w:ascii="Helvetica" w:hAnsi="Helvetica" w:cstheme="minorHAnsi"/>
                <w:b/>
                <w:bCs/>
                <w:color w:val="4472C4" w:themeColor="accent1"/>
                <w:sz w:val="17"/>
                <w:szCs w:val="17"/>
              </w:rPr>
              <w:t xml:space="preserve"> </w:t>
            </w:r>
            <w:r w:rsidRPr="007D2326">
              <w:rPr>
                <w:rFonts w:ascii="Helvetica" w:hAnsi="Helvetica" w:cstheme="minorHAnsi"/>
                <w:sz w:val="17"/>
                <w:szCs w:val="17"/>
              </w:rPr>
              <w:t>scenario low-growth projection of 2.9% per year for passenger demand and 2.5% yearly increase for freight</w:t>
            </w:r>
            <w:r w:rsidRPr="007D2326">
              <w:rPr>
                <w:rFonts w:ascii="Helvetica" w:hAnsi="Helvetica" w:cstheme="minorHAnsi"/>
                <w:sz w:val="17"/>
                <w:szCs w:val="17"/>
              </w:rPr>
              <w:fldChar w:fldCharType="begin" w:fldLock="1"/>
            </w:r>
            <w:r w:rsidRPr="007D2326">
              <w:rPr>
                <w:rFonts w:ascii="Helvetica" w:hAnsi="Helvetica" w:cstheme="minorHAnsi"/>
                <w:sz w:val="17"/>
                <w:szCs w:val="17"/>
              </w:rPr>
              <w:instrText>ADDIN CSL_CITATION {"citationItems":[{"id":"ITEM-1","itemData":{"URL":"https://www.icao.int/sustainability/Documents/Post-COVID-19 forecasts scenarios tables.pdf","accessed":{"date-parts":[["2021","11","12"]]},"author":[{"dropping-particle":"","family":"ICAO","given":"","non-dropping-particle":"","parse-names":false,"suffix":""}],"id":"ITEM-1","issued":{"date-parts":[["2021"]]},"title":"Appendix A: Traffic Forecasts","type":"webpage"},"uris":["http://www.mendeley.com/documents/?uuid=c399e924-9e73-32ba-a139-fa80ba169d00"]}],"mendeley":{"formattedCitation":"&lt;sup&gt;29&lt;/sup&gt;","plainTextFormattedCitation":"29","previouslyFormattedCitation":"&lt;sup&gt;29&lt;/sup&gt;"},"properties":{"noteIndex":0},"schema":"https://github.com/citation-style-language/schema/raw/master/csl-citation.json"}</w:instrText>
            </w:r>
            <w:r w:rsidRPr="007D2326">
              <w:rPr>
                <w:rFonts w:ascii="Helvetica" w:hAnsi="Helvetica" w:cstheme="minorHAnsi"/>
                <w:sz w:val="17"/>
                <w:szCs w:val="17"/>
              </w:rPr>
              <w:fldChar w:fldCharType="separate"/>
            </w:r>
            <w:r w:rsidRPr="007D2326">
              <w:rPr>
                <w:rFonts w:ascii="Helvetica" w:hAnsi="Helvetica" w:cstheme="minorHAnsi"/>
                <w:noProof/>
                <w:sz w:val="17"/>
                <w:szCs w:val="17"/>
                <w:vertAlign w:val="superscript"/>
              </w:rPr>
              <w:t>29</w:t>
            </w:r>
            <w:r w:rsidRPr="007D2326">
              <w:rPr>
                <w:rFonts w:ascii="Helvetica" w:hAnsi="Helvetica" w:cstheme="minorHAnsi"/>
                <w:sz w:val="17"/>
                <w:szCs w:val="17"/>
              </w:rPr>
              <w:fldChar w:fldCharType="end"/>
            </w:r>
            <w:r w:rsidR="004038DC" w:rsidRPr="007D2326">
              <w:rPr>
                <w:rFonts w:ascii="Helvetica" w:hAnsi="Helvetica" w:cstheme="minorHAnsi"/>
                <w:sz w:val="17"/>
                <w:szCs w:val="17"/>
              </w:rPr>
              <w:t>, with industry-based</w:t>
            </w:r>
            <w:r w:rsidR="004038DC" w:rsidRPr="007D2326">
              <w:rPr>
                <w:rFonts w:ascii="Helvetica" w:hAnsi="Helvetica" w:cstheme="minorHAnsi"/>
                <w:sz w:val="17"/>
                <w:szCs w:val="17"/>
              </w:rPr>
              <w:fldChar w:fldCharType="begin" w:fldLock="1"/>
            </w:r>
            <w:r w:rsidR="00BB1C38" w:rsidRPr="007D2326">
              <w:rPr>
                <w:rFonts w:ascii="Helvetica" w:hAnsi="Helvetica" w:cstheme="minorHAnsi"/>
                <w:sz w:val="17"/>
                <w:szCs w:val="17"/>
              </w:rPr>
              <w:instrText>ADDIN CSL_CITATION {"citationItems":[{"id":"ITEM-1","itemData":{"URL":"https://www.icao.int/sustainability/Documents/Post-COVID-19 forecasts scenarios tables.pdf","accessed":{"date-parts":[["2021","11","12"]]},"author":[{"dropping-particle":"","family":"ICAO","given":"","non-dropping-particle":"","parse-names":false,"suffix":""}],"id":"ITEM-1","issued":{"date-parts":[["2021"]]},"title":"Appendix A: Traffic Forecasts","type":"webpage"},"uris":["http://www.mendeley.com/documents/?uuid=c399e924-9e73-32ba-a139-fa80ba169d00"]}],"mendeley":{"formattedCitation":"&lt;sup&gt;29&lt;/sup&gt;","plainTextFormattedCitation":"29","previouslyFormattedCitation":"&lt;sup&gt;29&lt;/sup&gt;"},"properties":{"noteIndex":0},"schema":"https://github.com/citation-style-language/schema/raw/master/csl-citation.json"}</w:instrText>
            </w:r>
            <w:r w:rsidR="004038DC" w:rsidRPr="007D2326">
              <w:rPr>
                <w:rFonts w:ascii="Helvetica" w:hAnsi="Helvetica" w:cstheme="minorHAnsi"/>
                <w:sz w:val="17"/>
                <w:szCs w:val="17"/>
              </w:rPr>
              <w:fldChar w:fldCharType="separate"/>
            </w:r>
            <w:r w:rsidR="004038DC" w:rsidRPr="007D2326">
              <w:rPr>
                <w:rFonts w:ascii="Helvetica" w:hAnsi="Helvetica" w:cstheme="minorHAnsi"/>
                <w:noProof/>
                <w:sz w:val="17"/>
                <w:szCs w:val="17"/>
                <w:vertAlign w:val="superscript"/>
              </w:rPr>
              <w:t>29</w:t>
            </w:r>
            <w:r w:rsidR="004038DC" w:rsidRPr="007D2326">
              <w:rPr>
                <w:rFonts w:ascii="Helvetica" w:hAnsi="Helvetica" w:cstheme="minorHAnsi"/>
                <w:sz w:val="17"/>
                <w:szCs w:val="17"/>
              </w:rPr>
              <w:fldChar w:fldCharType="end"/>
            </w:r>
            <w:r w:rsidR="004038DC" w:rsidRPr="007D2326">
              <w:rPr>
                <w:rFonts w:ascii="Helvetica" w:hAnsi="Helvetica" w:cstheme="minorHAnsi"/>
                <w:sz w:val="17"/>
                <w:szCs w:val="17"/>
              </w:rPr>
              <w:t xml:space="preserve"> recovery of returning to 2019 levels by 2024.</w:t>
            </w:r>
          </w:p>
        </w:tc>
        <w:tc>
          <w:tcPr>
            <w:tcW w:w="3432" w:type="dxa"/>
            <w:tcBorders>
              <w:top w:val="nil"/>
              <w:bottom w:val="nil"/>
            </w:tcBorders>
          </w:tcPr>
          <w:p w14:paraId="7C9698B4" w14:textId="4227C6DE" w:rsidR="00B304C5" w:rsidRPr="007D2326" w:rsidRDefault="00B304C5" w:rsidP="00B304C5">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 xml:space="preserve">2. </w:t>
            </w:r>
            <w:r w:rsidRPr="007D2326">
              <w:rPr>
                <w:rFonts w:ascii="Helvetica" w:hAnsi="Helvetica" w:cstheme="minorHAnsi"/>
                <w:b/>
                <w:bCs/>
                <w:i/>
                <w:iCs/>
                <w:color w:val="4472C4" w:themeColor="accent1"/>
                <w:sz w:val="17"/>
                <w:szCs w:val="17"/>
              </w:rPr>
              <w:t>Industry projections</w:t>
            </w:r>
            <w:r w:rsidRPr="007D2326">
              <w:rPr>
                <w:rFonts w:ascii="Helvetica" w:hAnsi="Helvetica" w:cstheme="minorHAnsi"/>
                <w:b/>
                <w:bCs/>
                <w:color w:val="4472C4" w:themeColor="accent1"/>
                <w:sz w:val="17"/>
                <w:szCs w:val="17"/>
              </w:rPr>
              <w:t xml:space="preserve"> </w:t>
            </w:r>
            <w:r w:rsidRPr="007D2326">
              <w:rPr>
                <w:rFonts w:ascii="Helvetica" w:hAnsi="Helvetica" w:cstheme="minorHAnsi"/>
                <w:sz w:val="17"/>
                <w:szCs w:val="17"/>
              </w:rPr>
              <w:t>scenario commitment of achieving 2% increases per year</w:t>
            </w:r>
            <w:r w:rsidRPr="007D2326">
              <w:rPr>
                <w:rFonts w:ascii="Helvetica" w:hAnsi="Helvetica" w:cstheme="minorHAnsi"/>
                <w:sz w:val="17"/>
                <w:szCs w:val="17"/>
              </w:rPr>
              <w:fldChar w:fldCharType="begin" w:fldLock="1"/>
            </w:r>
            <w:r w:rsidR="00BB1C38" w:rsidRPr="007D2326">
              <w:rPr>
                <w:rFonts w:ascii="Helvetica" w:hAnsi="Helvetica" w:cstheme="minorHAnsi"/>
                <w:sz w:val="17"/>
                <w:szCs w:val="17"/>
              </w:rPr>
              <w:instrText>ADDIN CSL_CITATION {"citationItems":[{"id":"ITEM-1","itemData":{"ISBN":"9789896540821","ISSN":"11107243","PMID":"25246403","author":[{"dropping-particle":"","family":"ICAO","given":"","non-dropping-particle":"","parse-names":false,"suffix":""}],"id":"ITEM-1","issued":{"date-parts":[["2019"]]},"page":"1-9","title":"Resolution A40-18: Consolidated statement of continuing ICAO policies and practices related to environmental protection – Climate change","type":"legislation"},"uris":["http://www.mendeley.com/documents/?uuid=84b309ff-3341-3439-a8ce-c5cf92f12428"]}],"mendeley":{"formattedCitation":"&lt;sup&gt;31&lt;/sup&gt;","plainTextFormattedCitation":"31","previouslyFormattedCitation":"&lt;sup&gt;31&lt;/sup&gt;"},"properties":{"noteIndex":0},"schema":"https://github.com/citation-style-language/schema/raw/master/csl-citation.json"}</w:instrText>
            </w:r>
            <w:r w:rsidRPr="007D2326">
              <w:rPr>
                <w:rFonts w:ascii="Helvetica" w:hAnsi="Helvetica" w:cstheme="minorHAnsi"/>
                <w:sz w:val="17"/>
                <w:szCs w:val="17"/>
              </w:rPr>
              <w:fldChar w:fldCharType="separate"/>
            </w:r>
            <w:r w:rsidR="004038DC" w:rsidRPr="007D2326">
              <w:rPr>
                <w:rFonts w:ascii="Helvetica" w:hAnsi="Helvetica" w:cstheme="minorHAnsi"/>
                <w:noProof/>
                <w:sz w:val="17"/>
                <w:szCs w:val="17"/>
                <w:vertAlign w:val="superscript"/>
              </w:rPr>
              <w:t>31</w:t>
            </w:r>
            <w:r w:rsidRPr="007D2326">
              <w:rPr>
                <w:rFonts w:ascii="Helvetica" w:hAnsi="Helvetica" w:cstheme="minorHAnsi"/>
                <w:sz w:val="17"/>
                <w:szCs w:val="17"/>
              </w:rPr>
              <w:fldChar w:fldCharType="end"/>
            </w:r>
            <w:r w:rsidRPr="007D2326">
              <w:rPr>
                <w:rFonts w:ascii="Helvetica" w:hAnsi="Helvetica" w:cstheme="minorHAnsi"/>
                <w:sz w:val="17"/>
                <w:szCs w:val="17"/>
              </w:rPr>
              <w:t xml:space="preserve">. </w:t>
            </w:r>
          </w:p>
        </w:tc>
        <w:tc>
          <w:tcPr>
            <w:tcW w:w="3432" w:type="dxa"/>
            <w:tcBorders>
              <w:top w:val="nil"/>
              <w:bottom w:val="nil"/>
            </w:tcBorders>
          </w:tcPr>
          <w:p w14:paraId="386D375D" w14:textId="5E807EB9" w:rsidR="00B304C5" w:rsidRPr="007D2326" w:rsidRDefault="00B304C5" w:rsidP="00B304C5">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 xml:space="preserve">2. A </w:t>
            </w:r>
            <w:r w:rsidRPr="007D2326">
              <w:rPr>
                <w:rFonts w:ascii="Helvetica" w:hAnsi="Helvetica" w:cstheme="minorHAnsi"/>
                <w:b/>
                <w:bCs/>
                <w:i/>
                <w:iCs/>
                <w:color w:val="4472C4" w:themeColor="accent1"/>
                <w:sz w:val="17"/>
                <w:szCs w:val="17"/>
              </w:rPr>
              <w:t>Reduced fossil</w:t>
            </w:r>
            <w:r w:rsidRPr="007D2326">
              <w:rPr>
                <w:rFonts w:ascii="Helvetica" w:hAnsi="Helvetica" w:cstheme="minorHAnsi"/>
                <w:b/>
                <w:bCs/>
                <w:color w:val="4472C4" w:themeColor="accent1"/>
                <w:sz w:val="17"/>
                <w:szCs w:val="17"/>
              </w:rPr>
              <w:t xml:space="preserve"> </w:t>
            </w:r>
            <w:r w:rsidRPr="007D2326">
              <w:rPr>
                <w:rFonts w:ascii="Helvetica" w:hAnsi="Helvetica" w:cstheme="minorHAnsi"/>
                <w:sz w:val="17"/>
                <w:szCs w:val="17"/>
              </w:rPr>
              <w:t>scenario that follows a pathway with 65% sustainable aviation fuels and 13% new propulsion planes by 2050, following IATA’s net zero emissions plan</w:t>
            </w:r>
            <w:r w:rsidRPr="007D2326">
              <w:rPr>
                <w:rFonts w:ascii="Helvetica" w:hAnsi="Helvetica" w:cstheme="minorHAnsi"/>
                <w:sz w:val="17"/>
                <w:szCs w:val="17"/>
              </w:rPr>
              <w:fldChar w:fldCharType="begin" w:fldLock="1"/>
            </w:r>
            <w:r w:rsidR="00BB1C38" w:rsidRPr="007D2326">
              <w:rPr>
                <w:rFonts w:ascii="Helvetica" w:hAnsi="Helvetica" w:cstheme="minorHAnsi"/>
                <w:sz w:val="17"/>
                <w:szCs w:val="17"/>
              </w:rPr>
              <w:instrText>ADDIN CSL_CITATION {"citationItems":[{"id":"ITEM-1","itemData":{"URL":"https://www.iata.org/en/pressroom/2021-releases/2021-10-04-03/","accessed":{"date-parts":[["2021","12","13"]]},"author":[{"dropping-particle":"","family":"IATA","given":"","non-dropping-particle":"","parse-names":false,"suffix":""}],"id":"ITEM-1","issued":{"date-parts":[["2021","10","4"]]},"title":"IATA - Net-Zero Carbon Emissions by 2050","type":"webpage"},"uris":["http://www.mendeley.com/documents/?uuid=e8d46016-2572-3d56-bbd6-76bf9690d4b2"]}],"mendeley":{"formattedCitation":"&lt;sup&gt;32&lt;/sup&gt;","plainTextFormattedCitation":"32","previouslyFormattedCitation":"&lt;sup&gt;32&lt;/sup&gt;"},"properties":{"noteIndex":0},"schema":"https://github.com/citation-style-language/schema/raw/master/csl-citation.json"}</w:instrText>
            </w:r>
            <w:r w:rsidRPr="007D2326">
              <w:rPr>
                <w:rFonts w:ascii="Helvetica" w:hAnsi="Helvetica" w:cstheme="minorHAnsi"/>
                <w:sz w:val="17"/>
                <w:szCs w:val="17"/>
              </w:rPr>
              <w:fldChar w:fldCharType="separate"/>
            </w:r>
            <w:r w:rsidR="004038DC" w:rsidRPr="007D2326">
              <w:rPr>
                <w:rFonts w:ascii="Helvetica" w:hAnsi="Helvetica" w:cstheme="minorHAnsi"/>
                <w:noProof/>
                <w:sz w:val="17"/>
                <w:szCs w:val="17"/>
                <w:vertAlign w:val="superscript"/>
              </w:rPr>
              <w:t>32</w:t>
            </w:r>
            <w:r w:rsidRPr="007D2326">
              <w:rPr>
                <w:rFonts w:ascii="Helvetica" w:hAnsi="Helvetica" w:cstheme="minorHAnsi"/>
                <w:sz w:val="17"/>
                <w:szCs w:val="17"/>
              </w:rPr>
              <w:fldChar w:fldCharType="end"/>
            </w:r>
            <w:r w:rsidRPr="007D2326">
              <w:rPr>
                <w:rFonts w:ascii="Helvetica" w:hAnsi="Helvetica" w:cstheme="minorHAnsi"/>
                <w:sz w:val="17"/>
                <w:szCs w:val="17"/>
              </w:rPr>
              <w:t>.</w:t>
            </w:r>
          </w:p>
        </w:tc>
      </w:tr>
      <w:tr w:rsidR="00B304C5" w:rsidRPr="007D2326" w14:paraId="6A9445AC" w14:textId="77777777" w:rsidTr="002C026F">
        <w:trPr>
          <w:cantSplit/>
          <w:trHeight w:val="20"/>
        </w:trPr>
        <w:tc>
          <w:tcPr>
            <w:tcW w:w="376" w:type="dxa"/>
            <w:vMerge/>
            <w:textDirection w:val="btLr"/>
          </w:tcPr>
          <w:p w14:paraId="64EA29F4" w14:textId="77777777" w:rsidR="00B304C5" w:rsidRPr="007D2326" w:rsidRDefault="00B304C5" w:rsidP="0061056D">
            <w:pPr>
              <w:jc w:val="center"/>
              <w:rPr>
                <w:rFonts w:ascii="Helvetica" w:hAnsi="Helvetica" w:cstheme="minorHAnsi"/>
                <w:b/>
                <w:bCs/>
                <w:sz w:val="17"/>
                <w:szCs w:val="17"/>
              </w:rPr>
            </w:pPr>
          </w:p>
        </w:tc>
        <w:tc>
          <w:tcPr>
            <w:tcW w:w="2139" w:type="dxa"/>
            <w:vMerge/>
          </w:tcPr>
          <w:p w14:paraId="06585374" w14:textId="77777777" w:rsidR="00B304C5" w:rsidRPr="007D2326" w:rsidRDefault="00B304C5" w:rsidP="0061056D">
            <w:pPr>
              <w:spacing w:before="120" w:afterLines="50" w:after="120"/>
              <w:ind w:left="173" w:hanging="173"/>
              <w:rPr>
                <w:rFonts w:ascii="Helvetica" w:hAnsi="Helvetica" w:cstheme="minorHAnsi"/>
                <w:sz w:val="17"/>
                <w:szCs w:val="17"/>
              </w:rPr>
            </w:pPr>
          </w:p>
        </w:tc>
        <w:tc>
          <w:tcPr>
            <w:tcW w:w="3432" w:type="dxa"/>
            <w:tcBorders>
              <w:top w:val="nil"/>
            </w:tcBorders>
          </w:tcPr>
          <w:p w14:paraId="05864C81" w14:textId="79E778BD" w:rsidR="00B304C5" w:rsidRPr="007D2326" w:rsidRDefault="00B304C5" w:rsidP="0061056D">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 xml:space="preserve">3. An </w:t>
            </w:r>
            <w:r w:rsidRPr="007D2326">
              <w:rPr>
                <w:rFonts w:ascii="Helvetica" w:hAnsi="Helvetica" w:cstheme="minorHAnsi"/>
                <w:b/>
                <w:bCs/>
                <w:i/>
                <w:iCs/>
                <w:color w:val="70AD47" w:themeColor="accent6"/>
                <w:sz w:val="17"/>
                <w:szCs w:val="17"/>
              </w:rPr>
              <w:t>Ambitious reductions</w:t>
            </w:r>
            <w:r w:rsidRPr="007D2326">
              <w:rPr>
                <w:rFonts w:ascii="Helvetica" w:hAnsi="Helvetica" w:cstheme="minorHAnsi"/>
                <w:b/>
                <w:bCs/>
                <w:color w:val="70AD47" w:themeColor="accent6"/>
                <w:sz w:val="17"/>
                <w:szCs w:val="17"/>
              </w:rPr>
              <w:t xml:space="preserve"> </w:t>
            </w:r>
            <w:r w:rsidRPr="007D2326">
              <w:rPr>
                <w:rFonts w:ascii="Helvetica" w:hAnsi="Helvetica" w:cstheme="minorHAnsi"/>
                <w:sz w:val="17"/>
                <w:szCs w:val="17"/>
              </w:rPr>
              <w:t>scenario where demand remains nearly flat, increasing by 12% by 2050 compared to 2019, consistent with the assumptions from the IEA’s Net-zero scenario</w:t>
            </w:r>
            <w:r w:rsidRPr="007D2326">
              <w:rPr>
                <w:rFonts w:ascii="Helvetica" w:hAnsi="Helvetica" w:cstheme="minorHAnsi"/>
                <w:sz w:val="17"/>
                <w:szCs w:val="17"/>
              </w:rPr>
              <w:fldChar w:fldCharType="begin" w:fldLock="1"/>
            </w:r>
            <w:r w:rsidR="00BB1C38" w:rsidRPr="007D2326">
              <w:rPr>
                <w:rFonts w:ascii="Helvetica" w:hAnsi="Helvetica" w:cstheme="minorHAnsi"/>
                <w:sz w:val="17"/>
                <w:szCs w:val="17"/>
              </w:rPr>
              <w:instrText>ADDIN CSL_CITATION {"citationItems":[{"id":"ITEM-1","itemData":{"author":[{"dropping-particle":"","family":"IEA","given":"","non-dropping-particle":"","parse-names":false,"suffix":""}],"id":"ITEM-1","issued":{"date-parts":[["2021"]]},"publisher-place":"Paris","title":"Net Zero by 2050 A Roadmap for the Global Energy Sector","type":"report"},"uris":["http://www.mendeley.com/documents/?uuid=1511d409-809f-46f1-816e-9bdd06a70834"]}],"mendeley":{"formattedCitation":"&lt;sup&gt;33&lt;/sup&gt;","plainTextFormattedCitation":"33","previouslyFormattedCitation":"&lt;sup&gt;33&lt;/sup&gt;"},"properties":{"noteIndex":0},"schema":"https://github.com/citation-style-language/schema/raw/master/csl-citation.json"}</w:instrText>
            </w:r>
            <w:r w:rsidRPr="007D2326">
              <w:rPr>
                <w:rFonts w:ascii="Helvetica" w:hAnsi="Helvetica" w:cstheme="minorHAnsi"/>
                <w:sz w:val="17"/>
                <w:szCs w:val="17"/>
              </w:rPr>
              <w:fldChar w:fldCharType="separate"/>
            </w:r>
            <w:r w:rsidR="004038DC" w:rsidRPr="007D2326">
              <w:rPr>
                <w:rFonts w:ascii="Helvetica" w:hAnsi="Helvetica" w:cstheme="minorHAnsi"/>
                <w:noProof/>
                <w:sz w:val="17"/>
                <w:szCs w:val="17"/>
                <w:vertAlign w:val="superscript"/>
              </w:rPr>
              <w:t>33</w:t>
            </w:r>
            <w:r w:rsidRPr="007D2326">
              <w:rPr>
                <w:rFonts w:ascii="Helvetica" w:hAnsi="Helvetica" w:cstheme="minorHAnsi"/>
                <w:sz w:val="17"/>
                <w:szCs w:val="17"/>
              </w:rPr>
              <w:fldChar w:fldCharType="end"/>
            </w:r>
            <w:r w:rsidRPr="007D2326">
              <w:rPr>
                <w:rFonts w:ascii="Helvetica" w:hAnsi="Helvetica" w:cstheme="minorHAnsi"/>
                <w:sz w:val="17"/>
                <w:szCs w:val="17"/>
              </w:rPr>
              <w:t>.</w:t>
            </w:r>
            <w:r w:rsidR="004038DC" w:rsidRPr="007D2326">
              <w:rPr>
                <w:rFonts w:ascii="Helvetica" w:hAnsi="Helvetica" w:cstheme="minorHAnsi"/>
                <w:sz w:val="17"/>
                <w:szCs w:val="17"/>
              </w:rPr>
              <w:t xml:space="preserve"> No recovery.</w:t>
            </w:r>
          </w:p>
        </w:tc>
        <w:tc>
          <w:tcPr>
            <w:tcW w:w="3432" w:type="dxa"/>
            <w:tcBorders>
              <w:top w:val="nil"/>
              <w:bottom w:val="single" w:sz="4" w:space="0" w:color="auto"/>
            </w:tcBorders>
          </w:tcPr>
          <w:p w14:paraId="0C31AFA8" w14:textId="1870BD18" w:rsidR="00B304C5" w:rsidRPr="007D2326" w:rsidRDefault="00B304C5" w:rsidP="0061056D">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 xml:space="preserve">3. An </w:t>
            </w:r>
            <w:r w:rsidRPr="007D2326">
              <w:rPr>
                <w:rFonts w:ascii="Helvetica" w:hAnsi="Helvetica" w:cstheme="minorHAnsi"/>
                <w:b/>
                <w:bCs/>
                <w:i/>
                <w:iCs/>
                <w:color w:val="70AD47" w:themeColor="accent6"/>
                <w:sz w:val="17"/>
                <w:szCs w:val="17"/>
              </w:rPr>
              <w:t>Ambitious reductions</w:t>
            </w:r>
            <w:r w:rsidRPr="007D2326">
              <w:rPr>
                <w:rFonts w:ascii="Helvetica" w:hAnsi="Helvetica" w:cstheme="minorHAnsi"/>
                <w:b/>
                <w:bCs/>
                <w:color w:val="70AD47" w:themeColor="accent6"/>
                <w:sz w:val="17"/>
                <w:szCs w:val="17"/>
              </w:rPr>
              <w:t xml:space="preserve"> </w:t>
            </w:r>
            <w:r w:rsidRPr="007D2326">
              <w:rPr>
                <w:rFonts w:ascii="Helvetica" w:hAnsi="Helvetica" w:cstheme="minorHAnsi"/>
                <w:sz w:val="17"/>
                <w:szCs w:val="17"/>
              </w:rPr>
              <w:t>scenario where energy intensities are consistent with the IEA’s Net-zero scenario</w:t>
            </w:r>
            <w:r w:rsidRPr="007D2326">
              <w:rPr>
                <w:rFonts w:ascii="Helvetica" w:hAnsi="Helvetica" w:cstheme="minorHAnsi"/>
                <w:sz w:val="17"/>
                <w:szCs w:val="17"/>
              </w:rPr>
              <w:fldChar w:fldCharType="begin" w:fldLock="1"/>
            </w:r>
            <w:r w:rsidRPr="007D2326">
              <w:rPr>
                <w:rFonts w:ascii="Helvetica" w:hAnsi="Helvetica" w:cstheme="minorHAnsi"/>
                <w:sz w:val="17"/>
                <w:szCs w:val="17"/>
              </w:rPr>
              <w:instrText>ADDIN CSL_CITATION {"citationItems":[{"id":"ITEM-1","itemData":{"URL":"https://www.iea.org/reports/aviation","accessed":{"date-parts":[["2021","11","12"]]},"author":[{"dropping-particle":"","family":"IEA","given":"","non-dropping-particle":"","parse-names":false,"suffix":""}],"id":"ITEM-1","issued":{"date-parts":[["2021"]]},"publisher-place":"Paris","title":"Aviation – Analysis","type":"webpage"},"uris":["http://www.mendeley.com/documents/?uuid=49b29cbc-e38d-32ff-a527-104709614a3c"]}],"mendeley":{"formattedCitation":"&lt;sup&gt;8&lt;/sup&gt;","plainTextFormattedCitation":"8","previouslyFormattedCitation":"&lt;sup&gt;8&lt;/sup&gt;"},"properties":{"noteIndex":0},"schema":"https://github.com/citation-style-language/schema/raw/master/csl-citation.json"}</w:instrText>
            </w:r>
            <w:r w:rsidRPr="007D2326">
              <w:rPr>
                <w:rFonts w:ascii="Helvetica" w:hAnsi="Helvetica" w:cstheme="minorHAnsi"/>
                <w:sz w:val="17"/>
                <w:szCs w:val="17"/>
              </w:rPr>
              <w:fldChar w:fldCharType="separate"/>
            </w:r>
            <w:r w:rsidRPr="007D2326">
              <w:rPr>
                <w:rFonts w:ascii="Helvetica" w:hAnsi="Helvetica" w:cstheme="minorHAnsi"/>
                <w:noProof/>
                <w:sz w:val="17"/>
                <w:szCs w:val="17"/>
                <w:vertAlign w:val="superscript"/>
              </w:rPr>
              <w:t>8</w:t>
            </w:r>
            <w:r w:rsidRPr="007D2326">
              <w:rPr>
                <w:rFonts w:ascii="Helvetica" w:hAnsi="Helvetica" w:cstheme="minorHAnsi"/>
                <w:sz w:val="17"/>
                <w:szCs w:val="17"/>
              </w:rPr>
              <w:fldChar w:fldCharType="end"/>
            </w:r>
            <w:r w:rsidRPr="007D2326">
              <w:rPr>
                <w:rFonts w:ascii="Helvetica" w:hAnsi="Helvetica" w:cstheme="minorHAnsi"/>
                <w:sz w:val="17"/>
                <w:szCs w:val="17"/>
              </w:rPr>
              <w:t>, which we extend to 2050.</w:t>
            </w:r>
          </w:p>
        </w:tc>
        <w:tc>
          <w:tcPr>
            <w:tcW w:w="3432" w:type="dxa"/>
            <w:tcBorders>
              <w:top w:val="nil"/>
              <w:bottom w:val="single" w:sz="4" w:space="0" w:color="auto"/>
            </w:tcBorders>
          </w:tcPr>
          <w:p w14:paraId="692C7BBF" w14:textId="4CE48FC7" w:rsidR="00B304C5" w:rsidRPr="007D2326" w:rsidRDefault="00B304C5" w:rsidP="00710528">
            <w:pPr>
              <w:spacing w:before="120" w:afterLines="50" w:after="120"/>
              <w:ind w:left="173" w:hanging="173"/>
              <w:rPr>
                <w:rFonts w:ascii="Helvetica" w:hAnsi="Helvetica" w:cstheme="minorHAnsi"/>
                <w:sz w:val="17"/>
                <w:szCs w:val="17"/>
              </w:rPr>
            </w:pPr>
            <w:r w:rsidRPr="007D2326">
              <w:rPr>
                <w:rFonts w:ascii="Helvetica" w:hAnsi="Helvetica" w:cstheme="minorHAnsi"/>
                <w:sz w:val="17"/>
                <w:szCs w:val="17"/>
              </w:rPr>
              <w:t xml:space="preserve">3. A </w:t>
            </w:r>
            <w:r w:rsidRPr="007D2326">
              <w:rPr>
                <w:rFonts w:ascii="Helvetica" w:hAnsi="Helvetica" w:cstheme="minorHAnsi"/>
                <w:b/>
                <w:bCs/>
                <w:i/>
                <w:iCs/>
                <w:color w:val="70AD47" w:themeColor="accent6"/>
                <w:sz w:val="17"/>
                <w:szCs w:val="17"/>
              </w:rPr>
              <w:t>Net-Zero</w:t>
            </w:r>
            <w:r w:rsidRPr="007D2326">
              <w:rPr>
                <w:rFonts w:ascii="Helvetica" w:hAnsi="Helvetica" w:cstheme="minorHAnsi"/>
                <w:color w:val="70AD47" w:themeColor="accent6"/>
                <w:sz w:val="17"/>
                <w:szCs w:val="17"/>
              </w:rPr>
              <w:t xml:space="preserve"> </w:t>
            </w:r>
            <w:r w:rsidRPr="007D2326">
              <w:rPr>
                <w:rFonts w:ascii="Helvetica" w:hAnsi="Helvetica" w:cstheme="minorHAnsi"/>
                <w:sz w:val="17"/>
                <w:szCs w:val="17"/>
              </w:rPr>
              <w:t>scenario where biofuels power 100% of medium- and long-haul aviation by 2050, and alternative fuels powers 50% of short-haul flights, with the remainder being powered by biofuels.</w:t>
            </w:r>
          </w:p>
        </w:tc>
      </w:tr>
    </w:tbl>
    <w:p w14:paraId="4ECF84E6" w14:textId="77777777" w:rsidR="001C4E68" w:rsidRPr="00664D52" w:rsidRDefault="001C4E68" w:rsidP="00576730">
      <w:pPr>
        <w:spacing w:before="120" w:afterLines="120" w:after="288"/>
        <w:jc w:val="both"/>
        <w:rPr>
          <w:rFonts w:ascii="Helvetica" w:hAnsi="Helvetica" w:cstheme="minorHAnsi"/>
          <w:sz w:val="20"/>
          <w:szCs w:val="20"/>
        </w:rPr>
        <w:sectPr w:rsidR="001C4E68" w:rsidRPr="00664D52" w:rsidSect="00576730">
          <w:footerReference w:type="even" r:id="rId17"/>
          <w:footerReference w:type="default" r:id="rId18"/>
          <w:pgSz w:w="15840" w:h="12240" w:orient="landscape"/>
          <w:pgMar w:top="1440" w:right="1440" w:bottom="1440" w:left="1440" w:header="720" w:footer="720" w:gutter="0"/>
          <w:cols w:space="720"/>
          <w:docGrid w:linePitch="360"/>
        </w:sectPr>
      </w:pPr>
    </w:p>
    <w:p w14:paraId="2B233A63" w14:textId="77E23E3E" w:rsidR="009C2EB0" w:rsidRPr="00664D52" w:rsidRDefault="009C2EB0" w:rsidP="009C2EB0">
      <w:pPr>
        <w:keepNext/>
        <w:snapToGrid w:val="0"/>
        <w:spacing w:before="120" w:after="120"/>
        <w:jc w:val="both"/>
        <w:rPr>
          <w:rFonts w:ascii="Helvetica" w:hAnsi="Helvetica" w:cstheme="minorHAnsi"/>
          <w:sz w:val="20"/>
          <w:szCs w:val="20"/>
        </w:rPr>
      </w:pPr>
      <w:r w:rsidRPr="00664D52">
        <w:rPr>
          <w:rFonts w:ascii="Helvetica" w:hAnsi="Helvetica" w:cstheme="minorHAnsi"/>
          <w:b/>
          <w:bCs/>
          <w:sz w:val="20"/>
          <w:szCs w:val="20"/>
        </w:rPr>
        <w:lastRenderedPageBreak/>
        <w:t>Supplementary Table 2 |</w:t>
      </w:r>
      <w:r w:rsidRPr="00664D52">
        <w:rPr>
          <w:rFonts w:ascii="Helvetica" w:hAnsi="Helvetica" w:cstheme="minorHAnsi"/>
          <w:sz w:val="20"/>
          <w:szCs w:val="20"/>
        </w:rPr>
        <w:t xml:space="preserve"> Synthetic Fuel Costs in USD/liter</w:t>
      </w:r>
    </w:p>
    <w:tbl>
      <w:tblPr>
        <w:tblpPr w:leftFromText="180" w:rightFromText="180" w:vertAnchor="text" w:tblpY="1"/>
        <w:tblOverlap w:val="never"/>
        <w:tblW w:w="6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576"/>
        <w:gridCol w:w="723"/>
        <w:gridCol w:w="723"/>
        <w:gridCol w:w="723"/>
        <w:gridCol w:w="724"/>
        <w:gridCol w:w="723"/>
        <w:gridCol w:w="723"/>
        <w:gridCol w:w="724"/>
      </w:tblGrid>
      <w:tr w:rsidR="009C2EB0" w:rsidRPr="00664D52" w14:paraId="13298DB7" w14:textId="77777777" w:rsidTr="00C138C5">
        <w:trPr>
          <w:trHeight w:val="20"/>
        </w:trPr>
        <w:tc>
          <w:tcPr>
            <w:tcW w:w="1592" w:type="dxa"/>
            <w:gridSpan w:val="2"/>
            <w:vMerge w:val="restart"/>
            <w:shd w:val="clear" w:color="auto" w:fill="auto"/>
            <w:noWrap/>
            <w:vAlign w:val="bottom"/>
            <w:hideMark/>
          </w:tcPr>
          <w:p w14:paraId="0183A4F6" w14:textId="77777777" w:rsidR="009C2EB0" w:rsidRPr="00664D52" w:rsidRDefault="009C2EB0" w:rsidP="00C138C5">
            <w:pPr>
              <w:snapToGrid w:val="0"/>
              <w:spacing w:after="120"/>
              <w:rPr>
                <w:rFonts w:ascii="Helvetica" w:eastAsia="Times New Roman" w:hAnsi="Helvetica" w:cstheme="minorHAnsi"/>
                <w:sz w:val="20"/>
                <w:szCs w:val="20"/>
                <w:lang w:eastAsia="en-US"/>
              </w:rPr>
            </w:pPr>
            <w:r w:rsidRPr="00664D52">
              <w:rPr>
                <w:rFonts w:ascii="Helvetica" w:eastAsia="Times New Roman" w:hAnsi="Helvetica" w:cstheme="minorHAnsi"/>
                <w:color w:val="000000"/>
                <w:sz w:val="20"/>
                <w:szCs w:val="20"/>
                <w:lang w:eastAsia="en-US"/>
              </w:rPr>
              <w:t> </w:t>
            </w:r>
          </w:p>
        </w:tc>
        <w:tc>
          <w:tcPr>
            <w:tcW w:w="5063" w:type="dxa"/>
            <w:gridSpan w:val="7"/>
            <w:shd w:val="clear" w:color="auto" w:fill="auto"/>
            <w:noWrap/>
            <w:vAlign w:val="bottom"/>
            <w:hideMark/>
          </w:tcPr>
          <w:p w14:paraId="325C1F4D"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Hydrogen Unit Cost (USD/kg H</w:t>
            </w:r>
            <w:r w:rsidRPr="00664D52">
              <w:rPr>
                <w:rFonts w:ascii="Helvetica" w:eastAsia="Times New Roman" w:hAnsi="Helvetica" w:cstheme="minorHAnsi"/>
                <w:color w:val="000000"/>
                <w:sz w:val="20"/>
                <w:szCs w:val="20"/>
                <w:vertAlign w:val="subscript"/>
                <w:lang w:eastAsia="en-US"/>
              </w:rPr>
              <w:t>2</w:t>
            </w:r>
            <w:r w:rsidRPr="00664D52">
              <w:rPr>
                <w:rFonts w:ascii="Helvetica" w:eastAsia="Times New Roman" w:hAnsi="Helvetica" w:cstheme="minorHAnsi"/>
                <w:color w:val="000000"/>
                <w:sz w:val="20"/>
                <w:szCs w:val="20"/>
                <w:lang w:eastAsia="en-US"/>
              </w:rPr>
              <w:t>)</w:t>
            </w:r>
          </w:p>
        </w:tc>
      </w:tr>
      <w:tr w:rsidR="009C2EB0" w:rsidRPr="00664D52" w14:paraId="4CF91EDD" w14:textId="77777777" w:rsidTr="00C138C5">
        <w:trPr>
          <w:trHeight w:val="20"/>
        </w:trPr>
        <w:tc>
          <w:tcPr>
            <w:tcW w:w="1592" w:type="dxa"/>
            <w:gridSpan w:val="2"/>
            <w:vMerge/>
            <w:shd w:val="clear" w:color="auto" w:fill="auto"/>
            <w:noWrap/>
            <w:vAlign w:val="bottom"/>
            <w:hideMark/>
          </w:tcPr>
          <w:p w14:paraId="3C2E6210"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723" w:type="dxa"/>
            <w:shd w:val="clear" w:color="auto" w:fill="auto"/>
            <w:noWrap/>
            <w:vAlign w:val="bottom"/>
            <w:hideMark/>
          </w:tcPr>
          <w:p w14:paraId="5A74C0F6"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w:t>
            </w:r>
          </w:p>
        </w:tc>
        <w:tc>
          <w:tcPr>
            <w:tcW w:w="723" w:type="dxa"/>
            <w:shd w:val="clear" w:color="auto" w:fill="auto"/>
            <w:noWrap/>
            <w:vAlign w:val="bottom"/>
            <w:hideMark/>
          </w:tcPr>
          <w:p w14:paraId="4C1B87EA"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1</w:t>
            </w:r>
          </w:p>
        </w:tc>
        <w:tc>
          <w:tcPr>
            <w:tcW w:w="723" w:type="dxa"/>
            <w:shd w:val="clear" w:color="auto" w:fill="auto"/>
            <w:noWrap/>
            <w:vAlign w:val="bottom"/>
            <w:hideMark/>
          </w:tcPr>
          <w:p w14:paraId="573A0116"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2</w:t>
            </w:r>
          </w:p>
        </w:tc>
        <w:tc>
          <w:tcPr>
            <w:tcW w:w="724" w:type="dxa"/>
            <w:shd w:val="clear" w:color="auto" w:fill="auto"/>
            <w:noWrap/>
            <w:vAlign w:val="bottom"/>
            <w:hideMark/>
          </w:tcPr>
          <w:p w14:paraId="6748841A"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3</w:t>
            </w:r>
          </w:p>
        </w:tc>
        <w:tc>
          <w:tcPr>
            <w:tcW w:w="723" w:type="dxa"/>
            <w:shd w:val="clear" w:color="auto" w:fill="auto"/>
            <w:noWrap/>
            <w:vAlign w:val="bottom"/>
            <w:hideMark/>
          </w:tcPr>
          <w:p w14:paraId="6400D4DA"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4</w:t>
            </w:r>
          </w:p>
        </w:tc>
        <w:tc>
          <w:tcPr>
            <w:tcW w:w="723" w:type="dxa"/>
            <w:shd w:val="clear" w:color="auto" w:fill="auto"/>
            <w:noWrap/>
            <w:vAlign w:val="bottom"/>
            <w:hideMark/>
          </w:tcPr>
          <w:p w14:paraId="0EF28F42"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5</w:t>
            </w:r>
          </w:p>
        </w:tc>
        <w:tc>
          <w:tcPr>
            <w:tcW w:w="724" w:type="dxa"/>
            <w:shd w:val="clear" w:color="auto" w:fill="auto"/>
            <w:noWrap/>
            <w:vAlign w:val="bottom"/>
            <w:hideMark/>
          </w:tcPr>
          <w:p w14:paraId="0A6E8536"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6</w:t>
            </w:r>
          </w:p>
        </w:tc>
      </w:tr>
      <w:tr w:rsidR="009C2EB0" w:rsidRPr="00664D52" w14:paraId="6BC74D46" w14:textId="77777777" w:rsidTr="00C138C5">
        <w:trPr>
          <w:trHeight w:val="328"/>
        </w:trPr>
        <w:tc>
          <w:tcPr>
            <w:tcW w:w="1016" w:type="dxa"/>
            <w:vMerge w:val="restart"/>
            <w:shd w:val="clear" w:color="auto" w:fill="auto"/>
            <w:vAlign w:val="center"/>
            <w:hideMark/>
          </w:tcPr>
          <w:p w14:paraId="0C21F19C"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Carbon Unit Cost (USD/kg CO</w:t>
            </w:r>
            <w:r w:rsidRPr="00664D52">
              <w:rPr>
                <w:rFonts w:ascii="Helvetica" w:eastAsia="Times New Roman" w:hAnsi="Helvetica" w:cstheme="minorHAnsi"/>
                <w:color w:val="000000"/>
                <w:sz w:val="20"/>
                <w:szCs w:val="20"/>
                <w:vertAlign w:val="subscript"/>
                <w:lang w:eastAsia="en-US"/>
              </w:rPr>
              <w:t>2</w:t>
            </w:r>
            <w:r w:rsidRPr="00664D52">
              <w:rPr>
                <w:rFonts w:ascii="Helvetica" w:eastAsia="Times New Roman" w:hAnsi="Helvetica" w:cstheme="minorHAnsi"/>
                <w:color w:val="000000"/>
                <w:sz w:val="20"/>
                <w:szCs w:val="20"/>
                <w:lang w:eastAsia="en-US"/>
              </w:rPr>
              <w:t>)</w:t>
            </w:r>
          </w:p>
        </w:tc>
        <w:tc>
          <w:tcPr>
            <w:tcW w:w="576" w:type="dxa"/>
            <w:shd w:val="clear" w:color="auto" w:fill="auto"/>
            <w:noWrap/>
            <w:vAlign w:val="center"/>
            <w:hideMark/>
          </w:tcPr>
          <w:p w14:paraId="0D3EA1AD"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w:t>
            </w:r>
          </w:p>
        </w:tc>
        <w:tc>
          <w:tcPr>
            <w:tcW w:w="723" w:type="dxa"/>
            <w:shd w:val="clear" w:color="auto" w:fill="auto"/>
            <w:noWrap/>
            <w:vAlign w:val="bottom"/>
            <w:hideMark/>
          </w:tcPr>
          <w:p w14:paraId="36CD1F92"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23" w:type="dxa"/>
            <w:shd w:val="clear" w:color="auto" w:fill="auto"/>
            <w:noWrap/>
            <w:vAlign w:val="bottom"/>
            <w:hideMark/>
          </w:tcPr>
          <w:p w14:paraId="764106F1"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0.37</w:t>
            </w:r>
          </w:p>
        </w:tc>
        <w:tc>
          <w:tcPr>
            <w:tcW w:w="723" w:type="dxa"/>
            <w:shd w:val="clear" w:color="auto" w:fill="auto"/>
            <w:noWrap/>
            <w:vAlign w:val="bottom"/>
            <w:hideMark/>
          </w:tcPr>
          <w:p w14:paraId="37B442C3"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0.74</w:t>
            </w:r>
          </w:p>
        </w:tc>
        <w:tc>
          <w:tcPr>
            <w:tcW w:w="724" w:type="dxa"/>
            <w:shd w:val="clear" w:color="auto" w:fill="auto"/>
            <w:noWrap/>
            <w:vAlign w:val="bottom"/>
            <w:hideMark/>
          </w:tcPr>
          <w:p w14:paraId="19720C62"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1.11</w:t>
            </w:r>
          </w:p>
        </w:tc>
        <w:tc>
          <w:tcPr>
            <w:tcW w:w="723" w:type="dxa"/>
            <w:shd w:val="clear" w:color="auto" w:fill="auto"/>
            <w:noWrap/>
            <w:vAlign w:val="bottom"/>
            <w:hideMark/>
          </w:tcPr>
          <w:p w14:paraId="4751C166"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1.48</w:t>
            </w:r>
          </w:p>
        </w:tc>
        <w:tc>
          <w:tcPr>
            <w:tcW w:w="723" w:type="dxa"/>
            <w:shd w:val="clear" w:color="auto" w:fill="auto"/>
            <w:noWrap/>
            <w:vAlign w:val="bottom"/>
            <w:hideMark/>
          </w:tcPr>
          <w:p w14:paraId="26754FEE"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1.85</w:t>
            </w:r>
          </w:p>
        </w:tc>
        <w:tc>
          <w:tcPr>
            <w:tcW w:w="724" w:type="dxa"/>
            <w:shd w:val="clear" w:color="auto" w:fill="auto"/>
            <w:noWrap/>
            <w:vAlign w:val="bottom"/>
            <w:hideMark/>
          </w:tcPr>
          <w:p w14:paraId="7D882A2F"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2.22</w:t>
            </w:r>
          </w:p>
        </w:tc>
      </w:tr>
      <w:tr w:rsidR="009C2EB0" w:rsidRPr="00664D52" w14:paraId="1F1FF41B" w14:textId="77777777" w:rsidTr="00C138C5">
        <w:trPr>
          <w:trHeight w:val="328"/>
        </w:trPr>
        <w:tc>
          <w:tcPr>
            <w:tcW w:w="1016" w:type="dxa"/>
            <w:vMerge/>
            <w:vAlign w:val="center"/>
            <w:hideMark/>
          </w:tcPr>
          <w:p w14:paraId="57EC6E8A"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576" w:type="dxa"/>
            <w:shd w:val="clear" w:color="auto" w:fill="auto"/>
            <w:noWrap/>
            <w:vAlign w:val="center"/>
            <w:hideMark/>
          </w:tcPr>
          <w:p w14:paraId="24598491"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0.1</w:t>
            </w:r>
          </w:p>
        </w:tc>
        <w:tc>
          <w:tcPr>
            <w:tcW w:w="723" w:type="dxa"/>
            <w:shd w:val="clear" w:color="auto" w:fill="auto"/>
            <w:noWrap/>
            <w:vAlign w:val="bottom"/>
            <w:hideMark/>
          </w:tcPr>
          <w:p w14:paraId="193F7FC0"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0.29</w:t>
            </w:r>
          </w:p>
        </w:tc>
        <w:tc>
          <w:tcPr>
            <w:tcW w:w="723" w:type="dxa"/>
            <w:shd w:val="clear" w:color="auto" w:fill="auto"/>
            <w:noWrap/>
            <w:vAlign w:val="bottom"/>
            <w:hideMark/>
          </w:tcPr>
          <w:p w14:paraId="3414B0C2"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0.66</w:t>
            </w:r>
          </w:p>
        </w:tc>
        <w:tc>
          <w:tcPr>
            <w:tcW w:w="723" w:type="dxa"/>
            <w:shd w:val="clear" w:color="auto" w:fill="auto"/>
            <w:noWrap/>
            <w:vAlign w:val="bottom"/>
            <w:hideMark/>
          </w:tcPr>
          <w:p w14:paraId="18CDCB4F"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1.03</w:t>
            </w:r>
          </w:p>
        </w:tc>
        <w:tc>
          <w:tcPr>
            <w:tcW w:w="724" w:type="dxa"/>
            <w:shd w:val="clear" w:color="auto" w:fill="auto"/>
            <w:noWrap/>
            <w:vAlign w:val="bottom"/>
            <w:hideMark/>
          </w:tcPr>
          <w:p w14:paraId="29FD5E75"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1.40</w:t>
            </w:r>
          </w:p>
        </w:tc>
        <w:tc>
          <w:tcPr>
            <w:tcW w:w="723" w:type="dxa"/>
            <w:shd w:val="clear" w:color="auto" w:fill="auto"/>
            <w:noWrap/>
            <w:vAlign w:val="bottom"/>
            <w:hideMark/>
          </w:tcPr>
          <w:p w14:paraId="781D704A"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1.77</w:t>
            </w:r>
          </w:p>
        </w:tc>
        <w:tc>
          <w:tcPr>
            <w:tcW w:w="723" w:type="dxa"/>
            <w:shd w:val="clear" w:color="auto" w:fill="auto"/>
            <w:noWrap/>
            <w:vAlign w:val="bottom"/>
            <w:hideMark/>
          </w:tcPr>
          <w:p w14:paraId="1C69B328"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2.14</w:t>
            </w:r>
          </w:p>
        </w:tc>
        <w:tc>
          <w:tcPr>
            <w:tcW w:w="724" w:type="dxa"/>
            <w:shd w:val="clear" w:color="auto" w:fill="auto"/>
            <w:noWrap/>
            <w:vAlign w:val="bottom"/>
            <w:hideMark/>
          </w:tcPr>
          <w:p w14:paraId="1E0ACB24"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2.51</w:t>
            </w:r>
          </w:p>
        </w:tc>
      </w:tr>
      <w:tr w:rsidR="009C2EB0" w:rsidRPr="00664D52" w14:paraId="2B219572" w14:textId="77777777" w:rsidTr="00C138C5">
        <w:trPr>
          <w:trHeight w:val="328"/>
        </w:trPr>
        <w:tc>
          <w:tcPr>
            <w:tcW w:w="1016" w:type="dxa"/>
            <w:vMerge/>
            <w:vAlign w:val="center"/>
            <w:hideMark/>
          </w:tcPr>
          <w:p w14:paraId="27E462FD"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576" w:type="dxa"/>
            <w:shd w:val="clear" w:color="auto" w:fill="auto"/>
            <w:noWrap/>
            <w:vAlign w:val="center"/>
            <w:hideMark/>
          </w:tcPr>
          <w:p w14:paraId="7FB639B5"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0.2</w:t>
            </w:r>
          </w:p>
        </w:tc>
        <w:tc>
          <w:tcPr>
            <w:tcW w:w="723" w:type="dxa"/>
            <w:shd w:val="clear" w:color="auto" w:fill="auto"/>
            <w:noWrap/>
            <w:vAlign w:val="bottom"/>
            <w:hideMark/>
          </w:tcPr>
          <w:p w14:paraId="0CD0BEA2"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0.58</w:t>
            </w:r>
          </w:p>
        </w:tc>
        <w:tc>
          <w:tcPr>
            <w:tcW w:w="723" w:type="dxa"/>
            <w:shd w:val="clear" w:color="auto" w:fill="auto"/>
            <w:noWrap/>
            <w:vAlign w:val="bottom"/>
            <w:hideMark/>
          </w:tcPr>
          <w:p w14:paraId="3F2DF34A"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0.95</w:t>
            </w:r>
          </w:p>
        </w:tc>
        <w:tc>
          <w:tcPr>
            <w:tcW w:w="723" w:type="dxa"/>
            <w:shd w:val="clear" w:color="auto" w:fill="auto"/>
            <w:noWrap/>
            <w:vAlign w:val="bottom"/>
            <w:hideMark/>
          </w:tcPr>
          <w:p w14:paraId="60DB3EB0"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1.32</w:t>
            </w:r>
          </w:p>
        </w:tc>
        <w:tc>
          <w:tcPr>
            <w:tcW w:w="724" w:type="dxa"/>
            <w:shd w:val="clear" w:color="auto" w:fill="auto"/>
            <w:noWrap/>
            <w:vAlign w:val="bottom"/>
            <w:hideMark/>
          </w:tcPr>
          <w:p w14:paraId="5600D9DA"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1.69</w:t>
            </w:r>
          </w:p>
        </w:tc>
        <w:tc>
          <w:tcPr>
            <w:tcW w:w="723" w:type="dxa"/>
            <w:shd w:val="clear" w:color="auto" w:fill="auto"/>
            <w:noWrap/>
            <w:vAlign w:val="bottom"/>
            <w:hideMark/>
          </w:tcPr>
          <w:p w14:paraId="79B259F5"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2.06</w:t>
            </w:r>
          </w:p>
        </w:tc>
        <w:tc>
          <w:tcPr>
            <w:tcW w:w="723" w:type="dxa"/>
            <w:shd w:val="clear" w:color="auto" w:fill="auto"/>
            <w:noWrap/>
            <w:vAlign w:val="bottom"/>
            <w:hideMark/>
          </w:tcPr>
          <w:p w14:paraId="4A31FD12"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2.43</w:t>
            </w:r>
          </w:p>
        </w:tc>
        <w:tc>
          <w:tcPr>
            <w:tcW w:w="724" w:type="dxa"/>
            <w:shd w:val="clear" w:color="auto" w:fill="auto"/>
            <w:noWrap/>
            <w:vAlign w:val="bottom"/>
            <w:hideMark/>
          </w:tcPr>
          <w:p w14:paraId="7AC6791F"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2.80</w:t>
            </w:r>
          </w:p>
        </w:tc>
      </w:tr>
      <w:tr w:rsidR="009C2EB0" w:rsidRPr="00664D52" w14:paraId="78424F3B" w14:textId="77777777" w:rsidTr="00C138C5">
        <w:trPr>
          <w:trHeight w:val="328"/>
        </w:trPr>
        <w:tc>
          <w:tcPr>
            <w:tcW w:w="1016" w:type="dxa"/>
            <w:vMerge/>
            <w:vAlign w:val="center"/>
            <w:hideMark/>
          </w:tcPr>
          <w:p w14:paraId="426F0191"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576" w:type="dxa"/>
            <w:shd w:val="clear" w:color="auto" w:fill="auto"/>
            <w:noWrap/>
            <w:vAlign w:val="center"/>
            <w:hideMark/>
          </w:tcPr>
          <w:p w14:paraId="379BF8A2"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0.3</w:t>
            </w:r>
          </w:p>
        </w:tc>
        <w:tc>
          <w:tcPr>
            <w:tcW w:w="723" w:type="dxa"/>
            <w:shd w:val="clear" w:color="auto" w:fill="auto"/>
            <w:noWrap/>
            <w:vAlign w:val="bottom"/>
            <w:hideMark/>
          </w:tcPr>
          <w:p w14:paraId="759E3A56"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0.87</w:t>
            </w:r>
          </w:p>
        </w:tc>
        <w:tc>
          <w:tcPr>
            <w:tcW w:w="723" w:type="dxa"/>
            <w:shd w:val="clear" w:color="auto" w:fill="auto"/>
            <w:noWrap/>
            <w:vAlign w:val="bottom"/>
            <w:hideMark/>
          </w:tcPr>
          <w:p w14:paraId="5230ED20"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1.24</w:t>
            </w:r>
          </w:p>
        </w:tc>
        <w:tc>
          <w:tcPr>
            <w:tcW w:w="723" w:type="dxa"/>
            <w:shd w:val="clear" w:color="auto" w:fill="auto"/>
            <w:noWrap/>
            <w:vAlign w:val="bottom"/>
            <w:hideMark/>
          </w:tcPr>
          <w:p w14:paraId="3A05D671"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1.61</w:t>
            </w:r>
          </w:p>
        </w:tc>
        <w:tc>
          <w:tcPr>
            <w:tcW w:w="724" w:type="dxa"/>
            <w:shd w:val="clear" w:color="auto" w:fill="auto"/>
            <w:noWrap/>
            <w:vAlign w:val="bottom"/>
            <w:hideMark/>
          </w:tcPr>
          <w:p w14:paraId="0D008385"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1.98</w:t>
            </w:r>
          </w:p>
        </w:tc>
        <w:tc>
          <w:tcPr>
            <w:tcW w:w="723" w:type="dxa"/>
            <w:shd w:val="clear" w:color="auto" w:fill="auto"/>
            <w:noWrap/>
            <w:vAlign w:val="bottom"/>
            <w:hideMark/>
          </w:tcPr>
          <w:p w14:paraId="67C25051"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2.35</w:t>
            </w:r>
          </w:p>
        </w:tc>
        <w:tc>
          <w:tcPr>
            <w:tcW w:w="723" w:type="dxa"/>
            <w:shd w:val="clear" w:color="auto" w:fill="auto"/>
            <w:noWrap/>
            <w:vAlign w:val="bottom"/>
            <w:hideMark/>
          </w:tcPr>
          <w:p w14:paraId="24902CD0"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2.72</w:t>
            </w:r>
          </w:p>
        </w:tc>
        <w:tc>
          <w:tcPr>
            <w:tcW w:w="724" w:type="dxa"/>
            <w:shd w:val="clear" w:color="auto" w:fill="auto"/>
            <w:noWrap/>
            <w:vAlign w:val="bottom"/>
            <w:hideMark/>
          </w:tcPr>
          <w:p w14:paraId="4A13E4EE"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3.09</w:t>
            </w:r>
          </w:p>
        </w:tc>
      </w:tr>
      <w:tr w:rsidR="009C2EB0" w:rsidRPr="00664D52" w14:paraId="002C9B84" w14:textId="77777777" w:rsidTr="00C138C5">
        <w:trPr>
          <w:trHeight w:val="328"/>
        </w:trPr>
        <w:tc>
          <w:tcPr>
            <w:tcW w:w="1016" w:type="dxa"/>
            <w:vMerge/>
            <w:vAlign w:val="center"/>
            <w:hideMark/>
          </w:tcPr>
          <w:p w14:paraId="22E6834C"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576" w:type="dxa"/>
            <w:shd w:val="clear" w:color="auto" w:fill="auto"/>
            <w:noWrap/>
            <w:vAlign w:val="center"/>
            <w:hideMark/>
          </w:tcPr>
          <w:p w14:paraId="0047ADA4"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0.4</w:t>
            </w:r>
          </w:p>
        </w:tc>
        <w:tc>
          <w:tcPr>
            <w:tcW w:w="723" w:type="dxa"/>
            <w:shd w:val="clear" w:color="auto" w:fill="auto"/>
            <w:noWrap/>
            <w:vAlign w:val="bottom"/>
            <w:hideMark/>
          </w:tcPr>
          <w:p w14:paraId="58DD1470"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1.16</w:t>
            </w:r>
          </w:p>
        </w:tc>
        <w:tc>
          <w:tcPr>
            <w:tcW w:w="723" w:type="dxa"/>
            <w:shd w:val="clear" w:color="auto" w:fill="auto"/>
            <w:noWrap/>
            <w:vAlign w:val="bottom"/>
            <w:hideMark/>
          </w:tcPr>
          <w:p w14:paraId="3465FECE"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1.53</w:t>
            </w:r>
          </w:p>
        </w:tc>
        <w:tc>
          <w:tcPr>
            <w:tcW w:w="723" w:type="dxa"/>
            <w:shd w:val="clear" w:color="auto" w:fill="auto"/>
            <w:noWrap/>
            <w:vAlign w:val="bottom"/>
            <w:hideMark/>
          </w:tcPr>
          <w:p w14:paraId="47ECFF33"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1.90</w:t>
            </w:r>
          </w:p>
        </w:tc>
        <w:tc>
          <w:tcPr>
            <w:tcW w:w="724" w:type="dxa"/>
            <w:shd w:val="clear" w:color="auto" w:fill="auto"/>
            <w:noWrap/>
            <w:vAlign w:val="bottom"/>
            <w:hideMark/>
          </w:tcPr>
          <w:p w14:paraId="6A07239D"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2.27</w:t>
            </w:r>
          </w:p>
        </w:tc>
        <w:tc>
          <w:tcPr>
            <w:tcW w:w="723" w:type="dxa"/>
            <w:shd w:val="clear" w:color="auto" w:fill="auto"/>
            <w:noWrap/>
            <w:vAlign w:val="bottom"/>
            <w:hideMark/>
          </w:tcPr>
          <w:p w14:paraId="2EEE20F1"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2.64</w:t>
            </w:r>
          </w:p>
        </w:tc>
        <w:tc>
          <w:tcPr>
            <w:tcW w:w="723" w:type="dxa"/>
            <w:shd w:val="clear" w:color="auto" w:fill="auto"/>
            <w:noWrap/>
            <w:vAlign w:val="bottom"/>
            <w:hideMark/>
          </w:tcPr>
          <w:p w14:paraId="00728E67"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3.01</w:t>
            </w:r>
          </w:p>
        </w:tc>
        <w:tc>
          <w:tcPr>
            <w:tcW w:w="724" w:type="dxa"/>
            <w:shd w:val="clear" w:color="auto" w:fill="auto"/>
            <w:noWrap/>
            <w:vAlign w:val="bottom"/>
            <w:hideMark/>
          </w:tcPr>
          <w:p w14:paraId="45CDB885"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3.38</w:t>
            </w:r>
          </w:p>
        </w:tc>
      </w:tr>
      <w:tr w:rsidR="009C2EB0" w:rsidRPr="00664D52" w14:paraId="420EC9AC" w14:textId="77777777" w:rsidTr="00C138C5">
        <w:trPr>
          <w:trHeight w:val="328"/>
        </w:trPr>
        <w:tc>
          <w:tcPr>
            <w:tcW w:w="1016" w:type="dxa"/>
            <w:vMerge/>
            <w:vAlign w:val="center"/>
            <w:hideMark/>
          </w:tcPr>
          <w:p w14:paraId="4A56C3AF"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576" w:type="dxa"/>
            <w:shd w:val="clear" w:color="auto" w:fill="auto"/>
            <w:noWrap/>
            <w:vAlign w:val="center"/>
            <w:hideMark/>
          </w:tcPr>
          <w:p w14:paraId="7D9DFB45"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0.5</w:t>
            </w:r>
          </w:p>
        </w:tc>
        <w:tc>
          <w:tcPr>
            <w:tcW w:w="723" w:type="dxa"/>
            <w:shd w:val="clear" w:color="auto" w:fill="auto"/>
            <w:noWrap/>
            <w:vAlign w:val="bottom"/>
            <w:hideMark/>
          </w:tcPr>
          <w:p w14:paraId="30BD8778"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1.45</w:t>
            </w:r>
          </w:p>
        </w:tc>
        <w:tc>
          <w:tcPr>
            <w:tcW w:w="723" w:type="dxa"/>
            <w:shd w:val="clear" w:color="auto" w:fill="auto"/>
            <w:noWrap/>
            <w:vAlign w:val="bottom"/>
            <w:hideMark/>
          </w:tcPr>
          <w:p w14:paraId="7202D4BE"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1.82</w:t>
            </w:r>
          </w:p>
        </w:tc>
        <w:tc>
          <w:tcPr>
            <w:tcW w:w="723" w:type="dxa"/>
            <w:shd w:val="clear" w:color="auto" w:fill="auto"/>
            <w:noWrap/>
            <w:vAlign w:val="bottom"/>
            <w:hideMark/>
          </w:tcPr>
          <w:p w14:paraId="71A8682B"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2.19</w:t>
            </w:r>
          </w:p>
        </w:tc>
        <w:tc>
          <w:tcPr>
            <w:tcW w:w="724" w:type="dxa"/>
            <w:shd w:val="clear" w:color="auto" w:fill="auto"/>
            <w:noWrap/>
            <w:vAlign w:val="bottom"/>
            <w:hideMark/>
          </w:tcPr>
          <w:p w14:paraId="64B1303B"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2.56</w:t>
            </w:r>
          </w:p>
        </w:tc>
        <w:tc>
          <w:tcPr>
            <w:tcW w:w="723" w:type="dxa"/>
            <w:shd w:val="clear" w:color="auto" w:fill="auto"/>
            <w:noWrap/>
            <w:vAlign w:val="bottom"/>
            <w:hideMark/>
          </w:tcPr>
          <w:p w14:paraId="7C9435F3"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2.93</w:t>
            </w:r>
          </w:p>
        </w:tc>
        <w:tc>
          <w:tcPr>
            <w:tcW w:w="723" w:type="dxa"/>
            <w:shd w:val="clear" w:color="auto" w:fill="auto"/>
            <w:noWrap/>
            <w:vAlign w:val="bottom"/>
            <w:hideMark/>
          </w:tcPr>
          <w:p w14:paraId="5CE6A868"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3.30</w:t>
            </w:r>
          </w:p>
        </w:tc>
        <w:tc>
          <w:tcPr>
            <w:tcW w:w="724" w:type="dxa"/>
            <w:shd w:val="clear" w:color="auto" w:fill="auto"/>
            <w:noWrap/>
            <w:vAlign w:val="bottom"/>
            <w:hideMark/>
          </w:tcPr>
          <w:p w14:paraId="17D784CF"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3.67</w:t>
            </w:r>
          </w:p>
        </w:tc>
      </w:tr>
      <w:tr w:rsidR="009C2EB0" w:rsidRPr="00664D52" w14:paraId="44DEE8AE" w14:textId="77777777" w:rsidTr="00C138C5">
        <w:trPr>
          <w:trHeight w:val="328"/>
        </w:trPr>
        <w:tc>
          <w:tcPr>
            <w:tcW w:w="1016" w:type="dxa"/>
            <w:vMerge/>
            <w:vAlign w:val="center"/>
            <w:hideMark/>
          </w:tcPr>
          <w:p w14:paraId="4C5BA878"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576" w:type="dxa"/>
            <w:shd w:val="clear" w:color="auto" w:fill="auto"/>
            <w:noWrap/>
            <w:vAlign w:val="center"/>
            <w:hideMark/>
          </w:tcPr>
          <w:p w14:paraId="735AED64"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0.6</w:t>
            </w:r>
          </w:p>
        </w:tc>
        <w:tc>
          <w:tcPr>
            <w:tcW w:w="723" w:type="dxa"/>
            <w:shd w:val="clear" w:color="auto" w:fill="auto"/>
            <w:noWrap/>
            <w:vAlign w:val="bottom"/>
            <w:hideMark/>
          </w:tcPr>
          <w:p w14:paraId="02520174"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1.74</w:t>
            </w:r>
          </w:p>
        </w:tc>
        <w:tc>
          <w:tcPr>
            <w:tcW w:w="723" w:type="dxa"/>
            <w:shd w:val="clear" w:color="auto" w:fill="auto"/>
            <w:noWrap/>
            <w:vAlign w:val="bottom"/>
            <w:hideMark/>
          </w:tcPr>
          <w:p w14:paraId="1F0E76D1"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2.11</w:t>
            </w:r>
          </w:p>
        </w:tc>
        <w:tc>
          <w:tcPr>
            <w:tcW w:w="723" w:type="dxa"/>
            <w:shd w:val="clear" w:color="auto" w:fill="auto"/>
            <w:noWrap/>
            <w:vAlign w:val="bottom"/>
            <w:hideMark/>
          </w:tcPr>
          <w:p w14:paraId="08F0E1D6"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2.48</w:t>
            </w:r>
          </w:p>
        </w:tc>
        <w:tc>
          <w:tcPr>
            <w:tcW w:w="724" w:type="dxa"/>
            <w:shd w:val="clear" w:color="auto" w:fill="auto"/>
            <w:noWrap/>
            <w:vAlign w:val="bottom"/>
            <w:hideMark/>
          </w:tcPr>
          <w:p w14:paraId="1C1471D0"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2.85</w:t>
            </w:r>
          </w:p>
        </w:tc>
        <w:tc>
          <w:tcPr>
            <w:tcW w:w="723" w:type="dxa"/>
            <w:shd w:val="clear" w:color="auto" w:fill="auto"/>
            <w:noWrap/>
            <w:vAlign w:val="bottom"/>
            <w:hideMark/>
          </w:tcPr>
          <w:p w14:paraId="575EEC56"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3.22</w:t>
            </w:r>
          </w:p>
        </w:tc>
        <w:tc>
          <w:tcPr>
            <w:tcW w:w="723" w:type="dxa"/>
            <w:shd w:val="clear" w:color="auto" w:fill="auto"/>
            <w:noWrap/>
            <w:vAlign w:val="bottom"/>
            <w:hideMark/>
          </w:tcPr>
          <w:p w14:paraId="6F9D8CC9"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3.59</w:t>
            </w:r>
          </w:p>
        </w:tc>
        <w:tc>
          <w:tcPr>
            <w:tcW w:w="724" w:type="dxa"/>
            <w:shd w:val="clear" w:color="auto" w:fill="auto"/>
            <w:noWrap/>
            <w:vAlign w:val="bottom"/>
            <w:hideMark/>
          </w:tcPr>
          <w:p w14:paraId="0A2EEA4B"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3.96</w:t>
            </w:r>
          </w:p>
        </w:tc>
      </w:tr>
    </w:tbl>
    <w:p w14:paraId="36914636" w14:textId="77777777" w:rsidR="009C2EB0" w:rsidRPr="00664D52" w:rsidRDefault="009C2EB0" w:rsidP="009C2EB0">
      <w:pPr>
        <w:keepNext/>
        <w:snapToGrid w:val="0"/>
        <w:spacing w:before="120" w:after="120"/>
        <w:jc w:val="both"/>
        <w:rPr>
          <w:rFonts w:ascii="Helvetica" w:hAnsi="Helvetica" w:cstheme="minorHAnsi"/>
          <w:sz w:val="20"/>
          <w:szCs w:val="20"/>
        </w:rPr>
      </w:pPr>
    </w:p>
    <w:p w14:paraId="7E3F47C7" w14:textId="77777777" w:rsidR="009C2EB0" w:rsidRPr="00664D52" w:rsidRDefault="009C2EB0" w:rsidP="009C2EB0">
      <w:pPr>
        <w:keepNext/>
        <w:snapToGrid w:val="0"/>
        <w:spacing w:before="120" w:after="120"/>
        <w:jc w:val="both"/>
        <w:rPr>
          <w:rFonts w:ascii="Helvetica" w:hAnsi="Helvetica" w:cstheme="minorHAnsi"/>
          <w:sz w:val="20"/>
          <w:szCs w:val="20"/>
        </w:rPr>
      </w:pPr>
    </w:p>
    <w:p w14:paraId="5CB1860B" w14:textId="77777777" w:rsidR="009C2EB0" w:rsidRPr="00664D52" w:rsidRDefault="009C2EB0" w:rsidP="009C2EB0">
      <w:pPr>
        <w:keepNext/>
        <w:snapToGrid w:val="0"/>
        <w:spacing w:before="120" w:after="120"/>
        <w:jc w:val="both"/>
        <w:rPr>
          <w:rFonts w:ascii="Helvetica" w:hAnsi="Helvetica" w:cstheme="minorHAnsi"/>
          <w:sz w:val="20"/>
          <w:szCs w:val="20"/>
        </w:rPr>
      </w:pPr>
    </w:p>
    <w:p w14:paraId="21702B71" w14:textId="77777777" w:rsidR="009C2EB0" w:rsidRPr="00664D52" w:rsidRDefault="009C2EB0" w:rsidP="009C2EB0">
      <w:pPr>
        <w:keepNext/>
        <w:snapToGrid w:val="0"/>
        <w:spacing w:before="120" w:after="120"/>
        <w:jc w:val="both"/>
        <w:rPr>
          <w:rFonts w:ascii="Helvetica" w:hAnsi="Helvetica" w:cstheme="minorHAnsi"/>
          <w:sz w:val="20"/>
          <w:szCs w:val="20"/>
        </w:rPr>
      </w:pPr>
    </w:p>
    <w:p w14:paraId="673F408D" w14:textId="77777777" w:rsidR="009C2EB0" w:rsidRPr="00664D52" w:rsidRDefault="009C2EB0" w:rsidP="009C2EB0">
      <w:pPr>
        <w:keepNext/>
        <w:snapToGrid w:val="0"/>
        <w:spacing w:before="120" w:after="120"/>
        <w:jc w:val="both"/>
        <w:rPr>
          <w:rFonts w:ascii="Helvetica" w:hAnsi="Helvetica" w:cstheme="minorHAnsi"/>
          <w:sz w:val="20"/>
          <w:szCs w:val="20"/>
        </w:rPr>
      </w:pPr>
    </w:p>
    <w:p w14:paraId="009C4B66" w14:textId="77777777" w:rsidR="009C2EB0" w:rsidRPr="00664D52" w:rsidRDefault="009C2EB0" w:rsidP="009C2EB0">
      <w:pPr>
        <w:keepNext/>
        <w:snapToGrid w:val="0"/>
        <w:spacing w:before="120" w:after="120"/>
        <w:jc w:val="both"/>
        <w:rPr>
          <w:rFonts w:ascii="Helvetica" w:hAnsi="Helvetica" w:cstheme="minorHAnsi"/>
          <w:sz w:val="20"/>
          <w:szCs w:val="20"/>
        </w:rPr>
      </w:pPr>
    </w:p>
    <w:p w14:paraId="07054A4C" w14:textId="77777777" w:rsidR="009C2EB0" w:rsidRPr="00664D52" w:rsidRDefault="009C2EB0" w:rsidP="009C2EB0">
      <w:pPr>
        <w:keepNext/>
        <w:snapToGrid w:val="0"/>
        <w:spacing w:before="120" w:after="120"/>
        <w:jc w:val="both"/>
        <w:rPr>
          <w:rFonts w:ascii="Helvetica" w:hAnsi="Helvetica" w:cstheme="minorHAnsi"/>
          <w:sz w:val="20"/>
          <w:szCs w:val="20"/>
        </w:rPr>
      </w:pPr>
    </w:p>
    <w:p w14:paraId="70FFE899" w14:textId="77777777" w:rsidR="009C2EB0" w:rsidRPr="00664D52" w:rsidRDefault="009C2EB0" w:rsidP="009C2EB0">
      <w:pPr>
        <w:keepNext/>
        <w:snapToGrid w:val="0"/>
        <w:spacing w:before="120" w:after="120"/>
        <w:jc w:val="both"/>
        <w:rPr>
          <w:rFonts w:ascii="Helvetica" w:hAnsi="Helvetica" w:cstheme="minorHAnsi"/>
          <w:sz w:val="20"/>
          <w:szCs w:val="20"/>
        </w:rPr>
      </w:pPr>
    </w:p>
    <w:p w14:paraId="1E6C9DBE" w14:textId="77777777" w:rsidR="009C2EB0" w:rsidRPr="00664D52" w:rsidRDefault="009C2EB0">
      <w:pPr>
        <w:rPr>
          <w:rFonts w:ascii="Helvetica" w:hAnsi="Helvetica" w:cstheme="minorHAnsi"/>
          <w:sz w:val="20"/>
          <w:szCs w:val="20"/>
        </w:rPr>
      </w:pPr>
    </w:p>
    <w:p w14:paraId="6DAC9385" w14:textId="77777777" w:rsidR="009C2EB0" w:rsidRPr="00664D52" w:rsidRDefault="009C2EB0">
      <w:pPr>
        <w:rPr>
          <w:rFonts w:ascii="Helvetica" w:hAnsi="Helvetica" w:cstheme="minorHAnsi"/>
          <w:sz w:val="20"/>
          <w:szCs w:val="20"/>
        </w:rPr>
      </w:pPr>
    </w:p>
    <w:p w14:paraId="0AB3E99A" w14:textId="71C93011" w:rsidR="009C2EB0" w:rsidRPr="00664D52" w:rsidRDefault="009C2EB0">
      <w:pPr>
        <w:rPr>
          <w:rFonts w:ascii="Helvetica" w:hAnsi="Helvetica" w:cstheme="minorHAnsi"/>
          <w:sz w:val="20"/>
          <w:szCs w:val="20"/>
        </w:rPr>
      </w:pPr>
    </w:p>
    <w:p w14:paraId="4E45F8C8" w14:textId="7C7119AA" w:rsidR="00C26488" w:rsidRPr="00664D52" w:rsidRDefault="00C26488">
      <w:pPr>
        <w:rPr>
          <w:rFonts w:ascii="Helvetica" w:hAnsi="Helvetica" w:cstheme="minorHAnsi"/>
          <w:sz w:val="20"/>
          <w:szCs w:val="20"/>
        </w:rPr>
      </w:pPr>
    </w:p>
    <w:p w14:paraId="19F29B40" w14:textId="0B3AAFE8" w:rsidR="00C26488" w:rsidRPr="00664D52" w:rsidRDefault="00C26488">
      <w:pPr>
        <w:rPr>
          <w:rFonts w:ascii="Helvetica" w:hAnsi="Helvetica" w:cstheme="minorHAnsi"/>
          <w:sz w:val="20"/>
          <w:szCs w:val="20"/>
        </w:rPr>
      </w:pPr>
    </w:p>
    <w:p w14:paraId="657B1FF6" w14:textId="3F86018D" w:rsidR="00C26488" w:rsidRPr="00664D52" w:rsidRDefault="00C26488">
      <w:pPr>
        <w:rPr>
          <w:rFonts w:ascii="Helvetica" w:hAnsi="Helvetica" w:cstheme="minorHAnsi"/>
          <w:sz w:val="20"/>
          <w:szCs w:val="20"/>
        </w:rPr>
      </w:pPr>
    </w:p>
    <w:p w14:paraId="12F64841" w14:textId="0D3EAAC7" w:rsidR="00C26488" w:rsidRPr="00664D52" w:rsidRDefault="00C26488">
      <w:pPr>
        <w:rPr>
          <w:rFonts w:ascii="Helvetica" w:hAnsi="Helvetica" w:cstheme="minorHAnsi"/>
          <w:sz w:val="20"/>
          <w:szCs w:val="20"/>
        </w:rPr>
      </w:pPr>
    </w:p>
    <w:p w14:paraId="382A3A82" w14:textId="77777777" w:rsidR="00C26488" w:rsidRPr="00664D52" w:rsidRDefault="00C26488">
      <w:pPr>
        <w:rPr>
          <w:rFonts w:ascii="Helvetica" w:hAnsi="Helvetica" w:cstheme="minorHAnsi"/>
          <w:sz w:val="20"/>
          <w:szCs w:val="20"/>
        </w:rPr>
      </w:pPr>
    </w:p>
    <w:p w14:paraId="7A495726" w14:textId="77777777" w:rsidR="00C26488" w:rsidRPr="00664D52" w:rsidRDefault="00C26488">
      <w:pPr>
        <w:rPr>
          <w:rFonts w:ascii="Helvetica" w:hAnsi="Helvetica" w:cstheme="minorHAnsi"/>
          <w:sz w:val="20"/>
          <w:szCs w:val="20"/>
        </w:rPr>
      </w:pPr>
    </w:p>
    <w:p w14:paraId="3C6A7C24" w14:textId="28730640" w:rsidR="009C2EB0" w:rsidRPr="00664D52" w:rsidRDefault="009C2EB0" w:rsidP="009C2EB0">
      <w:pPr>
        <w:keepNext/>
        <w:snapToGrid w:val="0"/>
        <w:spacing w:before="120" w:after="120"/>
        <w:jc w:val="both"/>
        <w:rPr>
          <w:rFonts w:ascii="Helvetica" w:hAnsi="Helvetica" w:cstheme="minorHAnsi"/>
          <w:sz w:val="20"/>
          <w:szCs w:val="20"/>
        </w:rPr>
      </w:pPr>
      <w:r w:rsidRPr="00664D52">
        <w:rPr>
          <w:rFonts w:ascii="Helvetica" w:hAnsi="Helvetica" w:cstheme="minorHAnsi"/>
          <w:b/>
          <w:bCs/>
          <w:sz w:val="20"/>
          <w:szCs w:val="20"/>
        </w:rPr>
        <w:t>Supplementary Table 3 |</w:t>
      </w:r>
      <w:r w:rsidRPr="00664D52">
        <w:rPr>
          <w:rFonts w:ascii="Helvetica" w:hAnsi="Helvetica" w:cstheme="minorHAnsi"/>
          <w:sz w:val="20"/>
          <w:szCs w:val="20"/>
        </w:rPr>
        <w:t xml:space="preserve"> HEFA Fuel Costs in USD/liter</w:t>
      </w:r>
    </w:p>
    <w:tbl>
      <w:tblPr>
        <w:tblW w:w="8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594"/>
        <w:gridCol w:w="769"/>
        <w:gridCol w:w="770"/>
        <w:gridCol w:w="769"/>
        <w:gridCol w:w="770"/>
        <w:gridCol w:w="769"/>
        <w:gridCol w:w="770"/>
        <w:gridCol w:w="769"/>
        <w:gridCol w:w="770"/>
      </w:tblGrid>
      <w:tr w:rsidR="009C2EB0" w:rsidRPr="00664D52" w14:paraId="20E5F5A4" w14:textId="77777777" w:rsidTr="00C138C5">
        <w:trPr>
          <w:trHeight w:val="305"/>
        </w:trPr>
        <w:tc>
          <w:tcPr>
            <w:tcW w:w="1849" w:type="dxa"/>
            <w:gridSpan w:val="2"/>
            <w:vMerge w:val="restart"/>
            <w:shd w:val="clear" w:color="auto" w:fill="auto"/>
            <w:vAlign w:val="center"/>
            <w:hideMark/>
          </w:tcPr>
          <w:p w14:paraId="5C2950E9"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 </w:t>
            </w:r>
          </w:p>
        </w:tc>
        <w:tc>
          <w:tcPr>
            <w:tcW w:w="6156" w:type="dxa"/>
            <w:gridSpan w:val="8"/>
            <w:shd w:val="clear" w:color="auto" w:fill="auto"/>
            <w:noWrap/>
            <w:vAlign w:val="bottom"/>
            <w:hideMark/>
          </w:tcPr>
          <w:p w14:paraId="3811E0B3" w14:textId="77777777" w:rsidR="009C2EB0" w:rsidRPr="00664D52" w:rsidRDefault="009C2EB0" w:rsidP="00C138C5">
            <w:pPr>
              <w:snapToGrid w:val="0"/>
              <w:spacing w:after="120"/>
              <w:jc w:val="center"/>
              <w:rPr>
                <w:rFonts w:ascii="Helvetica" w:eastAsia="Times New Roman" w:hAnsi="Helvetica" w:cstheme="minorHAnsi"/>
                <w:sz w:val="20"/>
                <w:szCs w:val="20"/>
                <w:lang w:eastAsia="en-US"/>
              </w:rPr>
            </w:pPr>
            <w:r w:rsidRPr="00664D52">
              <w:rPr>
                <w:rFonts w:ascii="Helvetica" w:eastAsia="Times New Roman" w:hAnsi="Helvetica" w:cstheme="minorHAnsi"/>
                <w:color w:val="000000"/>
                <w:sz w:val="20"/>
                <w:szCs w:val="20"/>
                <w:lang w:eastAsia="en-US"/>
              </w:rPr>
              <w:t>Inversed Efficiency (kg biomass / kg fuel)</w:t>
            </w:r>
          </w:p>
        </w:tc>
      </w:tr>
      <w:tr w:rsidR="009C2EB0" w:rsidRPr="00664D52" w14:paraId="16D783FD" w14:textId="77777777" w:rsidTr="00C138C5">
        <w:trPr>
          <w:trHeight w:val="340"/>
        </w:trPr>
        <w:tc>
          <w:tcPr>
            <w:tcW w:w="1849" w:type="dxa"/>
            <w:gridSpan w:val="2"/>
            <w:vMerge/>
            <w:shd w:val="clear" w:color="auto" w:fill="auto"/>
            <w:vAlign w:val="center"/>
            <w:hideMark/>
          </w:tcPr>
          <w:p w14:paraId="310D5A6A"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769" w:type="dxa"/>
            <w:shd w:val="clear" w:color="auto" w:fill="auto"/>
            <w:noWrap/>
            <w:vAlign w:val="bottom"/>
            <w:hideMark/>
          </w:tcPr>
          <w:p w14:paraId="68525312"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w:t>
            </w:r>
          </w:p>
        </w:tc>
        <w:tc>
          <w:tcPr>
            <w:tcW w:w="770" w:type="dxa"/>
            <w:shd w:val="clear" w:color="auto" w:fill="auto"/>
            <w:noWrap/>
            <w:vAlign w:val="bottom"/>
            <w:hideMark/>
          </w:tcPr>
          <w:p w14:paraId="3949CD14"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1</w:t>
            </w:r>
          </w:p>
        </w:tc>
        <w:tc>
          <w:tcPr>
            <w:tcW w:w="769" w:type="dxa"/>
            <w:shd w:val="clear" w:color="auto" w:fill="auto"/>
            <w:noWrap/>
            <w:vAlign w:val="bottom"/>
            <w:hideMark/>
          </w:tcPr>
          <w:p w14:paraId="5F4D558D"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2</w:t>
            </w:r>
          </w:p>
        </w:tc>
        <w:tc>
          <w:tcPr>
            <w:tcW w:w="770" w:type="dxa"/>
            <w:shd w:val="clear" w:color="auto" w:fill="auto"/>
            <w:noWrap/>
            <w:vAlign w:val="bottom"/>
            <w:hideMark/>
          </w:tcPr>
          <w:p w14:paraId="34D7E188"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3</w:t>
            </w:r>
          </w:p>
        </w:tc>
        <w:tc>
          <w:tcPr>
            <w:tcW w:w="769" w:type="dxa"/>
            <w:shd w:val="clear" w:color="auto" w:fill="auto"/>
            <w:noWrap/>
            <w:vAlign w:val="bottom"/>
            <w:hideMark/>
          </w:tcPr>
          <w:p w14:paraId="58F3FA0B"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4</w:t>
            </w:r>
          </w:p>
        </w:tc>
        <w:tc>
          <w:tcPr>
            <w:tcW w:w="770" w:type="dxa"/>
            <w:shd w:val="clear" w:color="auto" w:fill="auto"/>
            <w:noWrap/>
            <w:vAlign w:val="bottom"/>
            <w:hideMark/>
          </w:tcPr>
          <w:p w14:paraId="22CC5775"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5</w:t>
            </w:r>
          </w:p>
        </w:tc>
        <w:tc>
          <w:tcPr>
            <w:tcW w:w="769" w:type="dxa"/>
            <w:shd w:val="clear" w:color="auto" w:fill="auto"/>
            <w:noWrap/>
            <w:vAlign w:val="bottom"/>
            <w:hideMark/>
          </w:tcPr>
          <w:p w14:paraId="1443E6B8"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6</w:t>
            </w:r>
          </w:p>
        </w:tc>
        <w:tc>
          <w:tcPr>
            <w:tcW w:w="770" w:type="dxa"/>
            <w:shd w:val="clear" w:color="auto" w:fill="auto"/>
            <w:noWrap/>
            <w:vAlign w:val="bottom"/>
            <w:hideMark/>
          </w:tcPr>
          <w:p w14:paraId="0BF6D1B3"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7</w:t>
            </w:r>
          </w:p>
        </w:tc>
      </w:tr>
      <w:tr w:rsidR="009C2EB0" w:rsidRPr="00664D52" w14:paraId="67E06F9B" w14:textId="77777777" w:rsidTr="00C138C5">
        <w:trPr>
          <w:trHeight w:val="368"/>
        </w:trPr>
        <w:tc>
          <w:tcPr>
            <w:tcW w:w="1255" w:type="dxa"/>
            <w:vMerge w:val="restart"/>
            <w:shd w:val="clear" w:color="auto" w:fill="auto"/>
            <w:vAlign w:val="center"/>
            <w:hideMark/>
          </w:tcPr>
          <w:p w14:paraId="64EF5115"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Feedstock Cost (USD/kg biomass)</w:t>
            </w:r>
          </w:p>
        </w:tc>
        <w:tc>
          <w:tcPr>
            <w:tcW w:w="594" w:type="dxa"/>
            <w:shd w:val="clear" w:color="auto" w:fill="auto"/>
            <w:noWrap/>
            <w:vAlign w:val="center"/>
            <w:hideMark/>
          </w:tcPr>
          <w:p w14:paraId="4C067A1B"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w:t>
            </w:r>
          </w:p>
        </w:tc>
        <w:tc>
          <w:tcPr>
            <w:tcW w:w="769" w:type="dxa"/>
            <w:shd w:val="clear" w:color="auto" w:fill="auto"/>
            <w:noWrap/>
            <w:vAlign w:val="bottom"/>
            <w:hideMark/>
          </w:tcPr>
          <w:p w14:paraId="2F8731BB"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70" w:type="dxa"/>
            <w:shd w:val="clear" w:color="auto" w:fill="auto"/>
            <w:noWrap/>
            <w:vAlign w:val="bottom"/>
            <w:hideMark/>
          </w:tcPr>
          <w:p w14:paraId="708B9731"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0.42</w:t>
            </w:r>
          </w:p>
        </w:tc>
        <w:tc>
          <w:tcPr>
            <w:tcW w:w="769" w:type="dxa"/>
            <w:shd w:val="clear" w:color="auto" w:fill="auto"/>
            <w:noWrap/>
            <w:vAlign w:val="bottom"/>
            <w:hideMark/>
          </w:tcPr>
          <w:p w14:paraId="36341ED9"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0.84</w:t>
            </w:r>
          </w:p>
        </w:tc>
        <w:tc>
          <w:tcPr>
            <w:tcW w:w="770" w:type="dxa"/>
            <w:shd w:val="clear" w:color="auto" w:fill="auto"/>
            <w:noWrap/>
            <w:vAlign w:val="bottom"/>
            <w:hideMark/>
          </w:tcPr>
          <w:p w14:paraId="089041FA"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1.26</w:t>
            </w:r>
          </w:p>
        </w:tc>
        <w:tc>
          <w:tcPr>
            <w:tcW w:w="769" w:type="dxa"/>
            <w:shd w:val="clear" w:color="auto" w:fill="auto"/>
            <w:noWrap/>
            <w:vAlign w:val="bottom"/>
            <w:hideMark/>
          </w:tcPr>
          <w:p w14:paraId="213FD0D0"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1.69</w:t>
            </w:r>
          </w:p>
        </w:tc>
        <w:tc>
          <w:tcPr>
            <w:tcW w:w="770" w:type="dxa"/>
            <w:shd w:val="clear" w:color="auto" w:fill="auto"/>
            <w:noWrap/>
            <w:vAlign w:val="bottom"/>
            <w:hideMark/>
          </w:tcPr>
          <w:p w14:paraId="283A8FDC"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2.11</w:t>
            </w:r>
          </w:p>
        </w:tc>
        <w:tc>
          <w:tcPr>
            <w:tcW w:w="769" w:type="dxa"/>
            <w:shd w:val="clear" w:color="auto" w:fill="auto"/>
            <w:noWrap/>
            <w:vAlign w:val="bottom"/>
            <w:hideMark/>
          </w:tcPr>
          <w:p w14:paraId="69ADABA8"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2.53</w:t>
            </w:r>
          </w:p>
        </w:tc>
        <w:tc>
          <w:tcPr>
            <w:tcW w:w="770" w:type="dxa"/>
            <w:shd w:val="clear" w:color="auto" w:fill="auto"/>
            <w:noWrap/>
            <w:vAlign w:val="bottom"/>
            <w:hideMark/>
          </w:tcPr>
          <w:p w14:paraId="469F49D6"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2.95</w:t>
            </w:r>
          </w:p>
        </w:tc>
      </w:tr>
      <w:tr w:rsidR="009C2EB0" w:rsidRPr="00664D52" w14:paraId="6F234A8A" w14:textId="77777777" w:rsidTr="00C138C5">
        <w:trPr>
          <w:trHeight w:val="368"/>
        </w:trPr>
        <w:tc>
          <w:tcPr>
            <w:tcW w:w="1255" w:type="dxa"/>
            <w:vMerge/>
            <w:vAlign w:val="center"/>
            <w:hideMark/>
          </w:tcPr>
          <w:p w14:paraId="2826777C" w14:textId="77777777" w:rsidR="009C2EB0" w:rsidRPr="00664D52" w:rsidRDefault="009C2EB0" w:rsidP="00C138C5">
            <w:pPr>
              <w:snapToGrid w:val="0"/>
              <w:spacing w:after="120"/>
              <w:rPr>
                <w:rFonts w:ascii="Helvetica" w:eastAsia="Times New Roman" w:hAnsi="Helvetica" w:cstheme="minorHAnsi"/>
                <w:b/>
                <w:bCs/>
                <w:color w:val="000000"/>
                <w:sz w:val="20"/>
                <w:szCs w:val="20"/>
                <w:lang w:eastAsia="en-US"/>
              </w:rPr>
            </w:pPr>
          </w:p>
        </w:tc>
        <w:tc>
          <w:tcPr>
            <w:tcW w:w="594" w:type="dxa"/>
            <w:shd w:val="clear" w:color="auto" w:fill="auto"/>
            <w:noWrap/>
            <w:vAlign w:val="center"/>
            <w:hideMark/>
          </w:tcPr>
          <w:p w14:paraId="66C29248"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0.1</w:t>
            </w:r>
          </w:p>
        </w:tc>
        <w:tc>
          <w:tcPr>
            <w:tcW w:w="769" w:type="dxa"/>
            <w:shd w:val="clear" w:color="auto" w:fill="auto"/>
            <w:noWrap/>
            <w:vAlign w:val="bottom"/>
            <w:hideMark/>
          </w:tcPr>
          <w:p w14:paraId="5172C3E0"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70" w:type="dxa"/>
            <w:shd w:val="clear" w:color="auto" w:fill="auto"/>
            <w:noWrap/>
            <w:vAlign w:val="bottom"/>
            <w:hideMark/>
          </w:tcPr>
          <w:p w14:paraId="3AD13B8C"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0.50</w:t>
            </w:r>
          </w:p>
        </w:tc>
        <w:tc>
          <w:tcPr>
            <w:tcW w:w="769" w:type="dxa"/>
            <w:shd w:val="clear" w:color="auto" w:fill="auto"/>
            <w:noWrap/>
            <w:vAlign w:val="bottom"/>
            <w:hideMark/>
          </w:tcPr>
          <w:p w14:paraId="07E6352B"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1.01</w:t>
            </w:r>
          </w:p>
        </w:tc>
        <w:tc>
          <w:tcPr>
            <w:tcW w:w="770" w:type="dxa"/>
            <w:shd w:val="clear" w:color="auto" w:fill="auto"/>
            <w:noWrap/>
            <w:vAlign w:val="bottom"/>
            <w:hideMark/>
          </w:tcPr>
          <w:p w14:paraId="259254CA"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1.51</w:t>
            </w:r>
          </w:p>
        </w:tc>
        <w:tc>
          <w:tcPr>
            <w:tcW w:w="769" w:type="dxa"/>
            <w:shd w:val="clear" w:color="auto" w:fill="auto"/>
            <w:noWrap/>
            <w:vAlign w:val="bottom"/>
            <w:hideMark/>
          </w:tcPr>
          <w:p w14:paraId="79CB9CA0"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2.02</w:t>
            </w:r>
          </w:p>
        </w:tc>
        <w:tc>
          <w:tcPr>
            <w:tcW w:w="770" w:type="dxa"/>
            <w:shd w:val="clear" w:color="auto" w:fill="auto"/>
            <w:noWrap/>
            <w:vAlign w:val="bottom"/>
            <w:hideMark/>
          </w:tcPr>
          <w:p w14:paraId="13449EC3"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2.52</w:t>
            </w:r>
          </w:p>
        </w:tc>
        <w:tc>
          <w:tcPr>
            <w:tcW w:w="769" w:type="dxa"/>
            <w:shd w:val="clear" w:color="auto" w:fill="auto"/>
            <w:noWrap/>
            <w:vAlign w:val="bottom"/>
            <w:hideMark/>
          </w:tcPr>
          <w:p w14:paraId="4A8B6366"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3.02</w:t>
            </w:r>
          </w:p>
        </w:tc>
        <w:tc>
          <w:tcPr>
            <w:tcW w:w="770" w:type="dxa"/>
            <w:shd w:val="clear" w:color="auto" w:fill="auto"/>
            <w:noWrap/>
            <w:vAlign w:val="bottom"/>
            <w:hideMark/>
          </w:tcPr>
          <w:p w14:paraId="6071219C"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3.53</w:t>
            </w:r>
          </w:p>
        </w:tc>
      </w:tr>
      <w:tr w:rsidR="009C2EB0" w:rsidRPr="00664D52" w14:paraId="04E7A1F6" w14:textId="77777777" w:rsidTr="00C138C5">
        <w:trPr>
          <w:trHeight w:val="368"/>
        </w:trPr>
        <w:tc>
          <w:tcPr>
            <w:tcW w:w="1255" w:type="dxa"/>
            <w:vMerge/>
            <w:vAlign w:val="center"/>
            <w:hideMark/>
          </w:tcPr>
          <w:p w14:paraId="37EF8D6A" w14:textId="77777777" w:rsidR="009C2EB0" w:rsidRPr="00664D52" w:rsidRDefault="009C2EB0" w:rsidP="00C138C5">
            <w:pPr>
              <w:snapToGrid w:val="0"/>
              <w:spacing w:after="120"/>
              <w:rPr>
                <w:rFonts w:ascii="Helvetica" w:eastAsia="Times New Roman" w:hAnsi="Helvetica" w:cstheme="minorHAnsi"/>
                <w:b/>
                <w:bCs/>
                <w:color w:val="000000"/>
                <w:sz w:val="20"/>
                <w:szCs w:val="20"/>
                <w:lang w:eastAsia="en-US"/>
              </w:rPr>
            </w:pPr>
          </w:p>
        </w:tc>
        <w:tc>
          <w:tcPr>
            <w:tcW w:w="594" w:type="dxa"/>
            <w:shd w:val="clear" w:color="auto" w:fill="auto"/>
            <w:noWrap/>
            <w:vAlign w:val="center"/>
            <w:hideMark/>
          </w:tcPr>
          <w:p w14:paraId="7C10E9F4"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0.2</w:t>
            </w:r>
          </w:p>
        </w:tc>
        <w:tc>
          <w:tcPr>
            <w:tcW w:w="769" w:type="dxa"/>
            <w:shd w:val="clear" w:color="auto" w:fill="auto"/>
            <w:noWrap/>
            <w:vAlign w:val="bottom"/>
            <w:hideMark/>
          </w:tcPr>
          <w:p w14:paraId="2FEC3CAA"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70" w:type="dxa"/>
            <w:shd w:val="clear" w:color="auto" w:fill="auto"/>
            <w:noWrap/>
            <w:vAlign w:val="bottom"/>
            <w:hideMark/>
          </w:tcPr>
          <w:p w14:paraId="14E00586"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0.59</w:t>
            </w:r>
          </w:p>
        </w:tc>
        <w:tc>
          <w:tcPr>
            <w:tcW w:w="769" w:type="dxa"/>
            <w:shd w:val="clear" w:color="auto" w:fill="auto"/>
            <w:noWrap/>
            <w:vAlign w:val="bottom"/>
            <w:hideMark/>
          </w:tcPr>
          <w:p w14:paraId="7140AF42"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1.17</w:t>
            </w:r>
          </w:p>
        </w:tc>
        <w:tc>
          <w:tcPr>
            <w:tcW w:w="770" w:type="dxa"/>
            <w:shd w:val="clear" w:color="auto" w:fill="auto"/>
            <w:noWrap/>
            <w:vAlign w:val="bottom"/>
            <w:hideMark/>
          </w:tcPr>
          <w:p w14:paraId="59905F0D"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1.76</w:t>
            </w:r>
          </w:p>
        </w:tc>
        <w:tc>
          <w:tcPr>
            <w:tcW w:w="769" w:type="dxa"/>
            <w:shd w:val="clear" w:color="auto" w:fill="auto"/>
            <w:noWrap/>
            <w:vAlign w:val="bottom"/>
            <w:hideMark/>
          </w:tcPr>
          <w:p w14:paraId="129B5B1B"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2.35</w:t>
            </w:r>
          </w:p>
        </w:tc>
        <w:tc>
          <w:tcPr>
            <w:tcW w:w="770" w:type="dxa"/>
            <w:shd w:val="clear" w:color="auto" w:fill="auto"/>
            <w:noWrap/>
            <w:vAlign w:val="bottom"/>
            <w:hideMark/>
          </w:tcPr>
          <w:p w14:paraId="6D02C511"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2.93</w:t>
            </w:r>
          </w:p>
        </w:tc>
        <w:tc>
          <w:tcPr>
            <w:tcW w:w="769" w:type="dxa"/>
            <w:shd w:val="clear" w:color="auto" w:fill="auto"/>
            <w:noWrap/>
            <w:vAlign w:val="bottom"/>
            <w:hideMark/>
          </w:tcPr>
          <w:p w14:paraId="1E4F081A"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3.52</w:t>
            </w:r>
          </w:p>
        </w:tc>
        <w:tc>
          <w:tcPr>
            <w:tcW w:w="770" w:type="dxa"/>
            <w:shd w:val="clear" w:color="auto" w:fill="auto"/>
            <w:noWrap/>
            <w:vAlign w:val="bottom"/>
            <w:hideMark/>
          </w:tcPr>
          <w:p w14:paraId="58F688B6"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4.11</w:t>
            </w:r>
          </w:p>
        </w:tc>
      </w:tr>
      <w:tr w:rsidR="009C2EB0" w:rsidRPr="00664D52" w14:paraId="7583A20E" w14:textId="77777777" w:rsidTr="00C138C5">
        <w:trPr>
          <w:trHeight w:val="368"/>
        </w:trPr>
        <w:tc>
          <w:tcPr>
            <w:tcW w:w="1255" w:type="dxa"/>
            <w:vMerge/>
            <w:vAlign w:val="center"/>
            <w:hideMark/>
          </w:tcPr>
          <w:p w14:paraId="453D06CD" w14:textId="77777777" w:rsidR="009C2EB0" w:rsidRPr="00664D52" w:rsidRDefault="009C2EB0" w:rsidP="00C138C5">
            <w:pPr>
              <w:snapToGrid w:val="0"/>
              <w:spacing w:after="120"/>
              <w:rPr>
                <w:rFonts w:ascii="Helvetica" w:eastAsia="Times New Roman" w:hAnsi="Helvetica" w:cstheme="minorHAnsi"/>
                <w:b/>
                <w:bCs/>
                <w:color w:val="000000"/>
                <w:sz w:val="20"/>
                <w:szCs w:val="20"/>
                <w:lang w:eastAsia="en-US"/>
              </w:rPr>
            </w:pPr>
          </w:p>
        </w:tc>
        <w:tc>
          <w:tcPr>
            <w:tcW w:w="594" w:type="dxa"/>
            <w:shd w:val="clear" w:color="auto" w:fill="auto"/>
            <w:noWrap/>
            <w:vAlign w:val="center"/>
            <w:hideMark/>
          </w:tcPr>
          <w:p w14:paraId="513AB54C"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0.3</w:t>
            </w:r>
          </w:p>
        </w:tc>
        <w:tc>
          <w:tcPr>
            <w:tcW w:w="769" w:type="dxa"/>
            <w:shd w:val="clear" w:color="auto" w:fill="auto"/>
            <w:noWrap/>
            <w:vAlign w:val="bottom"/>
            <w:hideMark/>
          </w:tcPr>
          <w:p w14:paraId="544A01BF"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70" w:type="dxa"/>
            <w:shd w:val="clear" w:color="auto" w:fill="auto"/>
            <w:noWrap/>
            <w:vAlign w:val="bottom"/>
            <w:hideMark/>
          </w:tcPr>
          <w:p w14:paraId="3631CDC3"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0.67</w:t>
            </w:r>
          </w:p>
        </w:tc>
        <w:tc>
          <w:tcPr>
            <w:tcW w:w="769" w:type="dxa"/>
            <w:shd w:val="clear" w:color="auto" w:fill="auto"/>
            <w:noWrap/>
            <w:vAlign w:val="bottom"/>
            <w:hideMark/>
          </w:tcPr>
          <w:p w14:paraId="2FAF6F5B"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1.34</w:t>
            </w:r>
          </w:p>
        </w:tc>
        <w:tc>
          <w:tcPr>
            <w:tcW w:w="770" w:type="dxa"/>
            <w:shd w:val="clear" w:color="auto" w:fill="auto"/>
            <w:noWrap/>
            <w:vAlign w:val="bottom"/>
            <w:hideMark/>
          </w:tcPr>
          <w:p w14:paraId="784FD4C4"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2.01</w:t>
            </w:r>
          </w:p>
        </w:tc>
        <w:tc>
          <w:tcPr>
            <w:tcW w:w="769" w:type="dxa"/>
            <w:shd w:val="clear" w:color="auto" w:fill="auto"/>
            <w:noWrap/>
            <w:vAlign w:val="bottom"/>
            <w:hideMark/>
          </w:tcPr>
          <w:p w14:paraId="29A253D2"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2.68</w:t>
            </w:r>
          </w:p>
        </w:tc>
        <w:tc>
          <w:tcPr>
            <w:tcW w:w="770" w:type="dxa"/>
            <w:shd w:val="clear" w:color="auto" w:fill="auto"/>
            <w:noWrap/>
            <w:vAlign w:val="bottom"/>
            <w:hideMark/>
          </w:tcPr>
          <w:p w14:paraId="5376796D"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3.35</w:t>
            </w:r>
          </w:p>
        </w:tc>
        <w:tc>
          <w:tcPr>
            <w:tcW w:w="769" w:type="dxa"/>
            <w:shd w:val="clear" w:color="auto" w:fill="auto"/>
            <w:noWrap/>
            <w:vAlign w:val="bottom"/>
            <w:hideMark/>
          </w:tcPr>
          <w:p w14:paraId="031D3826"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4.02</w:t>
            </w:r>
          </w:p>
        </w:tc>
        <w:tc>
          <w:tcPr>
            <w:tcW w:w="770" w:type="dxa"/>
            <w:shd w:val="clear" w:color="auto" w:fill="auto"/>
            <w:noWrap/>
            <w:vAlign w:val="bottom"/>
            <w:hideMark/>
          </w:tcPr>
          <w:p w14:paraId="12FFAC5A"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4.69</w:t>
            </w:r>
          </w:p>
        </w:tc>
      </w:tr>
      <w:tr w:rsidR="009C2EB0" w:rsidRPr="00664D52" w14:paraId="2B1357EC" w14:textId="77777777" w:rsidTr="00C138C5">
        <w:trPr>
          <w:trHeight w:val="368"/>
        </w:trPr>
        <w:tc>
          <w:tcPr>
            <w:tcW w:w="1255" w:type="dxa"/>
            <w:vMerge/>
            <w:vAlign w:val="center"/>
            <w:hideMark/>
          </w:tcPr>
          <w:p w14:paraId="55ECEE1E" w14:textId="77777777" w:rsidR="009C2EB0" w:rsidRPr="00664D52" w:rsidRDefault="009C2EB0" w:rsidP="00C138C5">
            <w:pPr>
              <w:snapToGrid w:val="0"/>
              <w:spacing w:after="120"/>
              <w:rPr>
                <w:rFonts w:ascii="Helvetica" w:eastAsia="Times New Roman" w:hAnsi="Helvetica" w:cstheme="minorHAnsi"/>
                <w:b/>
                <w:bCs/>
                <w:color w:val="000000"/>
                <w:sz w:val="20"/>
                <w:szCs w:val="20"/>
                <w:lang w:eastAsia="en-US"/>
              </w:rPr>
            </w:pPr>
          </w:p>
        </w:tc>
        <w:tc>
          <w:tcPr>
            <w:tcW w:w="594" w:type="dxa"/>
            <w:shd w:val="clear" w:color="auto" w:fill="auto"/>
            <w:noWrap/>
            <w:vAlign w:val="center"/>
            <w:hideMark/>
          </w:tcPr>
          <w:p w14:paraId="7D77D8A0"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0.4</w:t>
            </w:r>
          </w:p>
        </w:tc>
        <w:tc>
          <w:tcPr>
            <w:tcW w:w="769" w:type="dxa"/>
            <w:shd w:val="clear" w:color="auto" w:fill="auto"/>
            <w:noWrap/>
            <w:vAlign w:val="bottom"/>
            <w:hideMark/>
          </w:tcPr>
          <w:p w14:paraId="79BE6942"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70" w:type="dxa"/>
            <w:shd w:val="clear" w:color="auto" w:fill="auto"/>
            <w:noWrap/>
            <w:vAlign w:val="bottom"/>
            <w:hideMark/>
          </w:tcPr>
          <w:p w14:paraId="18D901FD"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0.75</w:t>
            </w:r>
          </w:p>
        </w:tc>
        <w:tc>
          <w:tcPr>
            <w:tcW w:w="769" w:type="dxa"/>
            <w:shd w:val="clear" w:color="auto" w:fill="auto"/>
            <w:noWrap/>
            <w:vAlign w:val="bottom"/>
            <w:hideMark/>
          </w:tcPr>
          <w:p w14:paraId="582E07DF"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1.50</w:t>
            </w:r>
          </w:p>
        </w:tc>
        <w:tc>
          <w:tcPr>
            <w:tcW w:w="770" w:type="dxa"/>
            <w:shd w:val="clear" w:color="auto" w:fill="auto"/>
            <w:noWrap/>
            <w:vAlign w:val="bottom"/>
            <w:hideMark/>
          </w:tcPr>
          <w:p w14:paraId="78F0E25B"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2.26</w:t>
            </w:r>
          </w:p>
        </w:tc>
        <w:tc>
          <w:tcPr>
            <w:tcW w:w="769" w:type="dxa"/>
            <w:shd w:val="clear" w:color="auto" w:fill="auto"/>
            <w:noWrap/>
            <w:vAlign w:val="bottom"/>
            <w:hideMark/>
          </w:tcPr>
          <w:p w14:paraId="4C28AFEC"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3.01</w:t>
            </w:r>
          </w:p>
        </w:tc>
        <w:tc>
          <w:tcPr>
            <w:tcW w:w="770" w:type="dxa"/>
            <w:shd w:val="clear" w:color="auto" w:fill="auto"/>
            <w:noWrap/>
            <w:vAlign w:val="bottom"/>
            <w:hideMark/>
          </w:tcPr>
          <w:p w14:paraId="4FF1DC1B"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3.76</w:t>
            </w:r>
          </w:p>
        </w:tc>
        <w:tc>
          <w:tcPr>
            <w:tcW w:w="769" w:type="dxa"/>
            <w:shd w:val="clear" w:color="auto" w:fill="auto"/>
            <w:noWrap/>
            <w:vAlign w:val="bottom"/>
            <w:hideMark/>
          </w:tcPr>
          <w:p w14:paraId="0C95DCD1"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4.51</w:t>
            </w:r>
          </w:p>
        </w:tc>
        <w:tc>
          <w:tcPr>
            <w:tcW w:w="770" w:type="dxa"/>
            <w:shd w:val="clear" w:color="auto" w:fill="auto"/>
            <w:noWrap/>
            <w:vAlign w:val="bottom"/>
            <w:hideMark/>
          </w:tcPr>
          <w:p w14:paraId="6C44EBB4"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5.26</w:t>
            </w:r>
          </w:p>
        </w:tc>
      </w:tr>
      <w:tr w:rsidR="009C2EB0" w:rsidRPr="00664D52" w14:paraId="769BE2C9" w14:textId="77777777" w:rsidTr="00C138C5">
        <w:trPr>
          <w:trHeight w:val="368"/>
        </w:trPr>
        <w:tc>
          <w:tcPr>
            <w:tcW w:w="1255" w:type="dxa"/>
            <w:vMerge/>
            <w:vAlign w:val="center"/>
            <w:hideMark/>
          </w:tcPr>
          <w:p w14:paraId="2020B235" w14:textId="77777777" w:rsidR="009C2EB0" w:rsidRPr="00664D52" w:rsidRDefault="009C2EB0" w:rsidP="00C138C5">
            <w:pPr>
              <w:snapToGrid w:val="0"/>
              <w:spacing w:after="120"/>
              <w:rPr>
                <w:rFonts w:ascii="Helvetica" w:eastAsia="Times New Roman" w:hAnsi="Helvetica" w:cstheme="minorHAnsi"/>
                <w:b/>
                <w:bCs/>
                <w:color w:val="000000"/>
                <w:sz w:val="20"/>
                <w:szCs w:val="20"/>
                <w:lang w:eastAsia="en-US"/>
              </w:rPr>
            </w:pPr>
          </w:p>
        </w:tc>
        <w:tc>
          <w:tcPr>
            <w:tcW w:w="594" w:type="dxa"/>
            <w:shd w:val="clear" w:color="auto" w:fill="auto"/>
            <w:noWrap/>
            <w:vAlign w:val="center"/>
            <w:hideMark/>
          </w:tcPr>
          <w:p w14:paraId="21615AF2"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0.5</w:t>
            </w:r>
          </w:p>
        </w:tc>
        <w:tc>
          <w:tcPr>
            <w:tcW w:w="769" w:type="dxa"/>
            <w:shd w:val="clear" w:color="auto" w:fill="auto"/>
            <w:noWrap/>
            <w:vAlign w:val="bottom"/>
            <w:hideMark/>
          </w:tcPr>
          <w:p w14:paraId="2EEAB887"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70" w:type="dxa"/>
            <w:shd w:val="clear" w:color="auto" w:fill="auto"/>
            <w:noWrap/>
            <w:vAlign w:val="bottom"/>
            <w:hideMark/>
          </w:tcPr>
          <w:p w14:paraId="7DB5D8DF"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0.83</w:t>
            </w:r>
          </w:p>
        </w:tc>
        <w:tc>
          <w:tcPr>
            <w:tcW w:w="769" w:type="dxa"/>
            <w:shd w:val="clear" w:color="auto" w:fill="auto"/>
            <w:noWrap/>
            <w:vAlign w:val="bottom"/>
            <w:hideMark/>
          </w:tcPr>
          <w:p w14:paraId="444DEE4E"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1.67</w:t>
            </w:r>
          </w:p>
        </w:tc>
        <w:tc>
          <w:tcPr>
            <w:tcW w:w="770" w:type="dxa"/>
            <w:shd w:val="clear" w:color="auto" w:fill="auto"/>
            <w:noWrap/>
            <w:vAlign w:val="bottom"/>
            <w:hideMark/>
          </w:tcPr>
          <w:p w14:paraId="7CBBF395"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2.50</w:t>
            </w:r>
          </w:p>
        </w:tc>
        <w:tc>
          <w:tcPr>
            <w:tcW w:w="769" w:type="dxa"/>
            <w:shd w:val="clear" w:color="auto" w:fill="auto"/>
            <w:noWrap/>
            <w:vAlign w:val="bottom"/>
            <w:hideMark/>
          </w:tcPr>
          <w:p w14:paraId="517CA5BF"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3.34</w:t>
            </w:r>
          </w:p>
        </w:tc>
        <w:tc>
          <w:tcPr>
            <w:tcW w:w="770" w:type="dxa"/>
            <w:shd w:val="clear" w:color="auto" w:fill="auto"/>
            <w:noWrap/>
            <w:vAlign w:val="bottom"/>
            <w:hideMark/>
          </w:tcPr>
          <w:p w14:paraId="35EF6BBA"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4.17</w:t>
            </w:r>
          </w:p>
        </w:tc>
        <w:tc>
          <w:tcPr>
            <w:tcW w:w="769" w:type="dxa"/>
            <w:shd w:val="clear" w:color="auto" w:fill="auto"/>
            <w:noWrap/>
            <w:vAlign w:val="bottom"/>
            <w:hideMark/>
          </w:tcPr>
          <w:p w14:paraId="3D048228"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5.01</w:t>
            </w:r>
          </w:p>
        </w:tc>
        <w:tc>
          <w:tcPr>
            <w:tcW w:w="770" w:type="dxa"/>
            <w:shd w:val="clear" w:color="auto" w:fill="auto"/>
            <w:noWrap/>
            <w:vAlign w:val="bottom"/>
            <w:hideMark/>
          </w:tcPr>
          <w:p w14:paraId="71020C39"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5.84</w:t>
            </w:r>
          </w:p>
        </w:tc>
      </w:tr>
      <w:tr w:rsidR="009C2EB0" w:rsidRPr="00664D52" w14:paraId="07104236" w14:textId="77777777" w:rsidTr="00C138C5">
        <w:trPr>
          <w:trHeight w:val="368"/>
        </w:trPr>
        <w:tc>
          <w:tcPr>
            <w:tcW w:w="1255" w:type="dxa"/>
            <w:vMerge/>
            <w:vAlign w:val="center"/>
            <w:hideMark/>
          </w:tcPr>
          <w:p w14:paraId="5558316E" w14:textId="77777777" w:rsidR="009C2EB0" w:rsidRPr="00664D52" w:rsidRDefault="009C2EB0" w:rsidP="00C138C5">
            <w:pPr>
              <w:snapToGrid w:val="0"/>
              <w:spacing w:after="120"/>
              <w:rPr>
                <w:rFonts w:ascii="Helvetica" w:eastAsia="Times New Roman" w:hAnsi="Helvetica" w:cstheme="minorHAnsi"/>
                <w:b/>
                <w:bCs/>
                <w:color w:val="000000"/>
                <w:sz w:val="20"/>
                <w:szCs w:val="20"/>
                <w:lang w:eastAsia="en-US"/>
              </w:rPr>
            </w:pPr>
          </w:p>
        </w:tc>
        <w:tc>
          <w:tcPr>
            <w:tcW w:w="594" w:type="dxa"/>
            <w:shd w:val="clear" w:color="auto" w:fill="auto"/>
            <w:noWrap/>
            <w:vAlign w:val="center"/>
            <w:hideMark/>
          </w:tcPr>
          <w:p w14:paraId="336D1EE8"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0.6</w:t>
            </w:r>
          </w:p>
        </w:tc>
        <w:tc>
          <w:tcPr>
            <w:tcW w:w="769" w:type="dxa"/>
            <w:shd w:val="clear" w:color="auto" w:fill="auto"/>
            <w:noWrap/>
            <w:vAlign w:val="bottom"/>
            <w:hideMark/>
          </w:tcPr>
          <w:p w14:paraId="7C476ADE"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70" w:type="dxa"/>
            <w:shd w:val="clear" w:color="auto" w:fill="auto"/>
            <w:noWrap/>
            <w:vAlign w:val="bottom"/>
            <w:hideMark/>
          </w:tcPr>
          <w:p w14:paraId="5ADBB684"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0.92</w:t>
            </w:r>
          </w:p>
        </w:tc>
        <w:tc>
          <w:tcPr>
            <w:tcW w:w="769" w:type="dxa"/>
            <w:shd w:val="clear" w:color="auto" w:fill="auto"/>
            <w:noWrap/>
            <w:vAlign w:val="bottom"/>
            <w:hideMark/>
          </w:tcPr>
          <w:p w14:paraId="39F5C723"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1.83</w:t>
            </w:r>
          </w:p>
        </w:tc>
        <w:tc>
          <w:tcPr>
            <w:tcW w:w="770" w:type="dxa"/>
            <w:shd w:val="clear" w:color="auto" w:fill="auto"/>
            <w:noWrap/>
            <w:vAlign w:val="bottom"/>
            <w:hideMark/>
          </w:tcPr>
          <w:p w14:paraId="24E553BF"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2.75</w:t>
            </w:r>
          </w:p>
        </w:tc>
        <w:tc>
          <w:tcPr>
            <w:tcW w:w="769" w:type="dxa"/>
            <w:shd w:val="clear" w:color="auto" w:fill="auto"/>
            <w:noWrap/>
            <w:vAlign w:val="bottom"/>
            <w:hideMark/>
          </w:tcPr>
          <w:p w14:paraId="0CCA8B8D"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3.67</w:t>
            </w:r>
          </w:p>
        </w:tc>
        <w:tc>
          <w:tcPr>
            <w:tcW w:w="770" w:type="dxa"/>
            <w:shd w:val="clear" w:color="auto" w:fill="auto"/>
            <w:noWrap/>
            <w:vAlign w:val="bottom"/>
            <w:hideMark/>
          </w:tcPr>
          <w:p w14:paraId="5158466F"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4.59</w:t>
            </w:r>
          </w:p>
        </w:tc>
        <w:tc>
          <w:tcPr>
            <w:tcW w:w="769" w:type="dxa"/>
            <w:shd w:val="clear" w:color="auto" w:fill="auto"/>
            <w:noWrap/>
            <w:vAlign w:val="bottom"/>
            <w:hideMark/>
          </w:tcPr>
          <w:p w14:paraId="42930297"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5.50</w:t>
            </w:r>
          </w:p>
        </w:tc>
        <w:tc>
          <w:tcPr>
            <w:tcW w:w="770" w:type="dxa"/>
            <w:shd w:val="clear" w:color="auto" w:fill="auto"/>
            <w:noWrap/>
            <w:vAlign w:val="bottom"/>
            <w:hideMark/>
          </w:tcPr>
          <w:p w14:paraId="1CD734C6"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6.42</w:t>
            </w:r>
          </w:p>
        </w:tc>
      </w:tr>
      <w:tr w:rsidR="009C2EB0" w:rsidRPr="00664D52" w14:paraId="3615B44E" w14:textId="77777777" w:rsidTr="00C138C5">
        <w:trPr>
          <w:trHeight w:val="368"/>
        </w:trPr>
        <w:tc>
          <w:tcPr>
            <w:tcW w:w="1255" w:type="dxa"/>
            <w:vMerge/>
            <w:vAlign w:val="center"/>
            <w:hideMark/>
          </w:tcPr>
          <w:p w14:paraId="15C8C086" w14:textId="77777777" w:rsidR="009C2EB0" w:rsidRPr="00664D52" w:rsidRDefault="009C2EB0" w:rsidP="00C138C5">
            <w:pPr>
              <w:snapToGrid w:val="0"/>
              <w:spacing w:after="120"/>
              <w:rPr>
                <w:rFonts w:ascii="Helvetica" w:eastAsia="Times New Roman" w:hAnsi="Helvetica" w:cstheme="minorHAnsi"/>
                <w:b/>
                <w:bCs/>
                <w:color w:val="000000"/>
                <w:sz w:val="20"/>
                <w:szCs w:val="20"/>
                <w:lang w:eastAsia="en-US"/>
              </w:rPr>
            </w:pPr>
          </w:p>
        </w:tc>
        <w:tc>
          <w:tcPr>
            <w:tcW w:w="594" w:type="dxa"/>
            <w:shd w:val="clear" w:color="auto" w:fill="auto"/>
            <w:noWrap/>
            <w:vAlign w:val="center"/>
            <w:hideMark/>
          </w:tcPr>
          <w:p w14:paraId="518EA347"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0.7</w:t>
            </w:r>
          </w:p>
        </w:tc>
        <w:tc>
          <w:tcPr>
            <w:tcW w:w="769" w:type="dxa"/>
            <w:shd w:val="clear" w:color="auto" w:fill="auto"/>
            <w:noWrap/>
            <w:vAlign w:val="bottom"/>
            <w:hideMark/>
          </w:tcPr>
          <w:p w14:paraId="681AC963"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70" w:type="dxa"/>
            <w:shd w:val="clear" w:color="auto" w:fill="auto"/>
            <w:noWrap/>
            <w:vAlign w:val="bottom"/>
            <w:hideMark/>
          </w:tcPr>
          <w:p w14:paraId="66ACB8B3"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1.00</w:t>
            </w:r>
          </w:p>
        </w:tc>
        <w:tc>
          <w:tcPr>
            <w:tcW w:w="769" w:type="dxa"/>
            <w:shd w:val="clear" w:color="auto" w:fill="auto"/>
            <w:noWrap/>
            <w:vAlign w:val="bottom"/>
            <w:hideMark/>
          </w:tcPr>
          <w:p w14:paraId="0B368DC9"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2.00</w:t>
            </w:r>
          </w:p>
        </w:tc>
        <w:tc>
          <w:tcPr>
            <w:tcW w:w="770" w:type="dxa"/>
            <w:shd w:val="clear" w:color="auto" w:fill="auto"/>
            <w:noWrap/>
            <w:vAlign w:val="bottom"/>
            <w:hideMark/>
          </w:tcPr>
          <w:p w14:paraId="46EA1AEE"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3.00</w:t>
            </w:r>
          </w:p>
        </w:tc>
        <w:tc>
          <w:tcPr>
            <w:tcW w:w="769" w:type="dxa"/>
            <w:shd w:val="clear" w:color="auto" w:fill="auto"/>
            <w:noWrap/>
            <w:vAlign w:val="bottom"/>
            <w:hideMark/>
          </w:tcPr>
          <w:p w14:paraId="1E17FE2B"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4.00</w:t>
            </w:r>
          </w:p>
        </w:tc>
        <w:tc>
          <w:tcPr>
            <w:tcW w:w="770" w:type="dxa"/>
            <w:shd w:val="clear" w:color="auto" w:fill="auto"/>
            <w:noWrap/>
            <w:vAlign w:val="bottom"/>
            <w:hideMark/>
          </w:tcPr>
          <w:p w14:paraId="197E8C11"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5.00</w:t>
            </w:r>
          </w:p>
        </w:tc>
        <w:tc>
          <w:tcPr>
            <w:tcW w:w="769" w:type="dxa"/>
            <w:shd w:val="clear" w:color="auto" w:fill="auto"/>
            <w:noWrap/>
            <w:vAlign w:val="bottom"/>
            <w:hideMark/>
          </w:tcPr>
          <w:p w14:paraId="26D036DA"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6.00</w:t>
            </w:r>
          </w:p>
        </w:tc>
        <w:tc>
          <w:tcPr>
            <w:tcW w:w="770" w:type="dxa"/>
            <w:shd w:val="clear" w:color="auto" w:fill="auto"/>
            <w:noWrap/>
            <w:vAlign w:val="bottom"/>
            <w:hideMark/>
          </w:tcPr>
          <w:p w14:paraId="1CD51866"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7.00</w:t>
            </w:r>
          </w:p>
        </w:tc>
      </w:tr>
      <w:tr w:rsidR="009C2EB0" w:rsidRPr="00664D52" w14:paraId="58961AF6" w14:textId="77777777" w:rsidTr="00C138C5">
        <w:trPr>
          <w:trHeight w:val="368"/>
        </w:trPr>
        <w:tc>
          <w:tcPr>
            <w:tcW w:w="1255" w:type="dxa"/>
            <w:vMerge/>
            <w:vAlign w:val="center"/>
            <w:hideMark/>
          </w:tcPr>
          <w:p w14:paraId="79B2F776" w14:textId="77777777" w:rsidR="009C2EB0" w:rsidRPr="00664D52" w:rsidRDefault="009C2EB0" w:rsidP="00C138C5">
            <w:pPr>
              <w:snapToGrid w:val="0"/>
              <w:spacing w:after="120"/>
              <w:rPr>
                <w:rFonts w:ascii="Helvetica" w:eastAsia="Times New Roman" w:hAnsi="Helvetica" w:cstheme="minorHAnsi"/>
                <w:b/>
                <w:bCs/>
                <w:color w:val="000000"/>
                <w:sz w:val="20"/>
                <w:szCs w:val="20"/>
                <w:lang w:eastAsia="en-US"/>
              </w:rPr>
            </w:pPr>
          </w:p>
        </w:tc>
        <w:tc>
          <w:tcPr>
            <w:tcW w:w="594" w:type="dxa"/>
            <w:shd w:val="clear" w:color="auto" w:fill="auto"/>
            <w:noWrap/>
            <w:vAlign w:val="center"/>
            <w:hideMark/>
          </w:tcPr>
          <w:p w14:paraId="61CC75FB"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0.8</w:t>
            </w:r>
          </w:p>
        </w:tc>
        <w:tc>
          <w:tcPr>
            <w:tcW w:w="769" w:type="dxa"/>
            <w:shd w:val="clear" w:color="auto" w:fill="auto"/>
            <w:noWrap/>
            <w:vAlign w:val="bottom"/>
            <w:hideMark/>
          </w:tcPr>
          <w:p w14:paraId="7BD711CB"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70" w:type="dxa"/>
            <w:shd w:val="clear" w:color="auto" w:fill="auto"/>
            <w:noWrap/>
            <w:vAlign w:val="bottom"/>
            <w:hideMark/>
          </w:tcPr>
          <w:p w14:paraId="04D2A35E"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1.08</w:t>
            </w:r>
          </w:p>
        </w:tc>
        <w:tc>
          <w:tcPr>
            <w:tcW w:w="769" w:type="dxa"/>
            <w:shd w:val="clear" w:color="auto" w:fill="auto"/>
            <w:noWrap/>
            <w:vAlign w:val="bottom"/>
            <w:hideMark/>
          </w:tcPr>
          <w:p w14:paraId="1FD20220"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2.17</w:t>
            </w:r>
          </w:p>
        </w:tc>
        <w:tc>
          <w:tcPr>
            <w:tcW w:w="770" w:type="dxa"/>
            <w:shd w:val="clear" w:color="auto" w:fill="auto"/>
            <w:noWrap/>
            <w:vAlign w:val="bottom"/>
            <w:hideMark/>
          </w:tcPr>
          <w:p w14:paraId="56A84936"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3.25</w:t>
            </w:r>
          </w:p>
        </w:tc>
        <w:tc>
          <w:tcPr>
            <w:tcW w:w="769" w:type="dxa"/>
            <w:shd w:val="clear" w:color="auto" w:fill="auto"/>
            <w:noWrap/>
            <w:vAlign w:val="bottom"/>
            <w:hideMark/>
          </w:tcPr>
          <w:p w14:paraId="110D7051"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4.33</w:t>
            </w:r>
          </w:p>
        </w:tc>
        <w:tc>
          <w:tcPr>
            <w:tcW w:w="770" w:type="dxa"/>
            <w:shd w:val="clear" w:color="auto" w:fill="auto"/>
            <w:noWrap/>
            <w:vAlign w:val="bottom"/>
            <w:hideMark/>
          </w:tcPr>
          <w:p w14:paraId="4B9A82C8"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5.41</w:t>
            </w:r>
          </w:p>
        </w:tc>
        <w:tc>
          <w:tcPr>
            <w:tcW w:w="769" w:type="dxa"/>
            <w:shd w:val="clear" w:color="auto" w:fill="auto"/>
            <w:noWrap/>
            <w:vAlign w:val="bottom"/>
            <w:hideMark/>
          </w:tcPr>
          <w:p w14:paraId="019804B5"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6.50</w:t>
            </w:r>
          </w:p>
        </w:tc>
        <w:tc>
          <w:tcPr>
            <w:tcW w:w="770" w:type="dxa"/>
            <w:shd w:val="clear" w:color="auto" w:fill="auto"/>
            <w:noWrap/>
            <w:vAlign w:val="bottom"/>
            <w:hideMark/>
          </w:tcPr>
          <w:p w14:paraId="3FF94342"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7.58</w:t>
            </w:r>
          </w:p>
        </w:tc>
      </w:tr>
      <w:tr w:rsidR="009C2EB0" w:rsidRPr="00664D52" w14:paraId="7B67E661" w14:textId="77777777" w:rsidTr="00C138C5">
        <w:trPr>
          <w:trHeight w:val="368"/>
        </w:trPr>
        <w:tc>
          <w:tcPr>
            <w:tcW w:w="1255" w:type="dxa"/>
            <w:vMerge/>
            <w:vAlign w:val="center"/>
            <w:hideMark/>
          </w:tcPr>
          <w:p w14:paraId="11952876" w14:textId="77777777" w:rsidR="009C2EB0" w:rsidRPr="00664D52" w:rsidRDefault="009C2EB0" w:rsidP="00C138C5">
            <w:pPr>
              <w:snapToGrid w:val="0"/>
              <w:spacing w:after="120"/>
              <w:rPr>
                <w:rFonts w:ascii="Helvetica" w:eastAsia="Times New Roman" w:hAnsi="Helvetica" w:cstheme="minorHAnsi"/>
                <w:b/>
                <w:bCs/>
                <w:color w:val="000000"/>
                <w:sz w:val="20"/>
                <w:szCs w:val="20"/>
                <w:lang w:eastAsia="en-US"/>
              </w:rPr>
            </w:pPr>
          </w:p>
        </w:tc>
        <w:tc>
          <w:tcPr>
            <w:tcW w:w="594" w:type="dxa"/>
            <w:shd w:val="clear" w:color="auto" w:fill="auto"/>
            <w:noWrap/>
            <w:vAlign w:val="center"/>
            <w:hideMark/>
          </w:tcPr>
          <w:p w14:paraId="223DE939"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0.9</w:t>
            </w:r>
          </w:p>
        </w:tc>
        <w:tc>
          <w:tcPr>
            <w:tcW w:w="769" w:type="dxa"/>
            <w:shd w:val="clear" w:color="auto" w:fill="auto"/>
            <w:noWrap/>
            <w:vAlign w:val="bottom"/>
            <w:hideMark/>
          </w:tcPr>
          <w:p w14:paraId="3C28E595"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70" w:type="dxa"/>
            <w:shd w:val="clear" w:color="auto" w:fill="auto"/>
            <w:noWrap/>
            <w:vAlign w:val="bottom"/>
            <w:hideMark/>
          </w:tcPr>
          <w:p w14:paraId="07FC4F9D"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1.17</w:t>
            </w:r>
          </w:p>
        </w:tc>
        <w:tc>
          <w:tcPr>
            <w:tcW w:w="769" w:type="dxa"/>
            <w:shd w:val="clear" w:color="auto" w:fill="auto"/>
            <w:noWrap/>
            <w:vAlign w:val="bottom"/>
            <w:hideMark/>
          </w:tcPr>
          <w:p w14:paraId="7586DC46"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2.33</w:t>
            </w:r>
          </w:p>
        </w:tc>
        <w:tc>
          <w:tcPr>
            <w:tcW w:w="770" w:type="dxa"/>
            <w:shd w:val="clear" w:color="auto" w:fill="auto"/>
            <w:noWrap/>
            <w:vAlign w:val="bottom"/>
            <w:hideMark/>
          </w:tcPr>
          <w:p w14:paraId="51BD6A02"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3.50</w:t>
            </w:r>
          </w:p>
        </w:tc>
        <w:tc>
          <w:tcPr>
            <w:tcW w:w="769" w:type="dxa"/>
            <w:shd w:val="clear" w:color="auto" w:fill="auto"/>
            <w:noWrap/>
            <w:vAlign w:val="bottom"/>
            <w:hideMark/>
          </w:tcPr>
          <w:p w14:paraId="6A989CE0"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4.66</w:t>
            </w:r>
          </w:p>
        </w:tc>
        <w:tc>
          <w:tcPr>
            <w:tcW w:w="770" w:type="dxa"/>
            <w:shd w:val="clear" w:color="auto" w:fill="auto"/>
            <w:noWrap/>
            <w:vAlign w:val="bottom"/>
            <w:hideMark/>
          </w:tcPr>
          <w:p w14:paraId="7BC72885"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5.83</w:t>
            </w:r>
          </w:p>
        </w:tc>
        <w:tc>
          <w:tcPr>
            <w:tcW w:w="769" w:type="dxa"/>
            <w:shd w:val="clear" w:color="auto" w:fill="auto"/>
            <w:noWrap/>
            <w:vAlign w:val="bottom"/>
            <w:hideMark/>
          </w:tcPr>
          <w:p w14:paraId="226A6CC8"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6.99</w:t>
            </w:r>
          </w:p>
        </w:tc>
        <w:tc>
          <w:tcPr>
            <w:tcW w:w="770" w:type="dxa"/>
            <w:shd w:val="clear" w:color="auto" w:fill="auto"/>
            <w:noWrap/>
            <w:vAlign w:val="bottom"/>
            <w:hideMark/>
          </w:tcPr>
          <w:p w14:paraId="67DBEEE0" w14:textId="77777777" w:rsidR="009C2EB0" w:rsidRPr="00664D52" w:rsidRDefault="009C2EB0" w:rsidP="00C138C5">
            <w:pPr>
              <w:snapToGrid w:val="0"/>
              <w:spacing w:after="120"/>
              <w:jc w:val="right"/>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8.16</w:t>
            </w:r>
          </w:p>
        </w:tc>
      </w:tr>
    </w:tbl>
    <w:p w14:paraId="596B8BB4" w14:textId="6AA151CD" w:rsidR="009C2EB0" w:rsidRPr="00664D52" w:rsidRDefault="009C2EB0">
      <w:pPr>
        <w:rPr>
          <w:rFonts w:ascii="Helvetica" w:hAnsi="Helvetica" w:cstheme="minorHAnsi"/>
          <w:sz w:val="20"/>
          <w:szCs w:val="20"/>
        </w:rPr>
      </w:pPr>
    </w:p>
    <w:p w14:paraId="49CC0F32" w14:textId="346FD651" w:rsidR="00C26488" w:rsidRPr="00664D52" w:rsidRDefault="00C26488">
      <w:pPr>
        <w:rPr>
          <w:rFonts w:ascii="Helvetica" w:hAnsi="Helvetica" w:cstheme="minorHAnsi"/>
          <w:sz w:val="20"/>
          <w:szCs w:val="20"/>
        </w:rPr>
      </w:pPr>
    </w:p>
    <w:p w14:paraId="417DC382" w14:textId="47135921" w:rsidR="00C26488" w:rsidRPr="00664D52" w:rsidRDefault="00C26488">
      <w:pPr>
        <w:rPr>
          <w:rFonts w:ascii="Helvetica" w:hAnsi="Helvetica" w:cstheme="minorHAnsi"/>
          <w:sz w:val="20"/>
          <w:szCs w:val="20"/>
        </w:rPr>
      </w:pPr>
    </w:p>
    <w:p w14:paraId="4C4F20E7" w14:textId="77777777" w:rsidR="00C26488" w:rsidRPr="00664D52" w:rsidRDefault="00C26488">
      <w:pPr>
        <w:rPr>
          <w:rFonts w:ascii="Helvetica" w:hAnsi="Helvetica" w:cstheme="minorHAnsi"/>
          <w:sz w:val="20"/>
          <w:szCs w:val="20"/>
        </w:rPr>
      </w:pPr>
    </w:p>
    <w:p w14:paraId="02CB493E" w14:textId="4BC57A3B" w:rsidR="00C26488" w:rsidRPr="00664D52" w:rsidRDefault="00C26488">
      <w:pPr>
        <w:rPr>
          <w:rFonts w:ascii="Helvetica" w:hAnsi="Helvetica" w:cstheme="minorHAnsi"/>
          <w:sz w:val="20"/>
          <w:szCs w:val="20"/>
        </w:rPr>
      </w:pPr>
    </w:p>
    <w:p w14:paraId="71EF17CD" w14:textId="77777777" w:rsidR="00C26488" w:rsidRPr="00664D52" w:rsidRDefault="00C26488">
      <w:pPr>
        <w:rPr>
          <w:rFonts w:ascii="Helvetica" w:hAnsi="Helvetica" w:cstheme="minorHAnsi"/>
          <w:sz w:val="20"/>
          <w:szCs w:val="20"/>
        </w:rPr>
      </w:pPr>
    </w:p>
    <w:p w14:paraId="0C978057" w14:textId="08AEF98B" w:rsidR="009C2EB0" w:rsidRPr="00664D52" w:rsidRDefault="009C2EB0">
      <w:pPr>
        <w:rPr>
          <w:rFonts w:ascii="Helvetica" w:hAnsi="Helvetica" w:cstheme="minorHAnsi"/>
          <w:sz w:val="20"/>
          <w:szCs w:val="20"/>
        </w:rPr>
      </w:pPr>
    </w:p>
    <w:p w14:paraId="3A9D42D1" w14:textId="4297A0D0" w:rsidR="009C2EB0" w:rsidRPr="00664D52" w:rsidRDefault="009C2EB0" w:rsidP="009C2EB0">
      <w:pPr>
        <w:keepNext/>
        <w:snapToGrid w:val="0"/>
        <w:spacing w:before="120" w:after="120"/>
        <w:jc w:val="both"/>
        <w:rPr>
          <w:rFonts w:ascii="Helvetica" w:hAnsi="Helvetica" w:cstheme="minorHAnsi"/>
          <w:sz w:val="20"/>
          <w:szCs w:val="20"/>
        </w:rPr>
      </w:pPr>
      <w:r w:rsidRPr="00664D52">
        <w:rPr>
          <w:rFonts w:ascii="Helvetica" w:hAnsi="Helvetica" w:cstheme="minorHAnsi"/>
          <w:b/>
          <w:bCs/>
          <w:sz w:val="20"/>
          <w:szCs w:val="20"/>
        </w:rPr>
        <w:lastRenderedPageBreak/>
        <w:t>Supplementary Table 4 |</w:t>
      </w:r>
      <w:r w:rsidRPr="00664D52">
        <w:rPr>
          <w:rFonts w:ascii="Helvetica" w:hAnsi="Helvetica" w:cstheme="minorHAnsi"/>
          <w:sz w:val="20"/>
          <w:szCs w:val="20"/>
        </w:rPr>
        <w:t xml:space="preserve"> FT Fuel Costs in USD/liter</w:t>
      </w:r>
    </w:p>
    <w:tbl>
      <w:tblPr>
        <w:tblW w:w="7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682"/>
        <w:gridCol w:w="705"/>
        <w:gridCol w:w="705"/>
        <w:gridCol w:w="705"/>
        <w:gridCol w:w="706"/>
        <w:gridCol w:w="705"/>
        <w:gridCol w:w="705"/>
        <w:gridCol w:w="705"/>
        <w:gridCol w:w="706"/>
      </w:tblGrid>
      <w:tr w:rsidR="009C2EB0" w:rsidRPr="00664D52" w14:paraId="5B2EFF12" w14:textId="77777777" w:rsidTr="00C138C5">
        <w:trPr>
          <w:trHeight w:val="340"/>
        </w:trPr>
        <w:tc>
          <w:tcPr>
            <w:tcW w:w="1885" w:type="dxa"/>
            <w:gridSpan w:val="2"/>
            <w:vMerge w:val="restart"/>
            <w:shd w:val="clear" w:color="auto" w:fill="auto"/>
            <w:noWrap/>
            <w:vAlign w:val="bottom"/>
            <w:hideMark/>
          </w:tcPr>
          <w:p w14:paraId="3E191B46" w14:textId="77777777" w:rsidR="009C2EB0" w:rsidRPr="00664D52" w:rsidRDefault="009C2EB0" w:rsidP="00C138C5">
            <w:pPr>
              <w:snapToGrid w:val="0"/>
              <w:spacing w:after="120"/>
              <w:rPr>
                <w:rFonts w:ascii="Helvetica" w:eastAsia="Times New Roman" w:hAnsi="Helvetica" w:cstheme="minorHAnsi"/>
                <w:sz w:val="20"/>
                <w:szCs w:val="20"/>
                <w:lang w:eastAsia="en-US"/>
              </w:rPr>
            </w:pPr>
            <w:r w:rsidRPr="00664D52">
              <w:rPr>
                <w:rFonts w:ascii="Helvetica" w:eastAsia="Times New Roman" w:hAnsi="Helvetica" w:cstheme="minorHAnsi"/>
                <w:color w:val="000000"/>
                <w:sz w:val="20"/>
                <w:szCs w:val="20"/>
                <w:lang w:eastAsia="en-US"/>
              </w:rPr>
              <w:t> </w:t>
            </w:r>
          </w:p>
        </w:tc>
        <w:tc>
          <w:tcPr>
            <w:tcW w:w="5642" w:type="dxa"/>
            <w:gridSpan w:val="8"/>
            <w:shd w:val="clear" w:color="auto" w:fill="auto"/>
            <w:noWrap/>
            <w:vAlign w:val="bottom"/>
            <w:hideMark/>
          </w:tcPr>
          <w:p w14:paraId="643833FB"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Inversed Efficiency (kg biomass / kg fuel)</w:t>
            </w:r>
          </w:p>
        </w:tc>
      </w:tr>
      <w:tr w:rsidR="009C2EB0" w:rsidRPr="00664D52" w14:paraId="23B45B97" w14:textId="77777777" w:rsidTr="00C138C5">
        <w:trPr>
          <w:trHeight w:val="404"/>
        </w:trPr>
        <w:tc>
          <w:tcPr>
            <w:tcW w:w="1885" w:type="dxa"/>
            <w:gridSpan w:val="2"/>
            <w:vMerge/>
            <w:shd w:val="clear" w:color="auto" w:fill="auto"/>
            <w:vAlign w:val="center"/>
            <w:hideMark/>
          </w:tcPr>
          <w:p w14:paraId="34FC3C0B"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705" w:type="dxa"/>
            <w:shd w:val="clear" w:color="auto" w:fill="auto"/>
            <w:noWrap/>
            <w:vAlign w:val="center"/>
            <w:hideMark/>
          </w:tcPr>
          <w:p w14:paraId="4B98380E"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w:t>
            </w:r>
          </w:p>
        </w:tc>
        <w:tc>
          <w:tcPr>
            <w:tcW w:w="705" w:type="dxa"/>
            <w:shd w:val="clear" w:color="auto" w:fill="auto"/>
            <w:noWrap/>
            <w:vAlign w:val="center"/>
            <w:hideMark/>
          </w:tcPr>
          <w:p w14:paraId="29AB448F"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1</w:t>
            </w:r>
          </w:p>
        </w:tc>
        <w:tc>
          <w:tcPr>
            <w:tcW w:w="705" w:type="dxa"/>
            <w:shd w:val="clear" w:color="auto" w:fill="auto"/>
            <w:noWrap/>
            <w:vAlign w:val="center"/>
            <w:hideMark/>
          </w:tcPr>
          <w:p w14:paraId="2A71E2C4"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2</w:t>
            </w:r>
          </w:p>
        </w:tc>
        <w:tc>
          <w:tcPr>
            <w:tcW w:w="706" w:type="dxa"/>
            <w:shd w:val="clear" w:color="auto" w:fill="auto"/>
            <w:noWrap/>
            <w:vAlign w:val="center"/>
            <w:hideMark/>
          </w:tcPr>
          <w:p w14:paraId="6E15313F"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3</w:t>
            </w:r>
          </w:p>
        </w:tc>
        <w:tc>
          <w:tcPr>
            <w:tcW w:w="705" w:type="dxa"/>
            <w:shd w:val="clear" w:color="auto" w:fill="auto"/>
            <w:noWrap/>
            <w:vAlign w:val="center"/>
            <w:hideMark/>
          </w:tcPr>
          <w:p w14:paraId="3E0F38FF"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4</w:t>
            </w:r>
          </w:p>
        </w:tc>
        <w:tc>
          <w:tcPr>
            <w:tcW w:w="705" w:type="dxa"/>
            <w:shd w:val="clear" w:color="auto" w:fill="auto"/>
            <w:noWrap/>
            <w:vAlign w:val="center"/>
            <w:hideMark/>
          </w:tcPr>
          <w:p w14:paraId="690A52E5"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5</w:t>
            </w:r>
          </w:p>
        </w:tc>
        <w:tc>
          <w:tcPr>
            <w:tcW w:w="705" w:type="dxa"/>
            <w:shd w:val="clear" w:color="auto" w:fill="auto"/>
            <w:noWrap/>
            <w:vAlign w:val="center"/>
            <w:hideMark/>
          </w:tcPr>
          <w:p w14:paraId="4C1B073D"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6</w:t>
            </w:r>
          </w:p>
        </w:tc>
        <w:tc>
          <w:tcPr>
            <w:tcW w:w="706" w:type="dxa"/>
            <w:shd w:val="clear" w:color="auto" w:fill="auto"/>
            <w:noWrap/>
            <w:vAlign w:val="center"/>
            <w:hideMark/>
          </w:tcPr>
          <w:p w14:paraId="43F18627"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7</w:t>
            </w:r>
          </w:p>
        </w:tc>
      </w:tr>
      <w:tr w:rsidR="009C2EB0" w:rsidRPr="00664D52" w14:paraId="55CEBE70" w14:textId="77777777" w:rsidTr="00C138C5">
        <w:trPr>
          <w:trHeight w:val="444"/>
        </w:trPr>
        <w:tc>
          <w:tcPr>
            <w:tcW w:w="1203" w:type="dxa"/>
            <w:vMerge w:val="restart"/>
            <w:shd w:val="clear" w:color="auto" w:fill="auto"/>
            <w:vAlign w:val="center"/>
            <w:hideMark/>
          </w:tcPr>
          <w:p w14:paraId="592A6607"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Feedstock Cost (USD/kg biomass)</w:t>
            </w:r>
          </w:p>
        </w:tc>
        <w:tc>
          <w:tcPr>
            <w:tcW w:w="682" w:type="dxa"/>
            <w:shd w:val="clear" w:color="auto" w:fill="auto"/>
            <w:noWrap/>
            <w:vAlign w:val="center"/>
            <w:hideMark/>
          </w:tcPr>
          <w:p w14:paraId="4A9900E5"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w:t>
            </w:r>
          </w:p>
        </w:tc>
        <w:tc>
          <w:tcPr>
            <w:tcW w:w="705" w:type="dxa"/>
            <w:shd w:val="clear" w:color="auto" w:fill="auto"/>
            <w:noWrap/>
            <w:vAlign w:val="center"/>
            <w:hideMark/>
          </w:tcPr>
          <w:p w14:paraId="6AC42FAC"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05" w:type="dxa"/>
            <w:shd w:val="clear" w:color="auto" w:fill="auto"/>
            <w:noWrap/>
            <w:vAlign w:val="center"/>
            <w:hideMark/>
          </w:tcPr>
          <w:p w14:paraId="0365DB90"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0.16</w:t>
            </w:r>
          </w:p>
        </w:tc>
        <w:tc>
          <w:tcPr>
            <w:tcW w:w="705" w:type="dxa"/>
            <w:shd w:val="clear" w:color="auto" w:fill="auto"/>
            <w:noWrap/>
            <w:vAlign w:val="center"/>
            <w:hideMark/>
          </w:tcPr>
          <w:p w14:paraId="75A4E360"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0.31</w:t>
            </w:r>
          </w:p>
        </w:tc>
        <w:tc>
          <w:tcPr>
            <w:tcW w:w="706" w:type="dxa"/>
            <w:shd w:val="clear" w:color="auto" w:fill="auto"/>
            <w:noWrap/>
            <w:vAlign w:val="center"/>
            <w:hideMark/>
          </w:tcPr>
          <w:p w14:paraId="51B3BF54"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0.47</w:t>
            </w:r>
          </w:p>
        </w:tc>
        <w:tc>
          <w:tcPr>
            <w:tcW w:w="705" w:type="dxa"/>
            <w:shd w:val="clear" w:color="auto" w:fill="auto"/>
            <w:noWrap/>
            <w:vAlign w:val="center"/>
            <w:hideMark/>
          </w:tcPr>
          <w:p w14:paraId="77BFD141"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0.63</w:t>
            </w:r>
          </w:p>
        </w:tc>
        <w:tc>
          <w:tcPr>
            <w:tcW w:w="705" w:type="dxa"/>
            <w:shd w:val="clear" w:color="auto" w:fill="auto"/>
            <w:noWrap/>
            <w:vAlign w:val="center"/>
            <w:hideMark/>
          </w:tcPr>
          <w:p w14:paraId="14CB9F5B"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0.79</w:t>
            </w:r>
          </w:p>
        </w:tc>
        <w:tc>
          <w:tcPr>
            <w:tcW w:w="705" w:type="dxa"/>
            <w:shd w:val="clear" w:color="auto" w:fill="auto"/>
            <w:noWrap/>
            <w:vAlign w:val="center"/>
            <w:hideMark/>
          </w:tcPr>
          <w:p w14:paraId="62AD1988"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0.94</w:t>
            </w:r>
          </w:p>
        </w:tc>
        <w:tc>
          <w:tcPr>
            <w:tcW w:w="706" w:type="dxa"/>
            <w:shd w:val="clear" w:color="auto" w:fill="auto"/>
            <w:noWrap/>
            <w:vAlign w:val="center"/>
            <w:hideMark/>
          </w:tcPr>
          <w:p w14:paraId="25B96E71"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1.10</w:t>
            </w:r>
          </w:p>
        </w:tc>
      </w:tr>
      <w:tr w:rsidR="009C2EB0" w:rsidRPr="00664D52" w14:paraId="3AF967B6" w14:textId="77777777" w:rsidTr="00C138C5">
        <w:trPr>
          <w:trHeight w:val="444"/>
        </w:trPr>
        <w:tc>
          <w:tcPr>
            <w:tcW w:w="1203" w:type="dxa"/>
            <w:vMerge/>
            <w:vAlign w:val="center"/>
            <w:hideMark/>
          </w:tcPr>
          <w:p w14:paraId="776CC346"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682" w:type="dxa"/>
            <w:shd w:val="clear" w:color="auto" w:fill="auto"/>
            <w:noWrap/>
            <w:vAlign w:val="center"/>
            <w:hideMark/>
          </w:tcPr>
          <w:p w14:paraId="228C468C"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0.1</w:t>
            </w:r>
          </w:p>
        </w:tc>
        <w:tc>
          <w:tcPr>
            <w:tcW w:w="705" w:type="dxa"/>
            <w:shd w:val="clear" w:color="auto" w:fill="auto"/>
            <w:noWrap/>
            <w:vAlign w:val="center"/>
            <w:hideMark/>
          </w:tcPr>
          <w:p w14:paraId="7A7B34E9"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05" w:type="dxa"/>
            <w:shd w:val="clear" w:color="auto" w:fill="auto"/>
            <w:noWrap/>
            <w:vAlign w:val="center"/>
            <w:hideMark/>
          </w:tcPr>
          <w:p w14:paraId="63A9B67E"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0.24</w:t>
            </w:r>
          </w:p>
        </w:tc>
        <w:tc>
          <w:tcPr>
            <w:tcW w:w="705" w:type="dxa"/>
            <w:shd w:val="clear" w:color="auto" w:fill="auto"/>
            <w:noWrap/>
            <w:vAlign w:val="center"/>
            <w:hideMark/>
          </w:tcPr>
          <w:p w14:paraId="00CAF6B0"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0.48</w:t>
            </w:r>
          </w:p>
        </w:tc>
        <w:tc>
          <w:tcPr>
            <w:tcW w:w="706" w:type="dxa"/>
            <w:shd w:val="clear" w:color="auto" w:fill="auto"/>
            <w:noWrap/>
            <w:vAlign w:val="center"/>
            <w:hideMark/>
          </w:tcPr>
          <w:p w14:paraId="05667B88"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0.72</w:t>
            </w:r>
          </w:p>
        </w:tc>
        <w:tc>
          <w:tcPr>
            <w:tcW w:w="705" w:type="dxa"/>
            <w:shd w:val="clear" w:color="auto" w:fill="auto"/>
            <w:noWrap/>
            <w:vAlign w:val="center"/>
            <w:hideMark/>
          </w:tcPr>
          <w:p w14:paraId="479DCFB9"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0.96</w:t>
            </w:r>
          </w:p>
        </w:tc>
        <w:tc>
          <w:tcPr>
            <w:tcW w:w="705" w:type="dxa"/>
            <w:shd w:val="clear" w:color="auto" w:fill="auto"/>
            <w:noWrap/>
            <w:vAlign w:val="center"/>
            <w:hideMark/>
          </w:tcPr>
          <w:p w14:paraId="0C36BDD7"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1.20</w:t>
            </w:r>
          </w:p>
        </w:tc>
        <w:tc>
          <w:tcPr>
            <w:tcW w:w="705" w:type="dxa"/>
            <w:shd w:val="clear" w:color="auto" w:fill="auto"/>
            <w:noWrap/>
            <w:vAlign w:val="center"/>
            <w:hideMark/>
          </w:tcPr>
          <w:p w14:paraId="2B1D9C3A"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1.44</w:t>
            </w:r>
          </w:p>
        </w:tc>
        <w:tc>
          <w:tcPr>
            <w:tcW w:w="706" w:type="dxa"/>
            <w:shd w:val="clear" w:color="auto" w:fill="auto"/>
            <w:noWrap/>
            <w:vAlign w:val="center"/>
            <w:hideMark/>
          </w:tcPr>
          <w:p w14:paraId="29FF1C9C"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1.68</w:t>
            </w:r>
          </w:p>
        </w:tc>
      </w:tr>
      <w:tr w:rsidR="009C2EB0" w:rsidRPr="00664D52" w14:paraId="38AF021A" w14:textId="77777777" w:rsidTr="00C138C5">
        <w:trPr>
          <w:trHeight w:val="444"/>
        </w:trPr>
        <w:tc>
          <w:tcPr>
            <w:tcW w:w="1203" w:type="dxa"/>
            <w:vMerge/>
            <w:vAlign w:val="center"/>
            <w:hideMark/>
          </w:tcPr>
          <w:p w14:paraId="0D0C7F32"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682" w:type="dxa"/>
            <w:shd w:val="clear" w:color="auto" w:fill="auto"/>
            <w:noWrap/>
            <w:vAlign w:val="center"/>
            <w:hideMark/>
          </w:tcPr>
          <w:p w14:paraId="33785EFB"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0.2</w:t>
            </w:r>
          </w:p>
        </w:tc>
        <w:tc>
          <w:tcPr>
            <w:tcW w:w="705" w:type="dxa"/>
            <w:shd w:val="clear" w:color="auto" w:fill="auto"/>
            <w:noWrap/>
            <w:vAlign w:val="center"/>
            <w:hideMark/>
          </w:tcPr>
          <w:p w14:paraId="2BE09768"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05" w:type="dxa"/>
            <w:shd w:val="clear" w:color="auto" w:fill="auto"/>
            <w:noWrap/>
            <w:vAlign w:val="center"/>
            <w:hideMark/>
          </w:tcPr>
          <w:p w14:paraId="621D2A8D"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0.32</w:t>
            </w:r>
          </w:p>
        </w:tc>
        <w:tc>
          <w:tcPr>
            <w:tcW w:w="705" w:type="dxa"/>
            <w:shd w:val="clear" w:color="auto" w:fill="auto"/>
            <w:noWrap/>
            <w:vAlign w:val="center"/>
            <w:hideMark/>
          </w:tcPr>
          <w:p w14:paraId="13F63ECA"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0.64</w:t>
            </w:r>
          </w:p>
        </w:tc>
        <w:tc>
          <w:tcPr>
            <w:tcW w:w="706" w:type="dxa"/>
            <w:shd w:val="clear" w:color="auto" w:fill="auto"/>
            <w:noWrap/>
            <w:vAlign w:val="center"/>
            <w:hideMark/>
          </w:tcPr>
          <w:p w14:paraId="68D37D82"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0.97</w:t>
            </w:r>
          </w:p>
        </w:tc>
        <w:tc>
          <w:tcPr>
            <w:tcW w:w="705" w:type="dxa"/>
            <w:shd w:val="clear" w:color="auto" w:fill="auto"/>
            <w:noWrap/>
            <w:vAlign w:val="center"/>
            <w:hideMark/>
          </w:tcPr>
          <w:p w14:paraId="1482D1ED"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1.29</w:t>
            </w:r>
          </w:p>
        </w:tc>
        <w:tc>
          <w:tcPr>
            <w:tcW w:w="705" w:type="dxa"/>
            <w:shd w:val="clear" w:color="auto" w:fill="auto"/>
            <w:noWrap/>
            <w:vAlign w:val="center"/>
            <w:hideMark/>
          </w:tcPr>
          <w:p w14:paraId="79BC2193"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1.61</w:t>
            </w:r>
          </w:p>
        </w:tc>
        <w:tc>
          <w:tcPr>
            <w:tcW w:w="705" w:type="dxa"/>
            <w:shd w:val="clear" w:color="auto" w:fill="auto"/>
            <w:noWrap/>
            <w:vAlign w:val="center"/>
            <w:hideMark/>
          </w:tcPr>
          <w:p w14:paraId="4160F23F"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1.93</w:t>
            </w:r>
          </w:p>
        </w:tc>
        <w:tc>
          <w:tcPr>
            <w:tcW w:w="706" w:type="dxa"/>
            <w:shd w:val="clear" w:color="auto" w:fill="auto"/>
            <w:noWrap/>
            <w:vAlign w:val="center"/>
            <w:hideMark/>
          </w:tcPr>
          <w:p w14:paraId="3F3A3FD1"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2.26</w:t>
            </w:r>
          </w:p>
        </w:tc>
      </w:tr>
      <w:tr w:rsidR="009C2EB0" w:rsidRPr="00664D52" w14:paraId="4BF7530F" w14:textId="77777777" w:rsidTr="00C138C5">
        <w:trPr>
          <w:trHeight w:val="444"/>
        </w:trPr>
        <w:tc>
          <w:tcPr>
            <w:tcW w:w="1203" w:type="dxa"/>
            <w:vMerge/>
            <w:vAlign w:val="center"/>
            <w:hideMark/>
          </w:tcPr>
          <w:p w14:paraId="2CF07CBC"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682" w:type="dxa"/>
            <w:shd w:val="clear" w:color="auto" w:fill="auto"/>
            <w:noWrap/>
            <w:vAlign w:val="center"/>
            <w:hideMark/>
          </w:tcPr>
          <w:p w14:paraId="20EDF13F"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0.3</w:t>
            </w:r>
          </w:p>
        </w:tc>
        <w:tc>
          <w:tcPr>
            <w:tcW w:w="705" w:type="dxa"/>
            <w:shd w:val="clear" w:color="auto" w:fill="auto"/>
            <w:noWrap/>
            <w:vAlign w:val="center"/>
            <w:hideMark/>
          </w:tcPr>
          <w:p w14:paraId="634CB329"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05" w:type="dxa"/>
            <w:shd w:val="clear" w:color="auto" w:fill="auto"/>
            <w:noWrap/>
            <w:vAlign w:val="center"/>
            <w:hideMark/>
          </w:tcPr>
          <w:p w14:paraId="10820B5B"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0.40</w:t>
            </w:r>
          </w:p>
        </w:tc>
        <w:tc>
          <w:tcPr>
            <w:tcW w:w="705" w:type="dxa"/>
            <w:shd w:val="clear" w:color="auto" w:fill="auto"/>
            <w:noWrap/>
            <w:vAlign w:val="center"/>
            <w:hideMark/>
          </w:tcPr>
          <w:p w14:paraId="67FA6544"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0.81</w:t>
            </w:r>
          </w:p>
        </w:tc>
        <w:tc>
          <w:tcPr>
            <w:tcW w:w="706" w:type="dxa"/>
            <w:shd w:val="clear" w:color="auto" w:fill="auto"/>
            <w:noWrap/>
            <w:vAlign w:val="center"/>
            <w:hideMark/>
          </w:tcPr>
          <w:p w14:paraId="0C0BDF49"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1.21</w:t>
            </w:r>
          </w:p>
        </w:tc>
        <w:tc>
          <w:tcPr>
            <w:tcW w:w="705" w:type="dxa"/>
            <w:shd w:val="clear" w:color="auto" w:fill="auto"/>
            <w:noWrap/>
            <w:vAlign w:val="center"/>
            <w:hideMark/>
          </w:tcPr>
          <w:p w14:paraId="3E81B77B"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1.62</w:t>
            </w:r>
          </w:p>
        </w:tc>
        <w:tc>
          <w:tcPr>
            <w:tcW w:w="705" w:type="dxa"/>
            <w:shd w:val="clear" w:color="auto" w:fill="auto"/>
            <w:noWrap/>
            <w:vAlign w:val="center"/>
            <w:hideMark/>
          </w:tcPr>
          <w:p w14:paraId="1168B9DC"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2.02</w:t>
            </w:r>
          </w:p>
        </w:tc>
        <w:tc>
          <w:tcPr>
            <w:tcW w:w="705" w:type="dxa"/>
            <w:shd w:val="clear" w:color="auto" w:fill="auto"/>
            <w:noWrap/>
            <w:vAlign w:val="center"/>
            <w:hideMark/>
          </w:tcPr>
          <w:p w14:paraId="79AEEE08"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2.43</w:t>
            </w:r>
          </w:p>
        </w:tc>
        <w:tc>
          <w:tcPr>
            <w:tcW w:w="706" w:type="dxa"/>
            <w:shd w:val="clear" w:color="auto" w:fill="auto"/>
            <w:noWrap/>
            <w:vAlign w:val="center"/>
            <w:hideMark/>
          </w:tcPr>
          <w:p w14:paraId="46EEA330"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2.83</w:t>
            </w:r>
          </w:p>
        </w:tc>
      </w:tr>
      <w:tr w:rsidR="009C2EB0" w:rsidRPr="00664D52" w14:paraId="741DA9F6" w14:textId="77777777" w:rsidTr="00C138C5">
        <w:trPr>
          <w:trHeight w:val="444"/>
        </w:trPr>
        <w:tc>
          <w:tcPr>
            <w:tcW w:w="1203" w:type="dxa"/>
            <w:vMerge/>
            <w:vAlign w:val="center"/>
            <w:hideMark/>
          </w:tcPr>
          <w:p w14:paraId="6A3A527E"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682" w:type="dxa"/>
            <w:shd w:val="clear" w:color="auto" w:fill="auto"/>
            <w:noWrap/>
            <w:vAlign w:val="center"/>
            <w:hideMark/>
          </w:tcPr>
          <w:p w14:paraId="5A7BA921"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0.4</w:t>
            </w:r>
          </w:p>
        </w:tc>
        <w:tc>
          <w:tcPr>
            <w:tcW w:w="705" w:type="dxa"/>
            <w:shd w:val="clear" w:color="auto" w:fill="auto"/>
            <w:noWrap/>
            <w:vAlign w:val="center"/>
            <w:hideMark/>
          </w:tcPr>
          <w:p w14:paraId="55142C68"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05" w:type="dxa"/>
            <w:shd w:val="clear" w:color="auto" w:fill="auto"/>
            <w:noWrap/>
            <w:vAlign w:val="center"/>
            <w:hideMark/>
          </w:tcPr>
          <w:p w14:paraId="01F86E52"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0.49</w:t>
            </w:r>
          </w:p>
        </w:tc>
        <w:tc>
          <w:tcPr>
            <w:tcW w:w="705" w:type="dxa"/>
            <w:shd w:val="clear" w:color="auto" w:fill="auto"/>
            <w:noWrap/>
            <w:vAlign w:val="center"/>
            <w:hideMark/>
          </w:tcPr>
          <w:p w14:paraId="32ACFFC7"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0.98</w:t>
            </w:r>
          </w:p>
        </w:tc>
        <w:tc>
          <w:tcPr>
            <w:tcW w:w="706" w:type="dxa"/>
            <w:shd w:val="clear" w:color="auto" w:fill="auto"/>
            <w:noWrap/>
            <w:vAlign w:val="center"/>
            <w:hideMark/>
          </w:tcPr>
          <w:p w14:paraId="31DD53C8"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1.46</w:t>
            </w:r>
          </w:p>
        </w:tc>
        <w:tc>
          <w:tcPr>
            <w:tcW w:w="705" w:type="dxa"/>
            <w:shd w:val="clear" w:color="auto" w:fill="auto"/>
            <w:noWrap/>
            <w:vAlign w:val="center"/>
            <w:hideMark/>
          </w:tcPr>
          <w:p w14:paraId="12E3EC03"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1.95</w:t>
            </w:r>
          </w:p>
        </w:tc>
        <w:tc>
          <w:tcPr>
            <w:tcW w:w="705" w:type="dxa"/>
            <w:shd w:val="clear" w:color="auto" w:fill="auto"/>
            <w:noWrap/>
            <w:vAlign w:val="center"/>
            <w:hideMark/>
          </w:tcPr>
          <w:p w14:paraId="4CE1E616"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2.44</w:t>
            </w:r>
          </w:p>
        </w:tc>
        <w:tc>
          <w:tcPr>
            <w:tcW w:w="705" w:type="dxa"/>
            <w:shd w:val="clear" w:color="auto" w:fill="auto"/>
            <w:noWrap/>
            <w:vAlign w:val="center"/>
            <w:hideMark/>
          </w:tcPr>
          <w:p w14:paraId="1144C046"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2.93</w:t>
            </w:r>
          </w:p>
        </w:tc>
        <w:tc>
          <w:tcPr>
            <w:tcW w:w="706" w:type="dxa"/>
            <w:shd w:val="clear" w:color="auto" w:fill="auto"/>
            <w:noWrap/>
            <w:vAlign w:val="center"/>
            <w:hideMark/>
          </w:tcPr>
          <w:p w14:paraId="1590EE96"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3.41</w:t>
            </w:r>
          </w:p>
        </w:tc>
      </w:tr>
      <w:tr w:rsidR="009C2EB0" w:rsidRPr="00664D52" w14:paraId="36430703" w14:textId="77777777" w:rsidTr="00C138C5">
        <w:trPr>
          <w:trHeight w:val="444"/>
        </w:trPr>
        <w:tc>
          <w:tcPr>
            <w:tcW w:w="1203" w:type="dxa"/>
            <w:vMerge/>
            <w:vAlign w:val="center"/>
            <w:hideMark/>
          </w:tcPr>
          <w:p w14:paraId="310E286C"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682" w:type="dxa"/>
            <w:shd w:val="clear" w:color="auto" w:fill="auto"/>
            <w:noWrap/>
            <w:vAlign w:val="center"/>
            <w:hideMark/>
          </w:tcPr>
          <w:p w14:paraId="07317A00"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0.5</w:t>
            </w:r>
          </w:p>
        </w:tc>
        <w:tc>
          <w:tcPr>
            <w:tcW w:w="705" w:type="dxa"/>
            <w:shd w:val="clear" w:color="auto" w:fill="auto"/>
            <w:noWrap/>
            <w:vAlign w:val="center"/>
            <w:hideMark/>
          </w:tcPr>
          <w:p w14:paraId="1021FF69"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05" w:type="dxa"/>
            <w:shd w:val="clear" w:color="auto" w:fill="auto"/>
            <w:noWrap/>
            <w:vAlign w:val="center"/>
            <w:hideMark/>
          </w:tcPr>
          <w:p w14:paraId="03501579"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0.57</w:t>
            </w:r>
          </w:p>
        </w:tc>
        <w:tc>
          <w:tcPr>
            <w:tcW w:w="705" w:type="dxa"/>
            <w:shd w:val="clear" w:color="auto" w:fill="auto"/>
            <w:noWrap/>
            <w:vAlign w:val="center"/>
            <w:hideMark/>
          </w:tcPr>
          <w:p w14:paraId="32546A85"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1.14</w:t>
            </w:r>
          </w:p>
        </w:tc>
        <w:tc>
          <w:tcPr>
            <w:tcW w:w="706" w:type="dxa"/>
            <w:shd w:val="clear" w:color="auto" w:fill="auto"/>
            <w:noWrap/>
            <w:vAlign w:val="center"/>
            <w:hideMark/>
          </w:tcPr>
          <w:p w14:paraId="6B87468F"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1.71</w:t>
            </w:r>
          </w:p>
        </w:tc>
        <w:tc>
          <w:tcPr>
            <w:tcW w:w="705" w:type="dxa"/>
            <w:shd w:val="clear" w:color="auto" w:fill="auto"/>
            <w:noWrap/>
            <w:vAlign w:val="center"/>
            <w:hideMark/>
          </w:tcPr>
          <w:p w14:paraId="3FAACF6A"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2.28</w:t>
            </w:r>
          </w:p>
        </w:tc>
        <w:tc>
          <w:tcPr>
            <w:tcW w:w="705" w:type="dxa"/>
            <w:shd w:val="clear" w:color="auto" w:fill="auto"/>
            <w:noWrap/>
            <w:vAlign w:val="center"/>
            <w:hideMark/>
          </w:tcPr>
          <w:p w14:paraId="16E3EBE7"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2.85</w:t>
            </w:r>
          </w:p>
        </w:tc>
        <w:tc>
          <w:tcPr>
            <w:tcW w:w="705" w:type="dxa"/>
            <w:shd w:val="clear" w:color="auto" w:fill="auto"/>
            <w:noWrap/>
            <w:vAlign w:val="center"/>
            <w:hideMark/>
          </w:tcPr>
          <w:p w14:paraId="40DDC0F4"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3.42</w:t>
            </w:r>
          </w:p>
        </w:tc>
        <w:tc>
          <w:tcPr>
            <w:tcW w:w="706" w:type="dxa"/>
            <w:shd w:val="clear" w:color="auto" w:fill="auto"/>
            <w:noWrap/>
            <w:vAlign w:val="center"/>
            <w:hideMark/>
          </w:tcPr>
          <w:p w14:paraId="164027C9"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3.99</w:t>
            </w:r>
          </w:p>
        </w:tc>
      </w:tr>
      <w:tr w:rsidR="009C2EB0" w:rsidRPr="00664D52" w14:paraId="013D5149" w14:textId="77777777" w:rsidTr="00C138C5">
        <w:trPr>
          <w:trHeight w:val="444"/>
        </w:trPr>
        <w:tc>
          <w:tcPr>
            <w:tcW w:w="1203" w:type="dxa"/>
            <w:vMerge/>
            <w:vAlign w:val="center"/>
            <w:hideMark/>
          </w:tcPr>
          <w:p w14:paraId="4470D262"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682" w:type="dxa"/>
            <w:shd w:val="clear" w:color="auto" w:fill="auto"/>
            <w:noWrap/>
            <w:vAlign w:val="center"/>
            <w:hideMark/>
          </w:tcPr>
          <w:p w14:paraId="3743E0B4"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0.6</w:t>
            </w:r>
          </w:p>
        </w:tc>
        <w:tc>
          <w:tcPr>
            <w:tcW w:w="705" w:type="dxa"/>
            <w:shd w:val="clear" w:color="auto" w:fill="auto"/>
            <w:noWrap/>
            <w:vAlign w:val="center"/>
            <w:hideMark/>
          </w:tcPr>
          <w:p w14:paraId="421030D5"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05" w:type="dxa"/>
            <w:shd w:val="clear" w:color="auto" w:fill="auto"/>
            <w:noWrap/>
            <w:vAlign w:val="center"/>
            <w:hideMark/>
          </w:tcPr>
          <w:p w14:paraId="022E343F"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0.65</w:t>
            </w:r>
          </w:p>
        </w:tc>
        <w:tc>
          <w:tcPr>
            <w:tcW w:w="705" w:type="dxa"/>
            <w:shd w:val="clear" w:color="auto" w:fill="auto"/>
            <w:noWrap/>
            <w:vAlign w:val="center"/>
            <w:hideMark/>
          </w:tcPr>
          <w:p w14:paraId="419718B2"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1.31</w:t>
            </w:r>
          </w:p>
        </w:tc>
        <w:tc>
          <w:tcPr>
            <w:tcW w:w="706" w:type="dxa"/>
            <w:shd w:val="clear" w:color="auto" w:fill="auto"/>
            <w:noWrap/>
            <w:vAlign w:val="center"/>
            <w:hideMark/>
          </w:tcPr>
          <w:p w14:paraId="5C9B4D44"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1.96</w:t>
            </w:r>
          </w:p>
        </w:tc>
        <w:tc>
          <w:tcPr>
            <w:tcW w:w="705" w:type="dxa"/>
            <w:shd w:val="clear" w:color="auto" w:fill="auto"/>
            <w:noWrap/>
            <w:vAlign w:val="center"/>
            <w:hideMark/>
          </w:tcPr>
          <w:p w14:paraId="4CF00A0F"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2.61</w:t>
            </w:r>
          </w:p>
        </w:tc>
        <w:tc>
          <w:tcPr>
            <w:tcW w:w="705" w:type="dxa"/>
            <w:shd w:val="clear" w:color="auto" w:fill="auto"/>
            <w:noWrap/>
            <w:vAlign w:val="center"/>
            <w:hideMark/>
          </w:tcPr>
          <w:p w14:paraId="2FBED1EB"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3.26</w:t>
            </w:r>
          </w:p>
        </w:tc>
        <w:tc>
          <w:tcPr>
            <w:tcW w:w="705" w:type="dxa"/>
            <w:shd w:val="clear" w:color="auto" w:fill="auto"/>
            <w:noWrap/>
            <w:vAlign w:val="center"/>
            <w:hideMark/>
          </w:tcPr>
          <w:p w14:paraId="4687F080"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3.92</w:t>
            </w:r>
          </w:p>
        </w:tc>
        <w:tc>
          <w:tcPr>
            <w:tcW w:w="706" w:type="dxa"/>
            <w:shd w:val="clear" w:color="auto" w:fill="auto"/>
            <w:noWrap/>
            <w:vAlign w:val="center"/>
            <w:hideMark/>
          </w:tcPr>
          <w:p w14:paraId="682226F4"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4.57</w:t>
            </w:r>
          </w:p>
        </w:tc>
      </w:tr>
      <w:tr w:rsidR="009C2EB0" w:rsidRPr="00664D52" w14:paraId="1D27BC1C" w14:textId="77777777" w:rsidTr="00C138C5">
        <w:trPr>
          <w:trHeight w:val="444"/>
        </w:trPr>
        <w:tc>
          <w:tcPr>
            <w:tcW w:w="1203" w:type="dxa"/>
            <w:vMerge/>
            <w:vAlign w:val="center"/>
            <w:hideMark/>
          </w:tcPr>
          <w:p w14:paraId="28640D8D"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682" w:type="dxa"/>
            <w:shd w:val="clear" w:color="auto" w:fill="auto"/>
            <w:noWrap/>
            <w:vAlign w:val="center"/>
            <w:hideMark/>
          </w:tcPr>
          <w:p w14:paraId="21689E43"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0.7</w:t>
            </w:r>
          </w:p>
        </w:tc>
        <w:tc>
          <w:tcPr>
            <w:tcW w:w="705" w:type="dxa"/>
            <w:shd w:val="clear" w:color="auto" w:fill="auto"/>
            <w:noWrap/>
            <w:vAlign w:val="center"/>
            <w:hideMark/>
          </w:tcPr>
          <w:p w14:paraId="458C2C9F"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05" w:type="dxa"/>
            <w:shd w:val="clear" w:color="auto" w:fill="auto"/>
            <w:noWrap/>
            <w:vAlign w:val="center"/>
            <w:hideMark/>
          </w:tcPr>
          <w:p w14:paraId="2D989B67"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0.74</w:t>
            </w:r>
          </w:p>
        </w:tc>
        <w:tc>
          <w:tcPr>
            <w:tcW w:w="705" w:type="dxa"/>
            <w:shd w:val="clear" w:color="auto" w:fill="auto"/>
            <w:noWrap/>
            <w:vAlign w:val="center"/>
            <w:hideMark/>
          </w:tcPr>
          <w:p w14:paraId="528E9316"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1.47</w:t>
            </w:r>
          </w:p>
        </w:tc>
        <w:tc>
          <w:tcPr>
            <w:tcW w:w="706" w:type="dxa"/>
            <w:shd w:val="clear" w:color="auto" w:fill="auto"/>
            <w:noWrap/>
            <w:vAlign w:val="center"/>
            <w:hideMark/>
          </w:tcPr>
          <w:p w14:paraId="42AD9692"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2.21</w:t>
            </w:r>
          </w:p>
        </w:tc>
        <w:tc>
          <w:tcPr>
            <w:tcW w:w="705" w:type="dxa"/>
            <w:shd w:val="clear" w:color="auto" w:fill="auto"/>
            <w:noWrap/>
            <w:vAlign w:val="center"/>
            <w:hideMark/>
          </w:tcPr>
          <w:p w14:paraId="1876483E"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2.94</w:t>
            </w:r>
          </w:p>
        </w:tc>
        <w:tc>
          <w:tcPr>
            <w:tcW w:w="705" w:type="dxa"/>
            <w:shd w:val="clear" w:color="auto" w:fill="auto"/>
            <w:noWrap/>
            <w:vAlign w:val="center"/>
            <w:hideMark/>
          </w:tcPr>
          <w:p w14:paraId="0CBE26E7"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3.68</w:t>
            </w:r>
          </w:p>
        </w:tc>
        <w:tc>
          <w:tcPr>
            <w:tcW w:w="705" w:type="dxa"/>
            <w:shd w:val="clear" w:color="auto" w:fill="auto"/>
            <w:noWrap/>
            <w:vAlign w:val="center"/>
            <w:hideMark/>
          </w:tcPr>
          <w:p w14:paraId="75E71E1E"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4.41</w:t>
            </w:r>
          </w:p>
        </w:tc>
        <w:tc>
          <w:tcPr>
            <w:tcW w:w="706" w:type="dxa"/>
            <w:shd w:val="clear" w:color="auto" w:fill="auto"/>
            <w:noWrap/>
            <w:vAlign w:val="center"/>
            <w:hideMark/>
          </w:tcPr>
          <w:p w14:paraId="3E7B5990"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5.15</w:t>
            </w:r>
          </w:p>
        </w:tc>
      </w:tr>
      <w:tr w:rsidR="009C2EB0" w:rsidRPr="00664D52" w14:paraId="63C696D4" w14:textId="77777777" w:rsidTr="00C138C5">
        <w:trPr>
          <w:trHeight w:val="444"/>
        </w:trPr>
        <w:tc>
          <w:tcPr>
            <w:tcW w:w="1203" w:type="dxa"/>
            <w:vMerge/>
            <w:vAlign w:val="center"/>
            <w:hideMark/>
          </w:tcPr>
          <w:p w14:paraId="18684D00"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682" w:type="dxa"/>
            <w:shd w:val="clear" w:color="auto" w:fill="auto"/>
            <w:noWrap/>
            <w:vAlign w:val="center"/>
            <w:hideMark/>
          </w:tcPr>
          <w:p w14:paraId="745EAFC5"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0.8</w:t>
            </w:r>
          </w:p>
        </w:tc>
        <w:tc>
          <w:tcPr>
            <w:tcW w:w="705" w:type="dxa"/>
            <w:shd w:val="clear" w:color="auto" w:fill="auto"/>
            <w:noWrap/>
            <w:vAlign w:val="center"/>
            <w:hideMark/>
          </w:tcPr>
          <w:p w14:paraId="6F8A104D"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05" w:type="dxa"/>
            <w:shd w:val="clear" w:color="auto" w:fill="auto"/>
            <w:noWrap/>
            <w:vAlign w:val="center"/>
            <w:hideMark/>
          </w:tcPr>
          <w:p w14:paraId="1EA03E01"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0.82</w:t>
            </w:r>
          </w:p>
        </w:tc>
        <w:tc>
          <w:tcPr>
            <w:tcW w:w="705" w:type="dxa"/>
            <w:shd w:val="clear" w:color="auto" w:fill="auto"/>
            <w:noWrap/>
            <w:vAlign w:val="center"/>
            <w:hideMark/>
          </w:tcPr>
          <w:p w14:paraId="047772BA"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1.64</w:t>
            </w:r>
          </w:p>
        </w:tc>
        <w:tc>
          <w:tcPr>
            <w:tcW w:w="706" w:type="dxa"/>
            <w:shd w:val="clear" w:color="auto" w:fill="auto"/>
            <w:noWrap/>
            <w:vAlign w:val="center"/>
            <w:hideMark/>
          </w:tcPr>
          <w:p w14:paraId="7578EC2F"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2.45</w:t>
            </w:r>
          </w:p>
        </w:tc>
        <w:tc>
          <w:tcPr>
            <w:tcW w:w="705" w:type="dxa"/>
            <w:shd w:val="clear" w:color="auto" w:fill="auto"/>
            <w:noWrap/>
            <w:vAlign w:val="center"/>
            <w:hideMark/>
          </w:tcPr>
          <w:p w14:paraId="3B09C421"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3.27</w:t>
            </w:r>
          </w:p>
        </w:tc>
        <w:tc>
          <w:tcPr>
            <w:tcW w:w="705" w:type="dxa"/>
            <w:shd w:val="clear" w:color="auto" w:fill="auto"/>
            <w:noWrap/>
            <w:vAlign w:val="center"/>
            <w:hideMark/>
          </w:tcPr>
          <w:p w14:paraId="00B605FA"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4.09</w:t>
            </w:r>
          </w:p>
        </w:tc>
        <w:tc>
          <w:tcPr>
            <w:tcW w:w="705" w:type="dxa"/>
            <w:shd w:val="clear" w:color="auto" w:fill="auto"/>
            <w:noWrap/>
            <w:vAlign w:val="center"/>
            <w:hideMark/>
          </w:tcPr>
          <w:p w14:paraId="620FEF15"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4.91</w:t>
            </w:r>
          </w:p>
        </w:tc>
        <w:tc>
          <w:tcPr>
            <w:tcW w:w="706" w:type="dxa"/>
            <w:shd w:val="clear" w:color="auto" w:fill="auto"/>
            <w:noWrap/>
            <w:vAlign w:val="center"/>
            <w:hideMark/>
          </w:tcPr>
          <w:p w14:paraId="1853D95E"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5.73</w:t>
            </w:r>
          </w:p>
        </w:tc>
      </w:tr>
      <w:tr w:rsidR="009C2EB0" w:rsidRPr="00664D52" w14:paraId="21151D4B" w14:textId="77777777" w:rsidTr="00C138C5">
        <w:trPr>
          <w:trHeight w:val="444"/>
        </w:trPr>
        <w:tc>
          <w:tcPr>
            <w:tcW w:w="1203" w:type="dxa"/>
            <w:vMerge/>
            <w:vAlign w:val="center"/>
            <w:hideMark/>
          </w:tcPr>
          <w:p w14:paraId="54953F3F" w14:textId="77777777" w:rsidR="009C2EB0" w:rsidRPr="00664D52" w:rsidRDefault="009C2EB0" w:rsidP="00C138C5">
            <w:pPr>
              <w:snapToGrid w:val="0"/>
              <w:spacing w:after="120"/>
              <w:rPr>
                <w:rFonts w:ascii="Helvetica" w:eastAsia="Times New Roman" w:hAnsi="Helvetica" w:cstheme="minorHAnsi"/>
                <w:color w:val="000000"/>
                <w:sz w:val="20"/>
                <w:szCs w:val="20"/>
                <w:lang w:eastAsia="en-US"/>
              </w:rPr>
            </w:pPr>
          </w:p>
        </w:tc>
        <w:tc>
          <w:tcPr>
            <w:tcW w:w="682" w:type="dxa"/>
            <w:shd w:val="clear" w:color="auto" w:fill="auto"/>
            <w:noWrap/>
            <w:vAlign w:val="center"/>
            <w:hideMark/>
          </w:tcPr>
          <w:p w14:paraId="7CA833DE" w14:textId="77777777" w:rsidR="009C2EB0" w:rsidRPr="00664D52" w:rsidRDefault="009C2EB0" w:rsidP="00C138C5">
            <w:pPr>
              <w:snapToGrid w:val="0"/>
              <w:spacing w:after="120"/>
              <w:jc w:val="center"/>
              <w:rPr>
                <w:rFonts w:ascii="Helvetica" w:eastAsia="Times New Roman" w:hAnsi="Helvetica" w:cstheme="minorHAnsi"/>
                <w:b/>
                <w:bCs/>
                <w:color w:val="000000"/>
                <w:sz w:val="20"/>
                <w:szCs w:val="20"/>
                <w:lang w:eastAsia="en-US"/>
              </w:rPr>
            </w:pPr>
            <w:r w:rsidRPr="00664D52">
              <w:rPr>
                <w:rFonts w:ascii="Helvetica" w:eastAsia="Times New Roman" w:hAnsi="Helvetica" w:cstheme="minorHAnsi"/>
                <w:b/>
                <w:bCs/>
                <w:color w:val="000000"/>
                <w:sz w:val="20"/>
                <w:szCs w:val="20"/>
                <w:lang w:eastAsia="en-US"/>
              </w:rPr>
              <w:t>0.9</w:t>
            </w:r>
          </w:p>
        </w:tc>
        <w:tc>
          <w:tcPr>
            <w:tcW w:w="705" w:type="dxa"/>
            <w:shd w:val="clear" w:color="auto" w:fill="auto"/>
            <w:noWrap/>
            <w:vAlign w:val="center"/>
            <w:hideMark/>
          </w:tcPr>
          <w:p w14:paraId="5BDABFA3"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0.00</w:t>
            </w:r>
          </w:p>
        </w:tc>
        <w:tc>
          <w:tcPr>
            <w:tcW w:w="705" w:type="dxa"/>
            <w:shd w:val="clear" w:color="auto" w:fill="auto"/>
            <w:noWrap/>
            <w:vAlign w:val="center"/>
            <w:hideMark/>
          </w:tcPr>
          <w:p w14:paraId="71F6B0F2"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0.90</w:t>
            </w:r>
          </w:p>
        </w:tc>
        <w:tc>
          <w:tcPr>
            <w:tcW w:w="705" w:type="dxa"/>
            <w:shd w:val="clear" w:color="auto" w:fill="auto"/>
            <w:noWrap/>
            <w:vAlign w:val="center"/>
            <w:hideMark/>
          </w:tcPr>
          <w:p w14:paraId="1FEF20DD"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1.80</w:t>
            </w:r>
          </w:p>
        </w:tc>
        <w:tc>
          <w:tcPr>
            <w:tcW w:w="706" w:type="dxa"/>
            <w:shd w:val="clear" w:color="auto" w:fill="auto"/>
            <w:noWrap/>
            <w:vAlign w:val="center"/>
            <w:hideMark/>
          </w:tcPr>
          <w:p w14:paraId="33CC75F5"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2.70</w:t>
            </w:r>
          </w:p>
        </w:tc>
        <w:tc>
          <w:tcPr>
            <w:tcW w:w="705" w:type="dxa"/>
            <w:shd w:val="clear" w:color="auto" w:fill="auto"/>
            <w:noWrap/>
            <w:vAlign w:val="center"/>
            <w:hideMark/>
          </w:tcPr>
          <w:p w14:paraId="45D61045"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3.60</w:t>
            </w:r>
          </w:p>
        </w:tc>
        <w:tc>
          <w:tcPr>
            <w:tcW w:w="705" w:type="dxa"/>
            <w:shd w:val="clear" w:color="auto" w:fill="auto"/>
            <w:noWrap/>
            <w:vAlign w:val="center"/>
            <w:hideMark/>
          </w:tcPr>
          <w:p w14:paraId="403AFFDB"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4.50</w:t>
            </w:r>
          </w:p>
        </w:tc>
        <w:tc>
          <w:tcPr>
            <w:tcW w:w="705" w:type="dxa"/>
            <w:shd w:val="clear" w:color="auto" w:fill="auto"/>
            <w:noWrap/>
            <w:vAlign w:val="center"/>
            <w:hideMark/>
          </w:tcPr>
          <w:p w14:paraId="327657C4"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5.41</w:t>
            </w:r>
          </w:p>
        </w:tc>
        <w:tc>
          <w:tcPr>
            <w:tcW w:w="706" w:type="dxa"/>
            <w:shd w:val="clear" w:color="auto" w:fill="auto"/>
            <w:noWrap/>
            <w:vAlign w:val="center"/>
            <w:hideMark/>
          </w:tcPr>
          <w:p w14:paraId="0111C091" w14:textId="77777777" w:rsidR="009C2EB0" w:rsidRPr="00664D52" w:rsidRDefault="009C2EB0" w:rsidP="00C138C5">
            <w:pPr>
              <w:snapToGrid w:val="0"/>
              <w:spacing w:after="120"/>
              <w:jc w:val="center"/>
              <w:rPr>
                <w:rFonts w:ascii="Helvetica" w:eastAsia="Times New Roman" w:hAnsi="Helvetica" w:cstheme="minorHAnsi"/>
                <w:color w:val="000000"/>
                <w:sz w:val="20"/>
                <w:szCs w:val="20"/>
                <w:lang w:eastAsia="en-US"/>
              </w:rPr>
            </w:pPr>
            <w:r w:rsidRPr="00664D52">
              <w:rPr>
                <w:rFonts w:ascii="Helvetica" w:eastAsia="Times New Roman" w:hAnsi="Helvetica" w:cstheme="minorHAnsi"/>
                <w:color w:val="000000"/>
                <w:sz w:val="20"/>
                <w:szCs w:val="20"/>
                <w:lang w:eastAsia="en-US"/>
              </w:rPr>
              <w:t>6.31</w:t>
            </w:r>
          </w:p>
        </w:tc>
      </w:tr>
    </w:tbl>
    <w:p w14:paraId="42119CF1" w14:textId="77777777" w:rsidR="009C2EB0" w:rsidRPr="00664D52" w:rsidRDefault="009C2EB0" w:rsidP="009C2EB0">
      <w:pPr>
        <w:rPr>
          <w:rFonts w:ascii="Helvetica" w:hAnsi="Helvetica" w:cstheme="minorHAnsi"/>
          <w:b/>
          <w:bCs/>
          <w:sz w:val="28"/>
          <w:szCs w:val="28"/>
          <w:u w:val="single"/>
        </w:rPr>
      </w:pPr>
    </w:p>
    <w:p w14:paraId="5E07DF81" w14:textId="77777777" w:rsidR="0054566F" w:rsidRPr="00664D52" w:rsidRDefault="0054566F">
      <w:pPr>
        <w:rPr>
          <w:rFonts w:ascii="Helvetica" w:hAnsi="Helvetica" w:cstheme="minorHAnsi"/>
          <w:sz w:val="20"/>
          <w:szCs w:val="20"/>
        </w:rPr>
      </w:pPr>
    </w:p>
    <w:p w14:paraId="6F16452E" w14:textId="77777777" w:rsidR="0054566F" w:rsidRPr="00664D52" w:rsidRDefault="0054566F" w:rsidP="0054566F">
      <w:pPr>
        <w:spacing w:before="120" w:afterLines="120" w:after="288"/>
        <w:jc w:val="both"/>
        <w:rPr>
          <w:rFonts w:ascii="Helvetica" w:hAnsi="Helvetica" w:cstheme="minorHAnsi"/>
        </w:rPr>
      </w:pPr>
      <w:r w:rsidRPr="00664D52">
        <w:rPr>
          <w:rFonts w:ascii="Helvetica" w:hAnsi="Helvetica" w:cstheme="minorHAnsi"/>
          <w:noProof/>
        </w:rPr>
        <w:drawing>
          <wp:inline distT="0" distB="0" distL="0" distR="0" wp14:anchorId="09C302EE" wp14:editId="361379C2">
            <wp:extent cx="3614389" cy="3276000"/>
            <wp:effectExtent l="0" t="0" r="5715" b="635"/>
            <wp:docPr id="1" name="Picture 1"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 histo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633875" cy="3293662"/>
                    </a:xfrm>
                    <a:prstGeom prst="rect">
                      <a:avLst/>
                    </a:prstGeom>
                  </pic:spPr>
                </pic:pic>
              </a:graphicData>
            </a:graphic>
          </wp:inline>
        </w:drawing>
      </w:r>
    </w:p>
    <w:p w14:paraId="6F7A1C51" w14:textId="24925587" w:rsidR="009C2EB0" w:rsidRPr="00664D52" w:rsidRDefault="0054566F" w:rsidP="00016853">
      <w:pPr>
        <w:spacing w:before="120" w:afterLines="120" w:after="288"/>
        <w:jc w:val="both"/>
        <w:rPr>
          <w:rFonts w:ascii="Helvetica" w:hAnsi="Helvetica" w:cstheme="minorHAnsi"/>
        </w:rPr>
      </w:pPr>
      <w:r w:rsidRPr="00664D52">
        <w:rPr>
          <w:rFonts w:ascii="Helvetica" w:hAnsi="Helvetica" w:cstheme="minorHAnsi"/>
          <w:b/>
          <w:sz w:val="20"/>
          <w:szCs w:val="20"/>
        </w:rPr>
        <w:t xml:space="preserve">Supplementary </w:t>
      </w:r>
      <w:r w:rsidRPr="00664D52">
        <w:rPr>
          <w:rFonts w:ascii="Helvetica" w:hAnsi="Helvetica" w:cstheme="minorHAnsi"/>
          <w:b/>
          <w:bCs/>
          <w:sz w:val="20"/>
          <w:szCs w:val="20"/>
        </w:rPr>
        <w:t xml:space="preserve">Fig. </w:t>
      </w:r>
      <w:r w:rsidR="003A537C" w:rsidRPr="00664D52">
        <w:rPr>
          <w:rFonts w:ascii="Helvetica" w:hAnsi="Helvetica" w:cstheme="minorHAnsi"/>
          <w:b/>
          <w:bCs/>
          <w:sz w:val="20"/>
          <w:szCs w:val="20"/>
        </w:rPr>
        <w:t>6</w:t>
      </w:r>
      <w:r w:rsidRPr="00664D52">
        <w:rPr>
          <w:rFonts w:ascii="Helvetica" w:hAnsi="Helvetica" w:cstheme="minorHAnsi"/>
          <w:b/>
          <w:bCs/>
          <w:sz w:val="20"/>
          <w:szCs w:val="20"/>
        </w:rPr>
        <w:t>|</w:t>
      </w:r>
      <w:r w:rsidRPr="00664D52">
        <w:rPr>
          <w:rFonts w:ascii="Helvetica" w:hAnsi="Helvetica" w:cstheme="minorHAnsi"/>
          <w:sz w:val="20"/>
          <w:szCs w:val="20"/>
        </w:rPr>
        <w:t xml:space="preserve"> </w:t>
      </w:r>
      <w:r w:rsidRPr="00664D52">
        <w:rPr>
          <w:rFonts w:ascii="Helvetica" w:hAnsi="Helvetica" w:cstheme="minorHAnsi"/>
          <w:bCs/>
          <w:sz w:val="20"/>
          <w:szCs w:val="20"/>
        </w:rPr>
        <w:t>Percentage growth per year for passenger aviation demand compared to previous year and percentage change in energy intensity for passenger aviation compared to previous year. Passenger demand data from ICAO and energy intensity data from IEA</w:t>
      </w:r>
      <w:r w:rsidRPr="00664D52">
        <w:rPr>
          <w:rFonts w:ascii="Helvetica" w:hAnsi="Helvetica" w:cstheme="minorHAnsi"/>
          <w:bCs/>
          <w:sz w:val="20"/>
          <w:szCs w:val="20"/>
        </w:rPr>
        <w:fldChar w:fldCharType="begin" w:fldLock="1"/>
      </w:r>
      <w:r w:rsidR="00555187" w:rsidRPr="00664D52">
        <w:rPr>
          <w:rFonts w:ascii="Helvetica" w:hAnsi="Helvetica" w:cstheme="minorHAnsi"/>
          <w:bCs/>
          <w:sz w:val="20"/>
          <w:szCs w:val="20"/>
        </w:rPr>
        <w:instrText>ADDIN CSL_CITATION {"citationItems":[{"id":"ITEM-1","itemData":{"URL":"https://www.iea.org/data-and-statistics/charts/energy-intensity-of-passenger-aviation-in-the-net-zero-scenario-2000-2030","accessed":{"date-parts":[["2022","2","28"]]},"author":[{"dropping-particle":"","family":"IEA","given":"","non-dropping-particle":"","parse-names":false,"suffix":""}],"id":"ITEM-1","issued":{"date-parts":[["2021","10","20"]]},"title":"Energy intensity of passenger aviation in the Net Zero Scenario, 2000-2030 – Charts – Data &amp; Statistics - IEA","type":"webpage"},"uris":["http://www.mendeley.com/documents/?uuid=dbc802f4-6c97-3577-a36e-194b1bbb349d"]}],"mendeley":{"formattedCitation":"&lt;sup&gt;26&lt;/sup&gt;","plainTextFormattedCitation":"26","previouslyFormattedCitation":"&lt;sup&gt;26&lt;/sup&gt;"},"properties":{"noteIndex":0},"schema":"https://github.com/citation-style-language/schema/raw/master/csl-citation.json"}</w:instrText>
      </w:r>
      <w:r w:rsidRPr="00664D52">
        <w:rPr>
          <w:rFonts w:ascii="Helvetica" w:hAnsi="Helvetica" w:cstheme="minorHAnsi"/>
          <w:bCs/>
          <w:sz w:val="20"/>
          <w:szCs w:val="20"/>
        </w:rPr>
        <w:fldChar w:fldCharType="separate"/>
      </w:r>
      <w:r w:rsidR="00934E75" w:rsidRPr="00664D52">
        <w:rPr>
          <w:rFonts w:ascii="Helvetica" w:hAnsi="Helvetica" w:cstheme="minorHAnsi"/>
          <w:bCs/>
          <w:noProof/>
          <w:sz w:val="20"/>
          <w:szCs w:val="20"/>
          <w:vertAlign w:val="superscript"/>
        </w:rPr>
        <w:t>26</w:t>
      </w:r>
      <w:r w:rsidRPr="00664D52">
        <w:rPr>
          <w:rFonts w:ascii="Helvetica" w:hAnsi="Helvetica" w:cstheme="minorHAnsi"/>
          <w:bCs/>
          <w:sz w:val="20"/>
          <w:szCs w:val="20"/>
        </w:rPr>
        <w:fldChar w:fldCharType="end"/>
      </w:r>
      <w:r w:rsidRPr="00664D52">
        <w:rPr>
          <w:rFonts w:ascii="Helvetica" w:hAnsi="Helvetica" w:cstheme="minorHAnsi"/>
          <w:bCs/>
          <w:sz w:val="20"/>
          <w:szCs w:val="20"/>
        </w:rPr>
        <w:t>.</w:t>
      </w:r>
    </w:p>
    <w:p w14:paraId="16FBB426" w14:textId="34AB951B" w:rsidR="008444C6" w:rsidRPr="00664D52" w:rsidRDefault="00576730" w:rsidP="008444C6">
      <w:pPr>
        <w:spacing w:before="120" w:afterLines="120" w:after="288"/>
        <w:jc w:val="both"/>
        <w:rPr>
          <w:rFonts w:ascii="Helvetica" w:hAnsi="Helvetica" w:cstheme="minorHAnsi"/>
          <w:b/>
          <w:bCs/>
          <w:sz w:val="22"/>
          <w:szCs w:val="22"/>
        </w:rPr>
      </w:pPr>
      <w:r w:rsidRPr="00664D52">
        <w:rPr>
          <w:rFonts w:ascii="Helvetica" w:hAnsi="Helvetica" w:cstheme="minorHAnsi"/>
          <w:b/>
          <w:bCs/>
          <w:sz w:val="22"/>
          <w:szCs w:val="22"/>
        </w:rPr>
        <w:lastRenderedPageBreak/>
        <w:t xml:space="preserve">Supplementary </w:t>
      </w:r>
      <w:r w:rsidR="008444C6" w:rsidRPr="00664D52">
        <w:rPr>
          <w:rFonts w:ascii="Helvetica" w:hAnsi="Helvetica" w:cstheme="minorHAnsi"/>
          <w:b/>
          <w:bCs/>
          <w:sz w:val="22"/>
          <w:szCs w:val="22"/>
        </w:rPr>
        <w:t>References</w:t>
      </w:r>
    </w:p>
    <w:p w14:paraId="2BFF8857" w14:textId="5F224EF3" w:rsidR="00B943D6" w:rsidRPr="00664D52" w:rsidRDefault="008444C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theme="minorHAnsi"/>
          <w:sz w:val="20"/>
          <w:szCs w:val="20"/>
        </w:rPr>
        <w:fldChar w:fldCharType="begin" w:fldLock="1"/>
      </w:r>
      <w:r w:rsidRPr="00664D52">
        <w:rPr>
          <w:rFonts w:ascii="Helvetica" w:hAnsi="Helvetica" w:cstheme="minorHAnsi"/>
          <w:sz w:val="20"/>
          <w:szCs w:val="20"/>
        </w:rPr>
        <w:instrText xml:space="preserve">ADDIN Mendeley Bibliography CSL_BIBLIOGRAPHY </w:instrText>
      </w:r>
      <w:r w:rsidRPr="00664D52">
        <w:rPr>
          <w:rFonts w:ascii="Helvetica" w:hAnsi="Helvetica" w:cstheme="minorHAnsi"/>
          <w:sz w:val="20"/>
          <w:szCs w:val="20"/>
        </w:rPr>
        <w:fldChar w:fldCharType="separate"/>
      </w:r>
      <w:r w:rsidR="00B943D6" w:rsidRPr="00664D52">
        <w:rPr>
          <w:rFonts w:ascii="Helvetica" w:hAnsi="Helvetica" w:cs="Calibri"/>
          <w:noProof/>
          <w:sz w:val="20"/>
        </w:rPr>
        <w:t>1.</w:t>
      </w:r>
      <w:r w:rsidR="00B943D6" w:rsidRPr="00664D52">
        <w:rPr>
          <w:rFonts w:ascii="Helvetica" w:hAnsi="Helvetica" w:cs="Calibri"/>
          <w:noProof/>
          <w:sz w:val="20"/>
        </w:rPr>
        <w:tab/>
        <w:t xml:space="preserve">World Bank. GDP per capita (current US$). Available at: https://data.worldbank.org/indicator/ny.gdp.pcap.cd. </w:t>
      </w:r>
    </w:p>
    <w:p w14:paraId="051E3BA3"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2.</w:t>
      </w:r>
      <w:r w:rsidRPr="00664D52">
        <w:rPr>
          <w:rFonts w:ascii="Helvetica" w:hAnsi="Helvetica" w:cs="Calibri"/>
          <w:noProof/>
          <w:sz w:val="20"/>
        </w:rPr>
        <w:tab/>
        <w:t xml:space="preserve">World Bank. Population, total. Available at: https://data.worldbank.org/indicator/SP.POP.TOTL. </w:t>
      </w:r>
    </w:p>
    <w:p w14:paraId="73E2A15F"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3.</w:t>
      </w:r>
      <w:r w:rsidRPr="00664D52">
        <w:rPr>
          <w:rFonts w:ascii="Helvetica" w:hAnsi="Helvetica" w:cs="Calibri"/>
          <w:noProof/>
          <w:sz w:val="20"/>
        </w:rPr>
        <w:tab/>
        <w:t xml:space="preserve">World Bank (2020b). Air transport, passengers carried. </w:t>
      </w:r>
      <w:r w:rsidRPr="00664D52">
        <w:rPr>
          <w:rFonts w:ascii="Helvetica" w:hAnsi="Helvetica" w:cs="Calibri"/>
          <w:i/>
          <w:iCs/>
          <w:noProof/>
          <w:sz w:val="20"/>
        </w:rPr>
        <w:t>World Bank (2020b)</w:t>
      </w:r>
      <w:r w:rsidRPr="00664D52">
        <w:rPr>
          <w:rFonts w:ascii="Helvetica" w:hAnsi="Helvetica" w:cs="Calibri"/>
          <w:noProof/>
          <w:sz w:val="20"/>
        </w:rPr>
        <w:t xml:space="preserve"> (2020). Available at: https://data.worldbank.org/indicator/IS.AIR.PSGR. (Accessed: 24th June 2022)</w:t>
      </w:r>
    </w:p>
    <w:p w14:paraId="5855AC73"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4.</w:t>
      </w:r>
      <w:r w:rsidRPr="00664D52">
        <w:rPr>
          <w:rFonts w:ascii="Helvetica" w:hAnsi="Helvetica" w:cs="Calibri"/>
          <w:noProof/>
          <w:sz w:val="20"/>
        </w:rPr>
        <w:tab/>
        <w:t xml:space="preserve">World Bank. World Bank Country and Lending Groups. Available at: https://datahelpdesk.worldbank.org/knowledgebase/articles/906519-world-bank-country-and-lending-groups. </w:t>
      </w:r>
    </w:p>
    <w:p w14:paraId="69C5AA31"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5.</w:t>
      </w:r>
      <w:r w:rsidRPr="00664D52">
        <w:rPr>
          <w:rFonts w:ascii="Helvetica" w:hAnsi="Helvetica" w:cs="Calibri"/>
          <w:noProof/>
          <w:sz w:val="20"/>
        </w:rPr>
        <w:tab/>
        <w:t>IATA. FHT Flight haul type - ATSB. (2020). Available at: https://guides.developer.iata.org/v202/docs/atsb-fht?highlight=. (Accessed: 19th May 2022)</w:t>
      </w:r>
    </w:p>
    <w:p w14:paraId="5F1F01A6"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6.</w:t>
      </w:r>
      <w:r w:rsidRPr="00664D52">
        <w:rPr>
          <w:rFonts w:ascii="Helvetica" w:hAnsi="Helvetica" w:cs="Calibri"/>
          <w:noProof/>
          <w:sz w:val="20"/>
        </w:rPr>
        <w:tab/>
        <w:t xml:space="preserve">Epstein, A. H. &amp; O’Flarity, S. M. Considerations for reducing aviation’s CO2 with aircraft electric propulsion. </w:t>
      </w:r>
      <w:r w:rsidRPr="00664D52">
        <w:rPr>
          <w:rFonts w:ascii="Helvetica" w:hAnsi="Helvetica" w:cs="Calibri"/>
          <w:i/>
          <w:iCs/>
          <w:noProof/>
          <w:sz w:val="20"/>
        </w:rPr>
        <w:t>J. Propuls. Power</w:t>
      </w:r>
      <w:r w:rsidRPr="00664D52">
        <w:rPr>
          <w:rFonts w:ascii="Helvetica" w:hAnsi="Helvetica" w:cs="Calibri"/>
          <w:noProof/>
          <w:sz w:val="20"/>
        </w:rPr>
        <w:t xml:space="preserve"> </w:t>
      </w:r>
      <w:r w:rsidRPr="00664D52">
        <w:rPr>
          <w:rFonts w:ascii="Helvetica" w:hAnsi="Helvetica" w:cs="Calibri"/>
          <w:b/>
          <w:bCs/>
          <w:noProof/>
          <w:sz w:val="20"/>
        </w:rPr>
        <w:t>35</w:t>
      </w:r>
      <w:r w:rsidRPr="00664D52">
        <w:rPr>
          <w:rFonts w:ascii="Helvetica" w:hAnsi="Helvetica" w:cs="Calibri"/>
          <w:noProof/>
          <w:sz w:val="20"/>
        </w:rPr>
        <w:t>, 572–582 (2019).</w:t>
      </w:r>
    </w:p>
    <w:p w14:paraId="438F3411"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7.</w:t>
      </w:r>
      <w:r w:rsidRPr="00664D52">
        <w:rPr>
          <w:rFonts w:ascii="Helvetica" w:hAnsi="Helvetica" w:cs="Calibri"/>
          <w:noProof/>
          <w:sz w:val="20"/>
        </w:rPr>
        <w:tab/>
        <w:t xml:space="preserve">World Economic Forum. </w:t>
      </w:r>
      <w:r w:rsidRPr="00664D52">
        <w:rPr>
          <w:rFonts w:ascii="Helvetica" w:hAnsi="Helvetica" w:cs="Calibri"/>
          <w:i/>
          <w:iCs/>
          <w:noProof/>
          <w:sz w:val="20"/>
        </w:rPr>
        <w:t>Clean Skies for Tomorrow Sustainable Aviation Fuels as a Pathway to Net-Zero Aviation Terms of use and disclaimer</w:t>
      </w:r>
      <w:r w:rsidRPr="00664D52">
        <w:rPr>
          <w:rFonts w:ascii="Helvetica" w:hAnsi="Helvetica" w:cs="Calibri"/>
          <w:noProof/>
          <w:sz w:val="20"/>
        </w:rPr>
        <w:t>. (2020).</w:t>
      </w:r>
    </w:p>
    <w:p w14:paraId="67CD4631"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8.</w:t>
      </w:r>
      <w:r w:rsidRPr="00664D52">
        <w:rPr>
          <w:rFonts w:ascii="Helvetica" w:hAnsi="Helvetica" w:cs="Calibri"/>
          <w:noProof/>
          <w:sz w:val="20"/>
        </w:rPr>
        <w:tab/>
        <w:t>IEA. Aviation – Analysis. (2021). Available at: https://www.iea.org/reports/aviation. (Accessed: 12th November 2021)</w:t>
      </w:r>
    </w:p>
    <w:p w14:paraId="490AB3B8"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9.</w:t>
      </w:r>
      <w:r w:rsidRPr="00664D52">
        <w:rPr>
          <w:rFonts w:ascii="Helvetica" w:hAnsi="Helvetica" w:cs="Calibri"/>
          <w:noProof/>
          <w:sz w:val="20"/>
        </w:rPr>
        <w:tab/>
        <w:t xml:space="preserve">Siddiqui, O. &amp; Dincer, I. A comparative life cycle assessment of clean aviation fuels. </w:t>
      </w:r>
      <w:r w:rsidRPr="00664D52">
        <w:rPr>
          <w:rFonts w:ascii="Helvetica" w:hAnsi="Helvetica" w:cs="Calibri"/>
          <w:i/>
          <w:iCs/>
          <w:noProof/>
          <w:sz w:val="20"/>
        </w:rPr>
        <w:t>Energy</w:t>
      </w:r>
      <w:r w:rsidRPr="00664D52">
        <w:rPr>
          <w:rFonts w:ascii="Helvetica" w:hAnsi="Helvetica" w:cs="Calibri"/>
          <w:noProof/>
          <w:sz w:val="20"/>
        </w:rPr>
        <w:t xml:space="preserve"> </w:t>
      </w:r>
      <w:r w:rsidRPr="00664D52">
        <w:rPr>
          <w:rFonts w:ascii="Helvetica" w:hAnsi="Helvetica" w:cs="Calibri"/>
          <w:b/>
          <w:bCs/>
          <w:noProof/>
          <w:sz w:val="20"/>
        </w:rPr>
        <w:t>234</w:t>
      </w:r>
      <w:r w:rsidRPr="00664D52">
        <w:rPr>
          <w:rFonts w:ascii="Helvetica" w:hAnsi="Helvetica" w:cs="Calibri"/>
          <w:noProof/>
          <w:sz w:val="20"/>
        </w:rPr>
        <w:t>, 121126 (2021).</w:t>
      </w:r>
    </w:p>
    <w:p w14:paraId="3A9D8597"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10.</w:t>
      </w:r>
      <w:r w:rsidRPr="00664D52">
        <w:rPr>
          <w:rFonts w:ascii="Helvetica" w:hAnsi="Helvetica" w:cs="Calibri"/>
          <w:noProof/>
          <w:sz w:val="20"/>
        </w:rPr>
        <w:tab/>
        <w:t xml:space="preserve">Li, X. </w:t>
      </w:r>
      <w:r w:rsidRPr="00664D52">
        <w:rPr>
          <w:rFonts w:ascii="Helvetica" w:hAnsi="Helvetica" w:cs="Calibri"/>
          <w:i/>
          <w:iCs/>
          <w:noProof/>
          <w:sz w:val="20"/>
        </w:rPr>
        <w:t>et al.</w:t>
      </w:r>
      <w:r w:rsidRPr="00664D52">
        <w:rPr>
          <w:rFonts w:ascii="Helvetica" w:hAnsi="Helvetica" w:cs="Calibri"/>
          <w:noProof/>
          <w:sz w:val="20"/>
        </w:rPr>
        <w:t xml:space="preserve"> Greenhouse Gas Emissions, Energy Efficiency, and Cost of Synthetic Fuel Production Using Electrochemical CO2 Conversion and the Fischer-Tropsch Process. </w:t>
      </w:r>
      <w:r w:rsidRPr="00664D52">
        <w:rPr>
          <w:rFonts w:ascii="Helvetica" w:hAnsi="Helvetica" w:cs="Calibri"/>
          <w:i/>
          <w:iCs/>
          <w:noProof/>
          <w:sz w:val="20"/>
        </w:rPr>
        <w:t>Energy and Fuels</w:t>
      </w:r>
      <w:r w:rsidRPr="00664D52">
        <w:rPr>
          <w:rFonts w:ascii="Helvetica" w:hAnsi="Helvetica" w:cs="Calibri"/>
          <w:noProof/>
          <w:sz w:val="20"/>
        </w:rPr>
        <w:t xml:space="preserve"> </w:t>
      </w:r>
      <w:r w:rsidRPr="00664D52">
        <w:rPr>
          <w:rFonts w:ascii="Helvetica" w:hAnsi="Helvetica" w:cs="Calibri"/>
          <w:b/>
          <w:bCs/>
          <w:noProof/>
          <w:sz w:val="20"/>
        </w:rPr>
        <w:t>30</w:t>
      </w:r>
      <w:r w:rsidRPr="00664D52">
        <w:rPr>
          <w:rFonts w:ascii="Helvetica" w:hAnsi="Helvetica" w:cs="Calibri"/>
          <w:noProof/>
          <w:sz w:val="20"/>
        </w:rPr>
        <w:t>, 5980–5989 (2016).</w:t>
      </w:r>
    </w:p>
    <w:p w14:paraId="481AD356"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11.</w:t>
      </w:r>
      <w:r w:rsidRPr="00664D52">
        <w:rPr>
          <w:rFonts w:ascii="Helvetica" w:hAnsi="Helvetica" w:cs="Calibri"/>
          <w:noProof/>
          <w:sz w:val="20"/>
        </w:rPr>
        <w:tab/>
        <w:t xml:space="preserve">Ueckerdt, F. </w:t>
      </w:r>
      <w:r w:rsidRPr="00664D52">
        <w:rPr>
          <w:rFonts w:ascii="Helvetica" w:hAnsi="Helvetica" w:cs="Calibri"/>
          <w:i/>
          <w:iCs/>
          <w:noProof/>
          <w:sz w:val="20"/>
        </w:rPr>
        <w:t>et al.</w:t>
      </w:r>
      <w:r w:rsidRPr="00664D52">
        <w:rPr>
          <w:rFonts w:ascii="Helvetica" w:hAnsi="Helvetica" w:cs="Calibri"/>
          <w:noProof/>
          <w:sz w:val="20"/>
        </w:rPr>
        <w:t xml:space="preserve"> Potential and risks of hydrogen-based e-fuels in climate change mitigation. </w:t>
      </w:r>
      <w:r w:rsidRPr="00664D52">
        <w:rPr>
          <w:rFonts w:ascii="Helvetica" w:hAnsi="Helvetica" w:cs="Calibri"/>
          <w:i/>
          <w:iCs/>
          <w:noProof/>
          <w:sz w:val="20"/>
        </w:rPr>
        <w:t>Nat. Clim. Chang. 2021 115</w:t>
      </w:r>
      <w:r w:rsidRPr="00664D52">
        <w:rPr>
          <w:rFonts w:ascii="Helvetica" w:hAnsi="Helvetica" w:cs="Calibri"/>
          <w:noProof/>
          <w:sz w:val="20"/>
        </w:rPr>
        <w:t xml:space="preserve"> </w:t>
      </w:r>
      <w:r w:rsidRPr="00664D52">
        <w:rPr>
          <w:rFonts w:ascii="Helvetica" w:hAnsi="Helvetica" w:cs="Calibri"/>
          <w:b/>
          <w:bCs/>
          <w:noProof/>
          <w:sz w:val="20"/>
        </w:rPr>
        <w:t>11</w:t>
      </w:r>
      <w:r w:rsidRPr="00664D52">
        <w:rPr>
          <w:rFonts w:ascii="Helvetica" w:hAnsi="Helvetica" w:cs="Calibri"/>
          <w:noProof/>
          <w:sz w:val="20"/>
        </w:rPr>
        <w:t>, 384–393 (2021).</w:t>
      </w:r>
    </w:p>
    <w:p w14:paraId="482A7025"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12.</w:t>
      </w:r>
      <w:r w:rsidRPr="00664D52">
        <w:rPr>
          <w:rFonts w:ascii="Helvetica" w:hAnsi="Helvetica" w:cs="Calibri"/>
          <w:noProof/>
          <w:sz w:val="20"/>
        </w:rPr>
        <w:tab/>
        <w:t xml:space="preserve">Schmidt, P., Batteiger, V., Roth, A., Weindorf, W. &amp; Raksha, T. Power-to-Liquids as Renewable Fuel Option for Aviation: A Review. </w:t>
      </w:r>
      <w:r w:rsidRPr="00664D52">
        <w:rPr>
          <w:rFonts w:ascii="Helvetica" w:hAnsi="Helvetica" w:cs="Calibri"/>
          <w:i/>
          <w:iCs/>
          <w:noProof/>
          <w:sz w:val="20"/>
        </w:rPr>
        <w:t>Chemie Ing. Tech.</w:t>
      </w:r>
      <w:r w:rsidRPr="00664D52">
        <w:rPr>
          <w:rFonts w:ascii="Helvetica" w:hAnsi="Helvetica" w:cs="Calibri"/>
          <w:noProof/>
          <w:sz w:val="20"/>
        </w:rPr>
        <w:t xml:space="preserve"> </w:t>
      </w:r>
      <w:r w:rsidRPr="00664D52">
        <w:rPr>
          <w:rFonts w:ascii="Helvetica" w:hAnsi="Helvetica" w:cs="Calibri"/>
          <w:b/>
          <w:bCs/>
          <w:noProof/>
          <w:sz w:val="20"/>
        </w:rPr>
        <w:t>90</w:t>
      </w:r>
      <w:r w:rsidRPr="00664D52">
        <w:rPr>
          <w:rFonts w:ascii="Helvetica" w:hAnsi="Helvetica" w:cs="Calibri"/>
          <w:noProof/>
          <w:sz w:val="20"/>
        </w:rPr>
        <w:t>, 127–140 (2018).</w:t>
      </w:r>
    </w:p>
    <w:p w14:paraId="1F1D167B"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13.</w:t>
      </w:r>
      <w:r w:rsidRPr="00664D52">
        <w:rPr>
          <w:rFonts w:ascii="Helvetica" w:hAnsi="Helvetica" w:cs="Calibri"/>
          <w:noProof/>
          <w:sz w:val="20"/>
        </w:rPr>
        <w:tab/>
        <w:t xml:space="preserve">Vardon, D. R., Sherbacow, B. J., Guan, K., Heyne, J. S. &amp; Abdullah, Z. Realizing “net-zero-carbon” sustainable aviation fuel. </w:t>
      </w:r>
      <w:r w:rsidRPr="00664D52">
        <w:rPr>
          <w:rFonts w:ascii="Helvetica" w:hAnsi="Helvetica" w:cs="Calibri"/>
          <w:i/>
          <w:iCs/>
          <w:noProof/>
          <w:sz w:val="20"/>
        </w:rPr>
        <w:t>Joule</w:t>
      </w:r>
      <w:r w:rsidRPr="00664D52">
        <w:rPr>
          <w:rFonts w:ascii="Helvetica" w:hAnsi="Helvetica" w:cs="Calibri"/>
          <w:noProof/>
          <w:sz w:val="20"/>
        </w:rPr>
        <w:t xml:space="preserve"> </w:t>
      </w:r>
      <w:r w:rsidRPr="00664D52">
        <w:rPr>
          <w:rFonts w:ascii="Helvetica" w:hAnsi="Helvetica" w:cs="Calibri"/>
          <w:b/>
          <w:bCs/>
          <w:noProof/>
          <w:sz w:val="20"/>
        </w:rPr>
        <w:t>6</w:t>
      </w:r>
      <w:r w:rsidRPr="00664D52">
        <w:rPr>
          <w:rFonts w:ascii="Helvetica" w:hAnsi="Helvetica" w:cs="Calibri"/>
          <w:noProof/>
          <w:sz w:val="20"/>
        </w:rPr>
        <w:t>, 16–21 (2022).</w:t>
      </w:r>
    </w:p>
    <w:p w14:paraId="39F43AC2"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14.</w:t>
      </w:r>
      <w:r w:rsidRPr="00664D52">
        <w:rPr>
          <w:rFonts w:ascii="Helvetica" w:hAnsi="Helvetica" w:cs="Calibri"/>
          <w:noProof/>
          <w:sz w:val="20"/>
        </w:rPr>
        <w:tab/>
        <w:t xml:space="preserve">Bosch, J., de Jong, S., Hoefnagels, R. &amp; Slade, R. </w:t>
      </w:r>
      <w:r w:rsidRPr="00664D52">
        <w:rPr>
          <w:rFonts w:ascii="Helvetica" w:hAnsi="Helvetica" w:cs="Calibri"/>
          <w:i/>
          <w:iCs/>
          <w:noProof/>
          <w:sz w:val="20"/>
        </w:rPr>
        <w:t>Aviation biofuels: strategically important, technically achievable, tough to deliver</w:t>
      </w:r>
      <w:r w:rsidRPr="00664D52">
        <w:rPr>
          <w:rFonts w:ascii="Helvetica" w:hAnsi="Helvetica" w:cs="Calibri"/>
          <w:noProof/>
          <w:sz w:val="20"/>
        </w:rPr>
        <w:t>. (2017).</w:t>
      </w:r>
    </w:p>
    <w:p w14:paraId="697F08A7"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15.</w:t>
      </w:r>
      <w:r w:rsidRPr="00664D52">
        <w:rPr>
          <w:rFonts w:ascii="Helvetica" w:hAnsi="Helvetica" w:cs="Calibri"/>
          <w:noProof/>
          <w:sz w:val="20"/>
        </w:rPr>
        <w:tab/>
        <w:t xml:space="preserve">O’Connell, A., Kousoulidou, M., Lonza, L. &amp; Weindorf, W. Considerations on GHG emissions and energy balances of promising aviation biofuel pathways. </w:t>
      </w:r>
      <w:r w:rsidRPr="00664D52">
        <w:rPr>
          <w:rFonts w:ascii="Helvetica" w:hAnsi="Helvetica" w:cs="Calibri"/>
          <w:i/>
          <w:iCs/>
          <w:noProof/>
          <w:sz w:val="20"/>
        </w:rPr>
        <w:t>Renew. Sustain. Energy Rev.</w:t>
      </w:r>
      <w:r w:rsidRPr="00664D52">
        <w:rPr>
          <w:rFonts w:ascii="Helvetica" w:hAnsi="Helvetica" w:cs="Calibri"/>
          <w:noProof/>
          <w:sz w:val="20"/>
        </w:rPr>
        <w:t xml:space="preserve"> </w:t>
      </w:r>
      <w:r w:rsidRPr="00664D52">
        <w:rPr>
          <w:rFonts w:ascii="Helvetica" w:hAnsi="Helvetica" w:cs="Calibri"/>
          <w:b/>
          <w:bCs/>
          <w:noProof/>
          <w:sz w:val="20"/>
        </w:rPr>
        <w:t>101</w:t>
      </w:r>
      <w:r w:rsidRPr="00664D52">
        <w:rPr>
          <w:rFonts w:ascii="Helvetica" w:hAnsi="Helvetica" w:cs="Calibri"/>
          <w:noProof/>
          <w:sz w:val="20"/>
        </w:rPr>
        <w:t>, 504–515 (2019).</w:t>
      </w:r>
    </w:p>
    <w:p w14:paraId="497BE940"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16.</w:t>
      </w:r>
      <w:r w:rsidRPr="00664D52">
        <w:rPr>
          <w:rFonts w:ascii="Helvetica" w:hAnsi="Helvetica" w:cs="Calibri"/>
          <w:noProof/>
          <w:sz w:val="20"/>
        </w:rPr>
        <w:tab/>
        <w:t xml:space="preserve">Hamelinck, C., Cuijpers, M., Spoettle, M. &amp; Bos, A. van den. </w:t>
      </w:r>
      <w:r w:rsidRPr="00664D52">
        <w:rPr>
          <w:rFonts w:ascii="Helvetica" w:hAnsi="Helvetica" w:cs="Calibri"/>
          <w:i/>
          <w:iCs/>
          <w:noProof/>
          <w:sz w:val="20"/>
        </w:rPr>
        <w:t xml:space="preserve">Biofuels for aviation </w:t>
      </w:r>
      <w:r w:rsidRPr="00664D52">
        <w:rPr>
          <w:rFonts w:ascii="Helvetica" w:hAnsi="Helvetica" w:cs="Calibri"/>
          <w:noProof/>
          <w:sz w:val="20"/>
        </w:rPr>
        <w:t>. (2013).</w:t>
      </w:r>
    </w:p>
    <w:p w14:paraId="31B01C62"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lastRenderedPageBreak/>
        <w:t>17.</w:t>
      </w:r>
      <w:r w:rsidRPr="00664D52">
        <w:rPr>
          <w:rFonts w:ascii="Helvetica" w:hAnsi="Helvetica" w:cs="Calibri"/>
          <w:noProof/>
          <w:sz w:val="20"/>
        </w:rPr>
        <w:tab/>
        <w:t xml:space="preserve">IRENA. </w:t>
      </w:r>
      <w:r w:rsidRPr="00664D52">
        <w:rPr>
          <w:rFonts w:ascii="Helvetica" w:hAnsi="Helvetica" w:cs="Calibri"/>
          <w:i/>
          <w:iCs/>
          <w:noProof/>
          <w:sz w:val="20"/>
        </w:rPr>
        <w:t>Reaching Zero with Renewables: Biojet fuels</w:t>
      </w:r>
      <w:r w:rsidRPr="00664D52">
        <w:rPr>
          <w:rFonts w:ascii="Helvetica" w:hAnsi="Helvetica" w:cs="Calibri"/>
          <w:noProof/>
          <w:sz w:val="20"/>
        </w:rPr>
        <w:t>. (2021).</w:t>
      </w:r>
    </w:p>
    <w:p w14:paraId="4C3DB72A"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18.</w:t>
      </w:r>
      <w:r w:rsidRPr="00664D52">
        <w:rPr>
          <w:rFonts w:ascii="Helvetica" w:hAnsi="Helvetica" w:cs="Calibri"/>
          <w:noProof/>
          <w:sz w:val="20"/>
        </w:rPr>
        <w:tab/>
        <w:t>ICAO. ICAO Doc8643. (2022). Available at: https://doc8643.com/search/icao. (Accessed: 24th May 2022)</w:t>
      </w:r>
    </w:p>
    <w:p w14:paraId="76A89EBF"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19.</w:t>
      </w:r>
      <w:r w:rsidRPr="00664D52">
        <w:rPr>
          <w:rFonts w:ascii="Helvetica" w:hAnsi="Helvetica" w:cs="Calibri"/>
          <w:noProof/>
          <w:sz w:val="20"/>
        </w:rPr>
        <w:tab/>
        <w:t xml:space="preserve">DOE. Hydrogen Storage | Department of Energy. </w:t>
      </w:r>
      <w:r w:rsidRPr="00664D52">
        <w:rPr>
          <w:rFonts w:ascii="Helvetica" w:hAnsi="Helvetica" w:cs="Calibri"/>
          <w:i/>
          <w:iCs/>
          <w:noProof/>
          <w:sz w:val="20"/>
        </w:rPr>
        <w:t>October</w:t>
      </w:r>
      <w:r w:rsidRPr="00664D52">
        <w:rPr>
          <w:rFonts w:ascii="Helvetica" w:hAnsi="Helvetica" w:cs="Calibri"/>
          <w:noProof/>
          <w:sz w:val="20"/>
        </w:rPr>
        <w:t xml:space="preserve"> (2012).</w:t>
      </w:r>
    </w:p>
    <w:p w14:paraId="3DDEF315"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20.</w:t>
      </w:r>
      <w:r w:rsidRPr="00664D52">
        <w:rPr>
          <w:rFonts w:ascii="Helvetica" w:hAnsi="Helvetica" w:cs="Calibri"/>
          <w:noProof/>
          <w:sz w:val="20"/>
        </w:rPr>
        <w:tab/>
        <w:t>IEA. Detailed CO2 estimates, IEA CO2 Emissions from Fuel Combustion Statistics: Greenhouse Gas Emissions from Energy (database). (2022). doi:https://doi.org/10.1787/data-00429-en</w:t>
      </w:r>
    </w:p>
    <w:p w14:paraId="2D204379"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21.</w:t>
      </w:r>
      <w:r w:rsidRPr="00664D52">
        <w:rPr>
          <w:rFonts w:ascii="Helvetica" w:hAnsi="Helvetica" w:cs="Calibri"/>
          <w:noProof/>
          <w:sz w:val="20"/>
        </w:rPr>
        <w:tab/>
        <w:t>Carbon Monitor Project. CO2 emissions. (2022). Available at: https://carbonmonitor.org/international-aviation. (Accessed: 14th February 2022)</w:t>
      </w:r>
    </w:p>
    <w:p w14:paraId="49C94070"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22.</w:t>
      </w:r>
      <w:r w:rsidRPr="00664D52">
        <w:rPr>
          <w:rFonts w:ascii="Helvetica" w:hAnsi="Helvetica" w:cs="Calibri"/>
          <w:noProof/>
          <w:sz w:val="20"/>
        </w:rPr>
        <w:tab/>
        <w:t>ICAO. The air transport industry. (2014). Available at: https://www.icao.int/sustainability/documents/AirTransport-figures.pdf. (Accessed: 29th June 2022)</w:t>
      </w:r>
    </w:p>
    <w:p w14:paraId="48B9ED77"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23.</w:t>
      </w:r>
      <w:r w:rsidRPr="00664D52">
        <w:rPr>
          <w:rFonts w:ascii="Helvetica" w:hAnsi="Helvetica" w:cs="Calibri"/>
          <w:noProof/>
          <w:sz w:val="20"/>
        </w:rPr>
        <w:tab/>
        <w:t>ICAO. The World of Air Transport in 2019. (2020). Available at: https://www.icao.int/annual-report-2019/Pages/the-world-of-air-transport-in-2019.aspx. (Accessed: 29th June 2022)</w:t>
      </w:r>
    </w:p>
    <w:p w14:paraId="1FD7D3D6"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24.</w:t>
      </w:r>
      <w:r w:rsidRPr="00664D52">
        <w:rPr>
          <w:rFonts w:ascii="Helvetica" w:hAnsi="Helvetica" w:cs="Calibri"/>
          <w:noProof/>
          <w:sz w:val="20"/>
        </w:rPr>
        <w:tab/>
        <w:t>World Bank. Air transport, freight (million ton-km) | Data. Available at: https://data.worldbank.org/indicator/IS.AIR.GOOD.MT.K1. (Accessed: 14th February 2022)</w:t>
      </w:r>
    </w:p>
    <w:p w14:paraId="35E677E8"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25.</w:t>
      </w:r>
      <w:r w:rsidRPr="00664D52">
        <w:rPr>
          <w:rFonts w:ascii="Helvetica" w:hAnsi="Helvetica" w:cs="Calibri"/>
          <w:noProof/>
          <w:sz w:val="20"/>
        </w:rPr>
        <w:tab/>
        <w:t>Freight Waves. IATA forecasts 2021 air cargo revenues to hit record $175B - FreightWaves. (2021). Available at: https://www.freightwaves.com/news/iata-forecasts-2021-air-cargo-revenues-to-hit-record-175b. (Accessed: 14th February 2022)</w:t>
      </w:r>
    </w:p>
    <w:p w14:paraId="6592DDD7"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26.</w:t>
      </w:r>
      <w:r w:rsidRPr="00664D52">
        <w:rPr>
          <w:rFonts w:ascii="Helvetica" w:hAnsi="Helvetica" w:cs="Calibri"/>
          <w:noProof/>
          <w:sz w:val="20"/>
        </w:rPr>
        <w:tab/>
        <w:t>IEA. Energy intensity of passenger aviation in the Net Zero Scenario, 2000-2030 – Charts – Data &amp; Statistics - IEA. (2021). Available at: https://www.iea.org/data-and-statistics/charts/energy-intensity-of-passenger-aviation-in-the-net-zero-scenario-2000-2030. (Accessed: 28th February 2022)</w:t>
      </w:r>
    </w:p>
    <w:p w14:paraId="4E5563C9"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27.</w:t>
      </w:r>
      <w:r w:rsidRPr="00664D52">
        <w:rPr>
          <w:rFonts w:ascii="Helvetica" w:hAnsi="Helvetica" w:cs="Calibri"/>
          <w:noProof/>
          <w:sz w:val="20"/>
        </w:rPr>
        <w:tab/>
        <w:t xml:space="preserve">IEA. Oil demand by product for non-OECD countries. </w:t>
      </w:r>
      <w:r w:rsidRPr="00664D52">
        <w:rPr>
          <w:rFonts w:ascii="Helvetica" w:hAnsi="Helvetica" w:cs="Calibri"/>
          <w:i/>
          <w:iCs/>
          <w:noProof/>
          <w:sz w:val="20"/>
        </w:rPr>
        <w:t>IEA World Energy Statistics and Balances (database)</w:t>
      </w:r>
      <w:r w:rsidRPr="00664D52">
        <w:rPr>
          <w:rFonts w:ascii="Helvetica" w:hAnsi="Helvetica" w:cs="Calibri"/>
          <w:noProof/>
          <w:sz w:val="20"/>
        </w:rPr>
        <w:t xml:space="preserve"> (2022). doi:https://doi.org/10.1787/data-00511-en</w:t>
      </w:r>
    </w:p>
    <w:p w14:paraId="3CE1F853"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28.</w:t>
      </w:r>
      <w:r w:rsidRPr="00664D52">
        <w:rPr>
          <w:rFonts w:ascii="Helvetica" w:hAnsi="Helvetica" w:cs="Calibri"/>
          <w:noProof/>
          <w:sz w:val="20"/>
        </w:rPr>
        <w:tab/>
        <w:t>IMF. World Economic Outlook Database. (2021). Available at: https://www.imf.org/en/Publications/WEO/weo-database/2021/October. (Accessed: 14th February 2022)</w:t>
      </w:r>
    </w:p>
    <w:p w14:paraId="44006DFB"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29.</w:t>
      </w:r>
      <w:r w:rsidRPr="00664D52">
        <w:rPr>
          <w:rFonts w:ascii="Helvetica" w:hAnsi="Helvetica" w:cs="Calibri"/>
          <w:noProof/>
          <w:sz w:val="20"/>
        </w:rPr>
        <w:tab/>
        <w:t>ICAO. Appendix A: Traffic Forecasts. (2021). Available at: https://www.icao.int/sustainability/Documents/Post-COVID-19 forecasts scenarios tables.pdf. (Accessed: 12th November 2021)</w:t>
      </w:r>
    </w:p>
    <w:p w14:paraId="5F880A40"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30.</w:t>
      </w:r>
      <w:r w:rsidRPr="00664D52">
        <w:rPr>
          <w:rFonts w:ascii="Helvetica" w:hAnsi="Helvetica" w:cs="Calibri"/>
          <w:noProof/>
          <w:sz w:val="20"/>
        </w:rPr>
        <w:tab/>
        <w:t xml:space="preserve">Zheng, X. S. &amp; Rutherford, D. </w:t>
      </w:r>
      <w:r w:rsidRPr="00664D52">
        <w:rPr>
          <w:rFonts w:ascii="Helvetica" w:hAnsi="Helvetica" w:cs="Calibri"/>
          <w:i/>
          <w:iCs/>
          <w:noProof/>
          <w:sz w:val="20"/>
        </w:rPr>
        <w:t>Fuel burn of new commercial jet aircraft: 1960 to 2019</w:t>
      </w:r>
      <w:r w:rsidRPr="00664D52">
        <w:rPr>
          <w:rFonts w:ascii="Helvetica" w:hAnsi="Helvetica" w:cs="Calibri"/>
          <w:noProof/>
          <w:sz w:val="20"/>
        </w:rPr>
        <w:t>. (2020).</w:t>
      </w:r>
    </w:p>
    <w:p w14:paraId="00FE31D0"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31.</w:t>
      </w:r>
      <w:r w:rsidRPr="00664D52">
        <w:rPr>
          <w:rFonts w:ascii="Helvetica" w:hAnsi="Helvetica" w:cs="Calibri"/>
          <w:noProof/>
          <w:sz w:val="20"/>
        </w:rPr>
        <w:tab/>
        <w:t xml:space="preserve">ICAO. </w:t>
      </w:r>
      <w:r w:rsidRPr="00664D52">
        <w:rPr>
          <w:rFonts w:ascii="Helvetica" w:hAnsi="Helvetica" w:cs="Calibri"/>
          <w:i/>
          <w:iCs/>
          <w:noProof/>
          <w:sz w:val="20"/>
        </w:rPr>
        <w:t>Resolution A40-18: Consolidated statement of continuing ICAO policies and practices related to environmental protection – Climate change</w:t>
      </w:r>
      <w:r w:rsidRPr="00664D52">
        <w:rPr>
          <w:rFonts w:ascii="Helvetica" w:hAnsi="Helvetica" w:cs="Calibri"/>
          <w:noProof/>
          <w:sz w:val="20"/>
        </w:rPr>
        <w:t>. 1–9 (2019).</w:t>
      </w:r>
    </w:p>
    <w:p w14:paraId="32C9B601"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t>32.</w:t>
      </w:r>
      <w:r w:rsidRPr="00664D52">
        <w:rPr>
          <w:rFonts w:ascii="Helvetica" w:hAnsi="Helvetica" w:cs="Calibri"/>
          <w:noProof/>
          <w:sz w:val="20"/>
        </w:rPr>
        <w:tab/>
        <w:t>IATA. IATA - Net-Zero Carbon Emissions by 2050. (2021). Available at: https://www.iata.org/en/pressroom/2021-releases/2021-10-04-03/. (Accessed: 13th December 2021)</w:t>
      </w:r>
    </w:p>
    <w:p w14:paraId="7F581C1A" w14:textId="77777777" w:rsidR="00B943D6" w:rsidRPr="00664D52" w:rsidRDefault="00B943D6" w:rsidP="00B943D6">
      <w:pPr>
        <w:widowControl w:val="0"/>
        <w:autoSpaceDE w:val="0"/>
        <w:autoSpaceDN w:val="0"/>
        <w:adjustRightInd w:val="0"/>
        <w:spacing w:before="120" w:after="280"/>
        <w:ind w:left="640" w:hanging="640"/>
        <w:rPr>
          <w:rFonts w:ascii="Helvetica" w:hAnsi="Helvetica" w:cs="Calibri"/>
          <w:noProof/>
          <w:sz w:val="20"/>
        </w:rPr>
      </w:pPr>
      <w:r w:rsidRPr="00664D52">
        <w:rPr>
          <w:rFonts w:ascii="Helvetica" w:hAnsi="Helvetica" w:cs="Calibri"/>
          <w:noProof/>
          <w:sz w:val="20"/>
        </w:rPr>
        <w:lastRenderedPageBreak/>
        <w:t>33.</w:t>
      </w:r>
      <w:r w:rsidRPr="00664D52">
        <w:rPr>
          <w:rFonts w:ascii="Helvetica" w:hAnsi="Helvetica" w:cs="Calibri"/>
          <w:noProof/>
          <w:sz w:val="20"/>
        </w:rPr>
        <w:tab/>
        <w:t xml:space="preserve">IEA. </w:t>
      </w:r>
      <w:r w:rsidRPr="00664D52">
        <w:rPr>
          <w:rFonts w:ascii="Helvetica" w:hAnsi="Helvetica" w:cs="Calibri"/>
          <w:i/>
          <w:iCs/>
          <w:noProof/>
          <w:sz w:val="20"/>
        </w:rPr>
        <w:t>Net Zero by 2050 A Roadmap for the Global Energy Sector</w:t>
      </w:r>
      <w:r w:rsidRPr="00664D52">
        <w:rPr>
          <w:rFonts w:ascii="Helvetica" w:hAnsi="Helvetica" w:cs="Calibri"/>
          <w:noProof/>
          <w:sz w:val="20"/>
        </w:rPr>
        <w:t>. (2021).</w:t>
      </w:r>
    </w:p>
    <w:p w14:paraId="5382E883" w14:textId="723B11AF" w:rsidR="000645CD" w:rsidRPr="00664D52" w:rsidRDefault="008444C6" w:rsidP="00B943D6">
      <w:pPr>
        <w:widowControl w:val="0"/>
        <w:autoSpaceDE w:val="0"/>
        <w:autoSpaceDN w:val="0"/>
        <w:adjustRightInd w:val="0"/>
        <w:spacing w:before="120" w:after="280"/>
        <w:ind w:left="640" w:hanging="640"/>
        <w:rPr>
          <w:rFonts w:ascii="Helvetica" w:hAnsi="Helvetica" w:cstheme="minorHAnsi"/>
        </w:rPr>
      </w:pPr>
      <w:r w:rsidRPr="00664D52">
        <w:rPr>
          <w:rFonts w:ascii="Helvetica" w:hAnsi="Helvetica" w:cstheme="minorHAnsi"/>
          <w:sz w:val="20"/>
          <w:szCs w:val="20"/>
        </w:rPr>
        <w:fldChar w:fldCharType="end"/>
      </w:r>
    </w:p>
    <w:sectPr w:rsidR="000645CD" w:rsidRPr="00664D52" w:rsidSect="001C4E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07BF9" w14:textId="77777777" w:rsidR="008174FE" w:rsidRDefault="008174FE" w:rsidP="005E5EDA">
      <w:r>
        <w:separator/>
      </w:r>
    </w:p>
  </w:endnote>
  <w:endnote w:type="continuationSeparator" w:id="0">
    <w:p w14:paraId="2E344550" w14:textId="77777777" w:rsidR="008174FE" w:rsidRDefault="008174FE" w:rsidP="005E5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6986676"/>
      <w:docPartObj>
        <w:docPartGallery w:val="Page Numbers (Bottom of Page)"/>
        <w:docPartUnique/>
      </w:docPartObj>
    </w:sdtPr>
    <w:sdtEndPr>
      <w:rPr>
        <w:rStyle w:val="PageNumber"/>
      </w:rPr>
    </w:sdtEndPr>
    <w:sdtContent>
      <w:p w14:paraId="5658FA07" w14:textId="77777777" w:rsidR="00576730" w:rsidRDefault="00576730" w:rsidP="00B112F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2E7CB5D6" w14:textId="77777777" w:rsidR="00576730" w:rsidRDefault="00576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9260049"/>
      <w:docPartObj>
        <w:docPartGallery w:val="Page Numbers (Bottom of Page)"/>
        <w:docPartUnique/>
      </w:docPartObj>
    </w:sdtPr>
    <w:sdtEndPr>
      <w:rPr>
        <w:rStyle w:val="PageNumber"/>
      </w:rPr>
    </w:sdtEndPr>
    <w:sdtContent>
      <w:p w14:paraId="3FA59B89" w14:textId="77777777" w:rsidR="00576730" w:rsidRDefault="00576730" w:rsidP="00B112F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F4CBE9F" w14:textId="77777777" w:rsidR="00576730" w:rsidRDefault="005767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2206650"/>
      <w:docPartObj>
        <w:docPartGallery w:val="Page Numbers (Bottom of Page)"/>
        <w:docPartUnique/>
      </w:docPartObj>
    </w:sdtPr>
    <w:sdtEndPr>
      <w:rPr>
        <w:rStyle w:val="PageNumber"/>
      </w:rPr>
    </w:sdtEndPr>
    <w:sdtContent>
      <w:p w14:paraId="79730BDD" w14:textId="515446EA" w:rsidR="005E5EDA" w:rsidRDefault="005E5EDA" w:rsidP="00DF030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796415" w14:textId="77777777" w:rsidR="005E5EDA" w:rsidRDefault="005E5E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612985"/>
      <w:docPartObj>
        <w:docPartGallery w:val="Page Numbers (Bottom of Page)"/>
        <w:docPartUnique/>
      </w:docPartObj>
    </w:sdtPr>
    <w:sdtEndPr>
      <w:rPr>
        <w:rStyle w:val="PageNumber"/>
      </w:rPr>
    </w:sdtEndPr>
    <w:sdtContent>
      <w:p w14:paraId="3A80C68E" w14:textId="58EE2969" w:rsidR="005E5EDA" w:rsidRDefault="005E5EDA" w:rsidP="00DF030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D3F03E" w14:textId="77777777" w:rsidR="005E5EDA" w:rsidRDefault="005E5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3B7A8" w14:textId="77777777" w:rsidR="008174FE" w:rsidRDefault="008174FE" w:rsidP="005E5EDA">
      <w:r>
        <w:separator/>
      </w:r>
    </w:p>
  </w:footnote>
  <w:footnote w:type="continuationSeparator" w:id="0">
    <w:p w14:paraId="4A8937E0" w14:textId="77777777" w:rsidR="008174FE" w:rsidRDefault="008174FE" w:rsidP="005E5E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136DA"/>
    <w:multiLevelType w:val="hybridMultilevel"/>
    <w:tmpl w:val="FE0A529C"/>
    <w:lvl w:ilvl="0" w:tplc="DE16A64A">
      <w:start w:val="1"/>
      <w:numFmt w:val="bullet"/>
      <w:lvlText w:val="-"/>
      <w:lvlJc w:val="left"/>
      <w:pPr>
        <w:ind w:left="720" w:hanging="360"/>
      </w:pPr>
      <w:rPr>
        <w:rFonts w:ascii="Calibri Light" w:eastAsiaTheme="min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0680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5F4"/>
    <w:rsid w:val="0000227A"/>
    <w:rsid w:val="000070D0"/>
    <w:rsid w:val="00011DF0"/>
    <w:rsid w:val="00016853"/>
    <w:rsid w:val="0003048C"/>
    <w:rsid w:val="00047956"/>
    <w:rsid w:val="000541C5"/>
    <w:rsid w:val="000600A4"/>
    <w:rsid w:val="000645CD"/>
    <w:rsid w:val="0007028A"/>
    <w:rsid w:val="000807AA"/>
    <w:rsid w:val="000A0FF0"/>
    <w:rsid w:val="000A6799"/>
    <w:rsid w:val="000A7DD3"/>
    <w:rsid w:val="000B0D82"/>
    <w:rsid w:val="000D7FA1"/>
    <w:rsid w:val="000E169B"/>
    <w:rsid w:val="001052F7"/>
    <w:rsid w:val="001233F7"/>
    <w:rsid w:val="001332E7"/>
    <w:rsid w:val="00141B8F"/>
    <w:rsid w:val="001704A1"/>
    <w:rsid w:val="0017064A"/>
    <w:rsid w:val="0017311A"/>
    <w:rsid w:val="00185998"/>
    <w:rsid w:val="00190B3A"/>
    <w:rsid w:val="001922DF"/>
    <w:rsid w:val="00192579"/>
    <w:rsid w:val="0019717E"/>
    <w:rsid w:val="001A5E3E"/>
    <w:rsid w:val="001C0376"/>
    <w:rsid w:val="001C4E68"/>
    <w:rsid w:val="001C55B1"/>
    <w:rsid w:val="001D54C6"/>
    <w:rsid w:val="001D5C33"/>
    <w:rsid w:val="001E7B61"/>
    <w:rsid w:val="001F48A0"/>
    <w:rsid w:val="002005F9"/>
    <w:rsid w:val="00201A96"/>
    <w:rsid w:val="002056AA"/>
    <w:rsid w:val="002202B0"/>
    <w:rsid w:val="002207AD"/>
    <w:rsid w:val="00242000"/>
    <w:rsid w:val="00242C9D"/>
    <w:rsid w:val="002444A0"/>
    <w:rsid w:val="002462AE"/>
    <w:rsid w:val="00261CF9"/>
    <w:rsid w:val="00262B75"/>
    <w:rsid w:val="002635F4"/>
    <w:rsid w:val="002652D4"/>
    <w:rsid w:val="00284549"/>
    <w:rsid w:val="002874B6"/>
    <w:rsid w:val="00291B30"/>
    <w:rsid w:val="00297DB7"/>
    <w:rsid w:val="002A2C59"/>
    <w:rsid w:val="002A7533"/>
    <w:rsid w:val="002B00F6"/>
    <w:rsid w:val="002B1BD8"/>
    <w:rsid w:val="002B6229"/>
    <w:rsid w:val="002C026F"/>
    <w:rsid w:val="002C3276"/>
    <w:rsid w:val="002E63B8"/>
    <w:rsid w:val="002F0451"/>
    <w:rsid w:val="002F4814"/>
    <w:rsid w:val="003250D7"/>
    <w:rsid w:val="00341240"/>
    <w:rsid w:val="0035298E"/>
    <w:rsid w:val="00355FF5"/>
    <w:rsid w:val="00366A90"/>
    <w:rsid w:val="00372F4A"/>
    <w:rsid w:val="0038767C"/>
    <w:rsid w:val="003A537C"/>
    <w:rsid w:val="003B707F"/>
    <w:rsid w:val="003C39B6"/>
    <w:rsid w:val="003C4544"/>
    <w:rsid w:val="003D0F4C"/>
    <w:rsid w:val="003D31C0"/>
    <w:rsid w:val="003E5747"/>
    <w:rsid w:val="003E6991"/>
    <w:rsid w:val="003F5039"/>
    <w:rsid w:val="004038DC"/>
    <w:rsid w:val="004212E8"/>
    <w:rsid w:val="00434886"/>
    <w:rsid w:val="00454CC5"/>
    <w:rsid w:val="00460211"/>
    <w:rsid w:val="0046262B"/>
    <w:rsid w:val="004654D7"/>
    <w:rsid w:val="004710B2"/>
    <w:rsid w:val="004742DC"/>
    <w:rsid w:val="00474FD4"/>
    <w:rsid w:val="0047638D"/>
    <w:rsid w:val="00487DD5"/>
    <w:rsid w:val="004A3D4B"/>
    <w:rsid w:val="004C183E"/>
    <w:rsid w:val="004C18D6"/>
    <w:rsid w:val="004C6B74"/>
    <w:rsid w:val="004D0F3D"/>
    <w:rsid w:val="004F1F93"/>
    <w:rsid w:val="004F2E2F"/>
    <w:rsid w:val="004F4339"/>
    <w:rsid w:val="005016C9"/>
    <w:rsid w:val="00510E3D"/>
    <w:rsid w:val="005121AE"/>
    <w:rsid w:val="0054566F"/>
    <w:rsid w:val="005520B2"/>
    <w:rsid w:val="00555187"/>
    <w:rsid w:val="00560D05"/>
    <w:rsid w:val="005622C8"/>
    <w:rsid w:val="00571E78"/>
    <w:rsid w:val="005743A1"/>
    <w:rsid w:val="00576730"/>
    <w:rsid w:val="005839FC"/>
    <w:rsid w:val="005C2FBD"/>
    <w:rsid w:val="005C525D"/>
    <w:rsid w:val="005D6566"/>
    <w:rsid w:val="005E01D0"/>
    <w:rsid w:val="005E418A"/>
    <w:rsid w:val="005E5EDA"/>
    <w:rsid w:val="005F466F"/>
    <w:rsid w:val="005F4672"/>
    <w:rsid w:val="00605CEA"/>
    <w:rsid w:val="0061056D"/>
    <w:rsid w:val="006228E1"/>
    <w:rsid w:val="006247A0"/>
    <w:rsid w:val="00657622"/>
    <w:rsid w:val="006638F4"/>
    <w:rsid w:val="00664D52"/>
    <w:rsid w:val="006916C7"/>
    <w:rsid w:val="006A6FB1"/>
    <w:rsid w:val="006C0E1A"/>
    <w:rsid w:val="006C1DD5"/>
    <w:rsid w:val="006C632C"/>
    <w:rsid w:val="006D621D"/>
    <w:rsid w:val="006F0399"/>
    <w:rsid w:val="006F1145"/>
    <w:rsid w:val="006F2CBE"/>
    <w:rsid w:val="006F5008"/>
    <w:rsid w:val="006F7469"/>
    <w:rsid w:val="00710528"/>
    <w:rsid w:val="00711B60"/>
    <w:rsid w:val="00733C09"/>
    <w:rsid w:val="0073530D"/>
    <w:rsid w:val="0074266E"/>
    <w:rsid w:val="007436B2"/>
    <w:rsid w:val="00745648"/>
    <w:rsid w:val="00752B2F"/>
    <w:rsid w:val="00774A33"/>
    <w:rsid w:val="00774ED3"/>
    <w:rsid w:val="007B18A1"/>
    <w:rsid w:val="007B1BA3"/>
    <w:rsid w:val="007C5D86"/>
    <w:rsid w:val="007D1431"/>
    <w:rsid w:val="007D2326"/>
    <w:rsid w:val="007D589B"/>
    <w:rsid w:val="007D7919"/>
    <w:rsid w:val="007E3AF4"/>
    <w:rsid w:val="007F1480"/>
    <w:rsid w:val="007F32C1"/>
    <w:rsid w:val="007F4F62"/>
    <w:rsid w:val="008009A6"/>
    <w:rsid w:val="00800B5C"/>
    <w:rsid w:val="008174FE"/>
    <w:rsid w:val="00820F9B"/>
    <w:rsid w:val="0082694F"/>
    <w:rsid w:val="0083052D"/>
    <w:rsid w:val="008444C6"/>
    <w:rsid w:val="00850BC0"/>
    <w:rsid w:val="00855D5D"/>
    <w:rsid w:val="00865131"/>
    <w:rsid w:val="0087215F"/>
    <w:rsid w:val="00891A95"/>
    <w:rsid w:val="008C0FF5"/>
    <w:rsid w:val="008C2B7D"/>
    <w:rsid w:val="008C4BBC"/>
    <w:rsid w:val="008D1451"/>
    <w:rsid w:val="008D1A8E"/>
    <w:rsid w:val="008D5560"/>
    <w:rsid w:val="008D58B0"/>
    <w:rsid w:val="008E58E2"/>
    <w:rsid w:val="00907B12"/>
    <w:rsid w:val="0091205E"/>
    <w:rsid w:val="0092399E"/>
    <w:rsid w:val="00934D34"/>
    <w:rsid w:val="00934E75"/>
    <w:rsid w:val="00936430"/>
    <w:rsid w:val="009374E2"/>
    <w:rsid w:val="009448FC"/>
    <w:rsid w:val="00963FB9"/>
    <w:rsid w:val="0097118F"/>
    <w:rsid w:val="009748C3"/>
    <w:rsid w:val="00975CE2"/>
    <w:rsid w:val="00977260"/>
    <w:rsid w:val="00994A25"/>
    <w:rsid w:val="009952F6"/>
    <w:rsid w:val="009959A1"/>
    <w:rsid w:val="00997689"/>
    <w:rsid w:val="009A4EFD"/>
    <w:rsid w:val="009C2EB0"/>
    <w:rsid w:val="009C4AB6"/>
    <w:rsid w:val="009E25E4"/>
    <w:rsid w:val="009F5DB7"/>
    <w:rsid w:val="00A018FA"/>
    <w:rsid w:val="00A040A4"/>
    <w:rsid w:val="00A14405"/>
    <w:rsid w:val="00A20700"/>
    <w:rsid w:val="00A32894"/>
    <w:rsid w:val="00A62E6A"/>
    <w:rsid w:val="00AA7C5E"/>
    <w:rsid w:val="00AD102A"/>
    <w:rsid w:val="00AE3DFC"/>
    <w:rsid w:val="00AE4D5B"/>
    <w:rsid w:val="00AF037F"/>
    <w:rsid w:val="00AF3BFC"/>
    <w:rsid w:val="00AF7FD0"/>
    <w:rsid w:val="00B15FFC"/>
    <w:rsid w:val="00B22280"/>
    <w:rsid w:val="00B27F47"/>
    <w:rsid w:val="00B304C5"/>
    <w:rsid w:val="00B63EDB"/>
    <w:rsid w:val="00B72307"/>
    <w:rsid w:val="00B75650"/>
    <w:rsid w:val="00B84BA0"/>
    <w:rsid w:val="00B84D48"/>
    <w:rsid w:val="00B93208"/>
    <w:rsid w:val="00B943D6"/>
    <w:rsid w:val="00BB1C38"/>
    <w:rsid w:val="00BB3402"/>
    <w:rsid w:val="00BB61C9"/>
    <w:rsid w:val="00BB6F85"/>
    <w:rsid w:val="00BC468B"/>
    <w:rsid w:val="00BD1D2B"/>
    <w:rsid w:val="00BD5058"/>
    <w:rsid w:val="00BF45A3"/>
    <w:rsid w:val="00C02020"/>
    <w:rsid w:val="00C0489A"/>
    <w:rsid w:val="00C241BB"/>
    <w:rsid w:val="00C26488"/>
    <w:rsid w:val="00C2651B"/>
    <w:rsid w:val="00C5727C"/>
    <w:rsid w:val="00C71283"/>
    <w:rsid w:val="00C7365C"/>
    <w:rsid w:val="00C74CB2"/>
    <w:rsid w:val="00C82B85"/>
    <w:rsid w:val="00C95865"/>
    <w:rsid w:val="00CA3F30"/>
    <w:rsid w:val="00CC1284"/>
    <w:rsid w:val="00CC21D1"/>
    <w:rsid w:val="00CD1414"/>
    <w:rsid w:val="00CE3316"/>
    <w:rsid w:val="00CE6565"/>
    <w:rsid w:val="00CF7FA7"/>
    <w:rsid w:val="00D214AA"/>
    <w:rsid w:val="00D22444"/>
    <w:rsid w:val="00D247B9"/>
    <w:rsid w:val="00D25CA7"/>
    <w:rsid w:val="00D33623"/>
    <w:rsid w:val="00D4157C"/>
    <w:rsid w:val="00D43B44"/>
    <w:rsid w:val="00D46FEC"/>
    <w:rsid w:val="00D61D69"/>
    <w:rsid w:val="00D97204"/>
    <w:rsid w:val="00DA2210"/>
    <w:rsid w:val="00DB6606"/>
    <w:rsid w:val="00DC5F5E"/>
    <w:rsid w:val="00DD2922"/>
    <w:rsid w:val="00DE33AB"/>
    <w:rsid w:val="00E143F8"/>
    <w:rsid w:val="00E20154"/>
    <w:rsid w:val="00E25568"/>
    <w:rsid w:val="00E34454"/>
    <w:rsid w:val="00E4642C"/>
    <w:rsid w:val="00E61124"/>
    <w:rsid w:val="00E63390"/>
    <w:rsid w:val="00E633D1"/>
    <w:rsid w:val="00E64D9D"/>
    <w:rsid w:val="00E709D3"/>
    <w:rsid w:val="00E74637"/>
    <w:rsid w:val="00E76CE4"/>
    <w:rsid w:val="00E81F78"/>
    <w:rsid w:val="00EA5284"/>
    <w:rsid w:val="00EC3F41"/>
    <w:rsid w:val="00EF5B4A"/>
    <w:rsid w:val="00F01EA9"/>
    <w:rsid w:val="00F03527"/>
    <w:rsid w:val="00F45BD8"/>
    <w:rsid w:val="00F531E4"/>
    <w:rsid w:val="00F546F8"/>
    <w:rsid w:val="00F56475"/>
    <w:rsid w:val="00F65568"/>
    <w:rsid w:val="00F850F5"/>
    <w:rsid w:val="00F86E09"/>
    <w:rsid w:val="00F95EB5"/>
    <w:rsid w:val="00FE67AE"/>
    <w:rsid w:val="00FF0734"/>
    <w:rsid w:val="00FF4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EB93C"/>
  <w15:chartTrackingRefBased/>
  <w15:docId w15:val="{D53FA5BF-592B-9F49-A966-02263C3E9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7AA"/>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807AA"/>
    <w:rPr>
      <w:sz w:val="16"/>
      <w:szCs w:val="16"/>
    </w:rPr>
  </w:style>
  <w:style w:type="paragraph" w:styleId="CommentText">
    <w:name w:val="annotation text"/>
    <w:basedOn w:val="Normal"/>
    <w:link w:val="CommentTextChar"/>
    <w:uiPriority w:val="99"/>
    <w:unhideWhenUsed/>
    <w:rsid w:val="000807AA"/>
    <w:rPr>
      <w:sz w:val="20"/>
      <w:szCs w:val="20"/>
    </w:rPr>
  </w:style>
  <w:style w:type="character" w:customStyle="1" w:styleId="CommentTextChar">
    <w:name w:val="Comment Text Char"/>
    <w:basedOn w:val="DefaultParagraphFont"/>
    <w:link w:val="CommentText"/>
    <w:uiPriority w:val="99"/>
    <w:rsid w:val="000807AA"/>
    <w:rPr>
      <w:rFonts w:eastAsiaTheme="minorEastAsia"/>
      <w:sz w:val="20"/>
      <w:szCs w:val="20"/>
      <w:lang w:eastAsia="ja-JP"/>
    </w:rPr>
  </w:style>
  <w:style w:type="table" w:styleId="TableGrid">
    <w:name w:val="Table Grid"/>
    <w:basedOn w:val="TableNormal"/>
    <w:uiPriority w:val="39"/>
    <w:rsid w:val="007D7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E3AF4"/>
    <w:rPr>
      <w:b/>
      <w:bCs/>
    </w:rPr>
  </w:style>
  <w:style w:type="character" w:customStyle="1" w:styleId="CommentSubjectChar">
    <w:name w:val="Comment Subject Char"/>
    <w:basedOn w:val="CommentTextChar"/>
    <w:link w:val="CommentSubject"/>
    <w:uiPriority w:val="99"/>
    <w:semiHidden/>
    <w:rsid w:val="007E3AF4"/>
    <w:rPr>
      <w:rFonts w:eastAsiaTheme="minorEastAsia"/>
      <w:b/>
      <w:bCs/>
      <w:sz w:val="20"/>
      <w:szCs w:val="20"/>
      <w:lang w:eastAsia="ja-JP"/>
    </w:rPr>
  </w:style>
  <w:style w:type="paragraph" w:styleId="ListParagraph">
    <w:name w:val="List Paragraph"/>
    <w:basedOn w:val="Normal"/>
    <w:uiPriority w:val="34"/>
    <w:qFormat/>
    <w:rsid w:val="00FE67AE"/>
    <w:pPr>
      <w:ind w:left="720"/>
      <w:contextualSpacing/>
    </w:pPr>
  </w:style>
  <w:style w:type="paragraph" w:styleId="Header">
    <w:name w:val="header"/>
    <w:basedOn w:val="Normal"/>
    <w:link w:val="HeaderChar"/>
    <w:uiPriority w:val="99"/>
    <w:unhideWhenUsed/>
    <w:rsid w:val="005E5EDA"/>
    <w:pPr>
      <w:tabs>
        <w:tab w:val="center" w:pos="4680"/>
        <w:tab w:val="right" w:pos="9360"/>
      </w:tabs>
    </w:pPr>
  </w:style>
  <w:style w:type="character" w:customStyle="1" w:styleId="HeaderChar">
    <w:name w:val="Header Char"/>
    <w:basedOn w:val="DefaultParagraphFont"/>
    <w:link w:val="Header"/>
    <w:uiPriority w:val="99"/>
    <w:rsid w:val="005E5EDA"/>
    <w:rPr>
      <w:rFonts w:eastAsiaTheme="minorEastAsia"/>
      <w:lang w:eastAsia="ja-JP"/>
    </w:rPr>
  </w:style>
  <w:style w:type="paragraph" w:styleId="Footer">
    <w:name w:val="footer"/>
    <w:basedOn w:val="Normal"/>
    <w:link w:val="FooterChar"/>
    <w:uiPriority w:val="99"/>
    <w:unhideWhenUsed/>
    <w:rsid w:val="005E5EDA"/>
    <w:pPr>
      <w:tabs>
        <w:tab w:val="center" w:pos="4680"/>
        <w:tab w:val="right" w:pos="9360"/>
      </w:tabs>
    </w:pPr>
  </w:style>
  <w:style w:type="character" w:customStyle="1" w:styleId="FooterChar">
    <w:name w:val="Footer Char"/>
    <w:basedOn w:val="DefaultParagraphFont"/>
    <w:link w:val="Footer"/>
    <w:uiPriority w:val="99"/>
    <w:rsid w:val="005E5EDA"/>
    <w:rPr>
      <w:rFonts w:eastAsiaTheme="minorEastAsia"/>
      <w:lang w:eastAsia="ja-JP"/>
    </w:rPr>
  </w:style>
  <w:style w:type="character" w:styleId="PageNumber">
    <w:name w:val="page number"/>
    <w:basedOn w:val="DefaultParagraphFont"/>
    <w:uiPriority w:val="99"/>
    <w:semiHidden/>
    <w:unhideWhenUsed/>
    <w:rsid w:val="005E5EDA"/>
  </w:style>
  <w:style w:type="character" w:styleId="Hyperlink">
    <w:name w:val="Hyperlink"/>
    <w:basedOn w:val="DefaultParagraphFont"/>
    <w:rsid w:val="00BC46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berge1@uci.edu" TargetMode="External"/><Relationship Id="rId13" Type="http://schemas.openxmlformats.org/officeDocument/2006/relationships/image" Target="media/image4.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sjdavis@uci.ed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1BC7A-7BA5-7F45-9D33-A58F2D5CC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10865</Words>
  <Characters>61935</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Candelaria Bergero</dc:creator>
  <cp:keywords/>
  <dc:description/>
  <cp:lastModifiedBy>Maria Candelaria Bergero</cp:lastModifiedBy>
  <cp:revision>21</cp:revision>
  <dcterms:created xsi:type="dcterms:W3CDTF">2022-06-29T17:06:00Z</dcterms:created>
  <dcterms:modified xsi:type="dcterms:W3CDTF">2022-07-02T23:40:00Z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2abb7716-c783-394c-bbe3-3d8e735df498</vt:lpwstr>
  </property>
  <property fmtid="{D5CDD505-2E9C-101B-9397-08002B2CF9AE}" pid="24" name="Mendeley Citation Style_1">
    <vt:lpwstr>http://www.zotero.org/styles/nature</vt:lpwstr>
  </property>
</Properties>
</file>