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4F5FE4" w14:textId="77777777" w:rsidR="00C67BDF" w:rsidRDefault="00C67BDF" w:rsidP="004D7EA0">
      <w:pPr>
        <w:spacing w:line="360" w:lineRule="auto"/>
        <w:jc w:val="both"/>
        <w:rPr>
          <w:b/>
          <w:sz w:val="24"/>
        </w:rPr>
      </w:pPr>
      <w:r>
        <w:rPr>
          <w:b/>
          <w:sz w:val="24"/>
        </w:rPr>
        <w:t>Supplementary Information for</w:t>
      </w:r>
    </w:p>
    <w:p w14:paraId="1C80C862" w14:textId="77777777" w:rsidR="002F3704" w:rsidRDefault="00187753" w:rsidP="004D7EA0">
      <w:pPr>
        <w:pStyle w:val="Corpsdetexte"/>
        <w:spacing w:line="360" w:lineRule="auto"/>
        <w:jc w:val="both"/>
      </w:pPr>
      <w:r>
        <w:t>Alarm communication predates eusociality in termites</w:t>
      </w:r>
    </w:p>
    <w:p w14:paraId="13942109" w14:textId="77777777" w:rsidR="002F3704" w:rsidRDefault="002F3704" w:rsidP="004D7EA0">
      <w:pPr>
        <w:pStyle w:val="Corpsdetexte"/>
        <w:spacing w:line="360" w:lineRule="auto"/>
        <w:jc w:val="both"/>
        <w:rPr>
          <w:sz w:val="33"/>
        </w:rPr>
      </w:pPr>
    </w:p>
    <w:p w14:paraId="34C40A0C" w14:textId="746B6226" w:rsidR="002F3704" w:rsidRDefault="005816E2" w:rsidP="004D7EA0">
      <w:pPr>
        <w:pStyle w:val="Corpsdetexte"/>
        <w:spacing w:line="360" w:lineRule="auto"/>
        <w:jc w:val="both"/>
        <w:rPr>
          <w:sz w:val="16"/>
        </w:rPr>
      </w:pPr>
      <w:r>
        <w:t xml:space="preserve">David Sillam-Dussès, Vojtěch Jandák, </w:t>
      </w:r>
      <w:r w:rsidR="00187753">
        <w:t>Petr Stiblik, Olivier Delattre, Thomas Chouvenc, Ondřej Balvín, Josef Cvačka, Delphine Soulet, Jiří Synek, Marek Brothánek, Ondřej Jiříček, Michael S. Engel</w:t>
      </w:r>
      <w:r w:rsidR="00187753">
        <w:rPr>
          <w:position w:val="9"/>
          <w:sz w:val="16"/>
        </w:rPr>
        <w:t>*</w:t>
      </w:r>
      <w:r w:rsidR="00187753">
        <w:t>, Thomas Bourguignon, Jan Šobotník</w:t>
      </w:r>
      <w:r w:rsidR="00187753">
        <w:rPr>
          <w:position w:val="9"/>
          <w:sz w:val="16"/>
        </w:rPr>
        <w:t>*</w:t>
      </w:r>
    </w:p>
    <w:p w14:paraId="5FC2358A" w14:textId="77777777" w:rsidR="002F3704" w:rsidRDefault="00187753" w:rsidP="004D7EA0">
      <w:pPr>
        <w:pStyle w:val="Paragraphedeliste"/>
        <w:numPr>
          <w:ilvl w:val="0"/>
          <w:numId w:val="2"/>
        </w:numPr>
        <w:tabs>
          <w:tab w:val="left" w:pos="297"/>
        </w:tabs>
        <w:spacing w:before="0" w:line="360" w:lineRule="auto"/>
        <w:ind w:left="0" w:firstLine="0"/>
        <w:jc w:val="both"/>
        <w:rPr>
          <w:sz w:val="24"/>
        </w:rPr>
      </w:pPr>
      <w:r>
        <w:rPr>
          <w:sz w:val="24"/>
        </w:rPr>
        <w:t>Michael S. Engel (</w:t>
      </w:r>
      <w:hyperlink r:id="rId8">
        <w:r>
          <w:rPr>
            <w:color w:val="0462C1"/>
            <w:sz w:val="24"/>
            <w:u w:val="single" w:color="0462C1"/>
          </w:rPr>
          <w:t>msengel@ku.edu</w:t>
        </w:r>
      </w:hyperlink>
      <w:r>
        <w:rPr>
          <w:sz w:val="24"/>
        </w:rPr>
        <w:t>) &amp; Jan Šobotník</w:t>
      </w:r>
      <w:r>
        <w:rPr>
          <w:spacing w:val="-7"/>
          <w:sz w:val="24"/>
        </w:rPr>
        <w:t xml:space="preserve"> </w:t>
      </w:r>
      <w:r>
        <w:rPr>
          <w:sz w:val="24"/>
        </w:rPr>
        <w:t>(</w:t>
      </w:r>
      <w:r>
        <w:rPr>
          <w:color w:val="0462C1"/>
          <w:sz w:val="24"/>
          <w:u w:val="single" w:color="0462C1"/>
        </w:rPr>
        <w:t>sobotnik@ftz.czu.cz</w:t>
      </w:r>
      <w:r>
        <w:rPr>
          <w:sz w:val="24"/>
        </w:rPr>
        <w:t>)</w:t>
      </w:r>
    </w:p>
    <w:p w14:paraId="388CDE67" w14:textId="77777777" w:rsidR="002F3704" w:rsidRDefault="002F3704" w:rsidP="004D7EA0">
      <w:pPr>
        <w:pStyle w:val="Corpsdetexte"/>
        <w:spacing w:line="360" w:lineRule="auto"/>
        <w:jc w:val="both"/>
        <w:rPr>
          <w:sz w:val="20"/>
        </w:rPr>
      </w:pPr>
    </w:p>
    <w:p w14:paraId="0F3CE525" w14:textId="77777777" w:rsidR="002F3704" w:rsidRDefault="002F3704" w:rsidP="004D7EA0">
      <w:pPr>
        <w:pStyle w:val="Corpsdetexte"/>
        <w:spacing w:line="360" w:lineRule="auto"/>
        <w:jc w:val="both"/>
        <w:rPr>
          <w:sz w:val="21"/>
        </w:rPr>
      </w:pPr>
    </w:p>
    <w:p w14:paraId="2E2F7A1C" w14:textId="77777777" w:rsidR="002F3704" w:rsidRDefault="00187753" w:rsidP="004D7EA0">
      <w:pPr>
        <w:pStyle w:val="Titre1"/>
        <w:spacing w:line="360" w:lineRule="auto"/>
        <w:ind w:left="0"/>
        <w:jc w:val="both"/>
      </w:pPr>
      <w:r>
        <w:t>Included in this document:</w:t>
      </w:r>
    </w:p>
    <w:p w14:paraId="6E6C4A74" w14:textId="77777777" w:rsidR="002F3704" w:rsidRDefault="00187753" w:rsidP="004D7EA0">
      <w:pPr>
        <w:pStyle w:val="Paragraphedeliste"/>
        <w:numPr>
          <w:ilvl w:val="1"/>
          <w:numId w:val="2"/>
        </w:numPr>
        <w:tabs>
          <w:tab w:val="left" w:pos="836"/>
          <w:tab w:val="left" w:pos="837"/>
        </w:tabs>
        <w:spacing w:before="0" w:line="360" w:lineRule="auto"/>
        <w:ind w:left="0" w:firstLine="0"/>
        <w:jc w:val="both"/>
        <w:rPr>
          <w:sz w:val="24"/>
        </w:rPr>
      </w:pPr>
      <w:r>
        <w:rPr>
          <w:sz w:val="24"/>
        </w:rPr>
        <w:t>Analytical chemistry</w:t>
      </w:r>
      <w:r>
        <w:rPr>
          <w:spacing w:val="-5"/>
          <w:sz w:val="24"/>
        </w:rPr>
        <w:t xml:space="preserve"> </w:t>
      </w:r>
      <w:r>
        <w:rPr>
          <w:sz w:val="24"/>
        </w:rPr>
        <w:t>method</w:t>
      </w:r>
    </w:p>
    <w:p w14:paraId="4B712C84" w14:textId="56A13D78" w:rsidR="002F3704" w:rsidRDefault="00187753" w:rsidP="004D7EA0">
      <w:pPr>
        <w:pStyle w:val="Paragraphedeliste"/>
        <w:numPr>
          <w:ilvl w:val="1"/>
          <w:numId w:val="2"/>
        </w:numPr>
        <w:tabs>
          <w:tab w:val="left" w:pos="836"/>
          <w:tab w:val="left" w:pos="837"/>
        </w:tabs>
        <w:spacing w:before="0" w:line="360" w:lineRule="auto"/>
        <w:ind w:left="0" w:firstLine="0"/>
        <w:jc w:val="both"/>
        <w:rPr>
          <w:sz w:val="24"/>
        </w:rPr>
      </w:pPr>
      <w:r>
        <w:rPr>
          <w:sz w:val="24"/>
        </w:rPr>
        <w:t>Figures</w:t>
      </w:r>
      <w:r>
        <w:rPr>
          <w:spacing w:val="-6"/>
          <w:sz w:val="24"/>
        </w:rPr>
        <w:t xml:space="preserve"> </w:t>
      </w:r>
      <w:r>
        <w:rPr>
          <w:sz w:val="24"/>
        </w:rPr>
        <w:t>S1-S</w:t>
      </w:r>
      <w:r w:rsidR="00023682">
        <w:rPr>
          <w:sz w:val="24"/>
        </w:rPr>
        <w:t>6</w:t>
      </w:r>
    </w:p>
    <w:p w14:paraId="4FC59ED7" w14:textId="77777777" w:rsidR="002F3704" w:rsidRDefault="00187753" w:rsidP="004D7EA0">
      <w:pPr>
        <w:pStyle w:val="Paragraphedeliste"/>
        <w:numPr>
          <w:ilvl w:val="1"/>
          <w:numId w:val="2"/>
        </w:numPr>
        <w:tabs>
          <w:tab w:val="left" w:pos="836"/>
          <w:tab w:val="left" w:pos="837"/>
        </w:tabs>
        <w:spacing w:before="0" w:line="360" w:lineRule="auto"/>
        <w:ind w:left="0" w:firstLine="0"/>
        <w:jc w:val="both"/>
        <w:rPr>
          <w:sz w:val="24"/>
        </w:rPr>
      </w:pPr>
      <w:r>
        <w:rPr>
          <w:sz w:val="24"/>
        </w:rPr>
        <w:t>Tables</w:t>
      </w:r>
      <w:r>
        <w:rPr>
          <w:spacing w:val="-4"/>
          <w:sz w:val="24"/>
        </w:rPr>
        <w:t xml:space="preserve"> </w:t>
      </w:r>
      <w:r>
        <w:rPr>
          <w:sz w:val="24"/>
        </w:rPr>
        <w:t>S1-S4</w:t>
      </w:r>
    </w:p>
    <w:p w14:paraId="6B6B849B" w14:textId="77777777" w:rsidR="002F3704" w:rsidRDefault="00187753" w:rsidP="004D7EA0">
      <w:pPr>
        <w:pStyle w:val="Paragraphedeliste"/>
        <w:numPr>
          <w:ilvl w:val="1"/>
          <w:numId w:val="2"/>
        </w:numPr>
        <w:tabs>
          <w:tab w:val="left" w:pos="836"/>
          <w:tab w:val="left" w:pos="837"/>
        </w:tabs>
        <w:spacing w:before="0" w:line="360" w:lineRule="auto"/>
        <w:ind w:left="0" w:firstLine="0"/>
        <w:jc w:val="both"/>
        <w:rPr>
          <w:sz w:val="24"/>
        </w:rPr>
      </w:pPr>
      <w:r>
        <w:rPr>
          <w:sz w:val="24"/>
        </w:rPr>
        <w:t>References not included in the main</w:t>
      </w:r>
      <w:r>
        <w:rPr>
          <w:spacing w:val="-5"/>
          <w:sz w:val="24"/>
        </w:rPr>
        <w:t xml:space="preserve"> </w:t>
      </w:r>
      <w:r>
        <w:rPr>
          <w:sz w:val="24"/>
        </w:rPr>
        <w:t>text</w:t>
      </w:r>
    </w:p>
    <w:p w14:paraId="16CB1ABC" w14:textId="77777777" w:rsidR="002F3704" w:rsidRDefault="00187753" w:rsidP="004D7EA0">
      <w:pPr>
        <w:pStyle w:val="Titre1"/>
        <w:spacing w:line="360" w:lineRule="auto"/>
        <w:ind w:left="0"/>
        <w:jc w:val="both"/>
      </w:pPr>
      <w:r>
        <w:t>Provided outside of this document:</w:t>
      </w:r>
    </w:p>
    <w:p w14:paraId="08CD4B7B" w14:textId="5E6E176A" w:rsidR="002F3704" w:rsidRPr="00FF08D4" w:rsidRDefault="00187753" w:rsidP="00FF08D4">
      <w:pPr>
        <w:pStyle w:val="Paragraphedeliste"/>
        <w:numPr>
          <w:ilvl w:val="1"/>
          <w:numId w:val="2"/>
        </w:numPr>
        <w:tabs>
          <w:tab w:val="left" w:pos="837"/>
        </w:tabs>
        <w:spacing w:before="0" w:line="360" w:lineRule="auto"/>
        <w:ind w:left="0" w:firstLine="0"/>
        <w:jc w:val="both"/>
        <w:rPr>
          <w:sz w:val="24"/>
        </w:rPr>
      </w:pPr>
      <w:r w:rsidRPr="00FF08D4">
        <w:rPr>
          <w:b/>
          <w:sz w:val="24"/>
        </w:rPr>
        <w:t xml:space="preserve">Dataset S1: </w:t>
      </w:r>
      <w:r w:rsidRPr="00FF08D4">
        <w:rPr>
          <w:sz w:val="24"/>
        </w:rPr>
        <w:t>List of characters (from X1 to X33) from</w:t>
      </w:r>
      <w:r w:rsidR="00FF08D4" w:rsidRPr="00FF08D4">
        <w:rPr>
          <w:sz w:val="24"/>
        </w:rPr>
        <w:t xml:space="preserve"> the wood roach </w:t>
      </w:r>
      <w:r w:rsidR="00FF08D4" w:rsidRPr="008024F3">
        <w:rPr>
          <w:i/>
          <w:sz w:val="24"/>
        </w:rPr>
        <w:t>Cryptocercus punctulatus</w:t>
      </w:r>
      <w:r w:rsidR="00FF08D4" w:rsidRPr="00FF08D4">
        <w:rPr>
          <w:sz w:val="24"/>
        </w:rPr>
        <w:t xml:space="preserve"> and from termites. Information about alarm characters is retrieved from literature when indicated or from our experiments when no literature reference is provided (in that case, the country of collection of the species is given).</w:t>
      </w:r>
      <w:r w:rsidR="00FF08D4">
        <w:rPr>
          <w:sz w:val="24"/>
        </w:rPr>
        <w:t xml:space="preserve"> </w:t>
      </w:r>
      <w:r w:rsidRPr="00FF08D4">
        <w:rPr>
          <w:sz w:val="24"/>
        </w:rPr>
        <w:t>All</w:t>
      </w:r>
      <w:r w:rsidRPr="00FF08D4">
        <w:rPr>
          <w:spacing w:val="-7"/>
          <w:sz w:val="24"/>
        </w:rPr>
        <w:t xml:space="preserve"> </w:t>
      </w:r>
      <w:r w:rsidRPr="00FF08D4">
        <w:rPr>
          <w:sz w:val="24"/>
        </w:rPr>
        <w:t>characters are used in the analysis (except X1-X4 which have been excluded from Multiple Correspondence Analysis because they resulted from other characteristics). “?” means that no information is available or the character</w:t>
      </w:r>
      <w:r w:rsidRPr="00FF08D4">
        <w:rPr>
          <w:spacing w:val="-42"/>
          <w:sz w:val="24"/>
        </w:rPr>
        <w:t xml:space="preserve"> </w:t>
      </w:r>
      <w:r w:rsidRPr="00FF08D4">
        <w:rPr>
          <w:sz w:val="24"/>
        </w:rPr>
        <w:t>is inapplicable. Tables and figures with species</w:t>
      </w:r>
      <w:r w:rsidRPr="00FF08D4">
        <w:rPr>
          <w:spacing w:val="-8"/>
          <w:sz w:val="24"/>
        </w:rPr>
        <w:t xml:space="preserve"> </w:t>
      </w:r>
      <w:r w:rsidRPr="00FF08D4">
        <w:rPr>
          <w:sz w:val="24"/>
        </w:rPr>
        <w:t>codes</w:t>
      </w:r>
      <w:r w:rsidRPr="00FF08D4">
        <w:rPr>
          <w:spacing w:val="-7"/>
          <w:sz w:val="24"/>
        </w:rPr>
        <w:t xml:space="preserve"> </w:t>
      </w:r>
      <w:r w:rsidRPr="00FF08D4">
        <w:rPr>
          <w:sz w:val="24"/>
        </w:rPr>
        <w:t>refer</w:t>
      </w:r>
      <w:r w:rsidRPr="00FF08D4">
        <w:rPr>
          <w:spacing w:val="-8"/>
          <w:sz w:val="24"/>
        </w:rPr>
        <w:t xml:space="preserve"> </w:t>
      </w:r>
      <w:r w:rsidRPr="00FF08D4">
        <w:rPr>
          <w:sz w:val="24"/>
        </w:rPr>
        <w:t>to</w:t>
      </w:r>
      <w:r w:rsidRPr="00FF08D4">
        <w:rPr>
          <w:spacing w:val="-6"/>
          <w:sz w:val="24"/>
        </w:rPr>
        <w:t xml:space="preserve"> </w:t>
      </w:r>
      <w:r w:rsidRPr="00FF08D4">
        <w:rPr>
          <w:sz w:val="24"/>
        </w:rPr>
        <w:t>the</w:t>
      </w:r>
      <w:r w:rsidRPr="00FF08D4">
        <w:rPr>
          <w:spacing w:val="-8"/>
          <w:sz w:val="24"/>
        </w:rPr>
        <w:t xml:space="preserve"> </w:t>
      </w:r>
      <w:r w:rsidRPr="00FF08D4">
        <w:rPr>
          <w:sz w:val="24"/>
        </w:rPr>
        <w:t>ones</w:t>
      </w:r>
      <w:r w:rsidRPr="00FF08D4">
        <w:rPr>
          <w:spacing w:val="-7"/>
          <w:sz w:val="24"/>
        </w:rPr>
        <w:t xml:space="preserve"> </w:t>
      </w:r>
      <w:r w:rsidRPr="00FF08D4">
        <w:rPr>
          <w:sz w:val="24"/>
        </w:rPr>
        <w:t>of</w:t>
      </w:r>
      <w:r w:rsidRPr="00FF08D4">
        <w:rPr>
          <w:spacing w:val="-8"/>
          <w:sz w:val="24"/>
        </w:rPr>
        <w:t xml:space="preserve"> </w:t>
      </w:r>
      <w:r w:rsidRPr="00FF08D4">
        <w:rPr>
          <w:sz w:val="24"/>
        </w:rPr>
        <w:t>this</w:t>
      </w:r>
      <w:r w:rsidRPr="00FF08D4">
        <w:rPr>
          <w:spacing w:val="-7"/>
          <w:sz w:val="24"/>
        </w:rPr>
        <w:t xml:space="preserve"> </w:t>
      </w:r>
      <w:r w:rsidRPr="00FF08D4">
        <w:rPr>
          <w:sz w:val="24"/>
        </w:rPr>
        <w:t>table.</w:t>
      </w:r>
      <w:r w:rsidRPr="00FF08D4">
        <w:rPr>
          <w:spacing w:val="-7"/>
          <w:sz w:val="24"/>
        </w:rPr>
        <w:t xml:space="preserve"> </w:t>
      </w:r>
      <w:r w:rsidRPr="00FF08D4">
        <w:rPr>
          <w:sz w:val="24"/>
        </w:rPr>
        <w:t>The</w:t>
      </w:r>
      <w:r w:rsidRPr="00FF08D4">
        <w:rPr>
          <w:spacing w:val="-8"/>
          <w:sz w:val="24"/>
        </w:rPr>
        <w:t xml:space="preserve"> </w:t>
      </w:r>
      <w:r w:rsidRPr="00FF08D4">
        <w:rPr>
          <w:sz w:val="24"/>
        </w:rPr>
        <w:t>caste</w:t>
      </w:r>
      <w:r w:rsidRPr="00FF08D4">
        <w:rPr>
          <w:spacing w:val="-7"/>
          <w:sz w:val="24"/>
        </w:rPr>
        <w:t xml:space="preserve"> </w:t>
      </w:r>
      <w:r w:rsidRPr="00FF08D4">
        <w:rPr>
          <w:sz w:val="24"/>
        </w:rPr>
        <w:t>ratio</w:t>
      </w:r>
      <w:r w:rsidRPr="00FF08D4">
        <w:rPr>
          <w:spacing w:val="-7"/>
          <w:sz w:val="24"/>
        </w:rPr>
        <w:t xml:space="preserve"> </w:t>
      </w:r>
      <w:r w:rsidRPr="00FF08D4">
        <w:rPr>
          <w:sz w:val="24"/>
        </w:rPr>
        <w:t>of</w:t>
      </w:r>
      <w:r w:rsidRPr="00FF08D4">
        <w:rPr>
          <w:spacing w:val="-8"/>
          <w:sz w:val="24"/>
        </w:rPr>
        <w:t xml:space="preserve"> </w:t>
      </w:r>
      <w:r w:rsidRPr="00FF08D4">
        <w:rPr>
          <w:sz w:val="24"/>
        </w:rPr>
        <w:t>workers</w:t>
      </w:r>
      <w:r w:rsidRPr="00FF08D4">
        <w:rPr>
          <w:spacing w:val="-8"/>
          <w:sz w:val="24"/>
        </w:rPr>
        <w:t xml:space="preserve"> </w:t>
      </w:r>
      <w:r w:rsidRPr="00FF08D4">
        <w:rPr>
          <w:sz w:val="24"/>
        </w:rPr>
        <w:t>and</w:t>
      </w:r>
      <w:r w:rsidRPr="00FF08D4">
        <w:rPr>
          <w:spacing w:val="-7"/>
          <w:sz w:val="24"/>
        </w:rPr>
        <w:t xml:space="preserve"> </w:t>
      </w:r>
      <w:r w:rsidRPr="00FF08D4">
        <w:rPr>
          <w:sz w:val="24"/>
        </w:rPr>
        <w:t>soldiers</w:t>
      </w:r>
      <w:r w:rsidRPr="00FF08D4">
        <w:rPr>
          <w:spacing w:val="-8"/>
          <w:sz w:val="24"/>
        </w:rPr>
        <w:t xml:space="preserve"> </w:t>
      </w:r>
      <w:r w:rsidRPr="00FF08D4">
        <w:rPr>
          <w:sz w:val="24"/>
        </w:rPr>
        <w:t>used in the experimental groups is indicated for the species studied in the behavioural experiments. Life type refers to the classification of Abe (1), i.e. one-piece life-type</w:t>
      </w:r>
      <w:r w:rsidRPr="00FF08D4">
        <w:rPr>
          <w:spacing w:val="-37"/>
          <w:sz w:val="24"/>
        </w:rPr>
        <w:t xml:space="preserve"> </w:t>
      </w:r>
      <w:r w:rsidRPr="00FF08D4">
        <w:rPr>
          <w:sz w:val="24"/>
        </w:rPr>
        <w:t>for termites that feed on wood in which they also nest, intermediate life-type for termites which nest in wood but can colonize new food sources through underground galleries, and separate life-type for species in which workers forage outside the</w:t>
      </w:r>
      <w:r w:rsidRPr="00FF08D4">
        <w:rPr>
          <w:spacing w:val="-13"/>
          <w:sz w:val="24"/>
        </w:rPr>
        <w:t xml:space="preserve"> </w:t>
      </w:r>
      <w:r w:rsidRPr="00FF08D4">
        <w:rPr>
          <w:sz w:val="24"/>
        </w:rPr>
        <w:t>nest.</w:t>
      </w:r>
    </w:p>
    <w:p w14:paraId="46D57577" w14:textId="77777777" w:rsidR="002F3704" w:rsidRDefault="00187753" w:rsidP="004D7EA0">
      <w:pPr>
        <w:pStyle w:val="Paragraphedeliste"/>
        <w:numPr>
          <w:ilvl w:val="1"/>
          <w:numId w:val="2"/>
        </w:numPr>
        <w:tabs>
          <w:tab w:val="left" w:pos="837"/>
        </w:tabs>
        <w:spacing w:before="0" w:line="360" w:lineRule="auto"/>
        <w:ind w:left="0" w:firstLine="0"/>
        <w:jc w:val="both"/>
        <w:rPr>
          <w:sz w:val="24"/>
        </w:rPr>
      </w:pPr>
      <w:r>
        <w:rPr>
          <w:b/>
          <w:sz w:val="24"/>
        </w:rPr>
        <w:t>Movie S1</w:t>
      </w:r>
      <w:r>
        <w:rPr>
          <w:sz w:val="24"/>
        </w:rPr>
        <w:t xml:space="preserve">: Experimental set-up to record in an anechoic room the tremulations (vibroacoustic behaviour) of individuals of the wood roach </w:t>
      </w:r>
      <w:r>
        <w:rPr>
          <w:i/>
          <w:sz w:val="24"/>
        </w:rPr>
        <w:t xml:space="preserve">Cryptocercus punctulatus </w:t>
      </w:r>
      <w:r>
        <w:rPr>
          <w:sz w:val="24"/>
        </w:rPr>
        <w:t xml:space="preserve">and the termites </w:t>
      </w:r>
      <w:r>
        <w:rPr>
          <w:i/>
          <w:sz w:val="24"/>
        </w:rPr>
        <w:t>Mastotermes darwiniensis</w:t>
      </w:r>
      <w:r>
        <w:rPr>
          <w:sz w:val="24"/>
        </w:rPr>
        <w:t xml:space="preserve">, </w:t>
      </w:r>
      <w:r>
        <w:rPr>
          <w:i/>
          <w:sz w:val="24"/>
        </w:rPr>
        <w:t>Hodotermopsis sjostedti</w:t>
      </w:r>
      <w:r>
        <w:rPr>
          <w:sz w:val="24"/>
        </w:rPr>
        <w:t xml:space="preserve">, </w:t>
      </w:r>
      <w:r>
        <w:rPr>
          <w:i/>
          <w:sz w:val="24"/>
        </w:rPr>
        <w:t>Neotermes cubanus</w:t>
      </w:r>
      <w:r>
        <w:rPr>
          <w:sz w:val="24"/>
        </w:rPr>
        <w:t xml:space="preserve">, </w:t>
      </w:r>
      <w:r>
        <w:rPr>
          <w:i/>
          <w:sz w:val="24"/>
        </w:rPr>
        <w:t>Glossotermes oculatus</w:t>
      </w:r>
      <w:r>
        <w:rPr>
          <w:sz w:val="24"/>
        </w:rPr>
        <w:t xml:space="preserve">, </w:t>
      </w:r>
      <w:r>
        <w:rPr>
          <w:i/>
          <w:sz w:val="24"/>
        </w:rPr>
        <w:t>Reticulitermes flavipes</w:t>
      </w:r>
      <w:r>
        <w:rPr>
          <w:sz w:val="24"/>
        </w:rPr>
        <w:t xml:space="preserve">, </w:t>
      </w:r>
      <w:r>
        <w:rPr>
          <w:i/>
          <w:sz w:val="24"/>
        </w:rPr>
        <w:t>Labiotermes labralis</w:t>
      </w:r>
      <w:r>
        <w:rPr>
          <w:sz w:val="24"/>
        </w:rPr>
        <w:t>,</w:t>
      </w:r>
      <w:r>
        <w:rPr>
          <w:spacing w:val="-32"/>
          <w:sz w:val="24"/>
        </w:rPr>
        <w:t xml:space="preserve"> </w:t>
      </w:r>
      <w:r>
        <w:rPr>
          <w:i/>
          <w:sz w:val="24"/>
        </w:rPr>
        <w:t>Termes hospes</w:t>
      </w:r>
      <w:r>
        <w:rPr>
          <w:sz w:val="24"/>
        </w:rPr>
        <w:t xml:space="preserve">, and </w:t>
      </w:r>
      <w:r>
        <w:rPr>
          <w:i/>
          <w:sz w:val="24"/>
        </w:rPr>
        <w:t>Constrictotermes cyphergaster</w:t>
      </w:r>
      <w:r>
        <w:rPr>
          <w:sz w:val="24"/>
        </w:rPr>
        <w:t>. The circles show one specific individual whose vibroacoustic communication displayed on the following</w:t>
      </w:r>
      <w:r>
        <w:rPr>
          <w:spacing w:val="-13"/>
          <w:sz w:val="24"/>
        </w:rPr>
        <w:t xml:space="preserve"> </w:t>
      </w:r>
      <w:r>
        <w:rPr>
          <w:sz w:val="24"/>
        </w:rPr>
        <w:t>graph.</w:t>
      </w:r>
    </w:p>
    <w:p w14:paraId="06083086" w14:textId="77777777" w:rsidR="002F3704" w:rsidRDefault="002F3704" w:rsidP="004D7EA0">
      <w:pPr>
        <w:spacing w:line="360" w:lineRule="auto"/>
        <w:jc w:val="both"/>
        <w:rPr>
          <w:sz w:val="24"/>
        </w:rPr>
        <w:sectPr w:rsidR="002F3704" w:rsidSect="004D7EA0">
          <w:headerReference w:type="default" r:id="rId9"/>
          <w:type w:val="continuous"/>
          <w:pgSz w:w="11910" w:h="16840"/>
          <w:pgMar w:top="1134" w:right="1134" w:bottom="1134" w:left="1134" w:header="1423" w:footer="720" w:gutter="0"/>
          <w:cols w:space="720"/>
        </w:sectPr>
      </w:pPr>
    </w:p>
    <w:p w14:paraId="024A5C2F" w14:textId="77777777" w:rsidR="00C67BDF" w:rsidRDefault="00C67BDF" w:rsidP="004D7EA0">
      <w:pPr>
        <w:spacing w:line="360" w:lineRule="auto"/>
        <w:jc w:val="both"/>
        <w:rPr>
          <w:b/>
          <w:sz w:val="24"/>
        </w:rPr>
      </w:pPr>
      <w:r>
        <w:rPr>
          <w:b/>
          <w:sz w:val="24"/>
        </w:rPr>
        <w:lastRenderedPageBreak/>
        <w:t>Analytical chemistry:</w:t>
      </w:r>
    </w:p>
    <w:p w14:paraId="033A3370" w14:textId="760DB13A" w:rsidR="002F3704" w:rsidRDefault="00187753" w:rsidP="004D7EA0">
      <w:pPr>
        <w:pStyle w:val="Corpsdetexte"/>
        <w:spacing w:line="360" w:lineRule="auto"/>
        <w:jc w:val="both"/>
      </w:pPr>
      <w:r>
        <w:t>Cold-anesthetized termites were dissected using a stereomicroscope. Termite heads with the frontal gland from 2-20 individuals were placed into a 2-mL clear glass vial, crushed using a glass rod and the vial was closed with a PTFE/silicone septum cap.</w:t>
      </w:r>
    </w:p>
    <w:p w14:paraId="6AD41059" w14:textId="77777777" w:rsidR="002F3704" w:rsidRDefault="00187753" w:rsidP="004D7EA0">
      <w:pPr>
        <w:pStyle w:val="Corpsdetexte"/>
        <w:spacing w:line="360" w:lineRule="auto"/>
        <w:jc w:val="both"/>
      </w:pPr>
      <w:r>
        <w:t>The headspace extraction of volatiles was carried out using an SPME fiber holder for manual sampling equipped with a fused silica fiber coated with 30 µm polydimethylsiloxane</w:t>
      </w:r>
      <w:r>
        <w:rPr>
          <w:spacing w:val="-41"/>
        </w:rPr>
        <w:t xml:space="preserve"> </w:t>
      </w:r>
      <w:r>
        <w:t>(Supelco, Bellefonte, USA). The holder needle was passed through the vial septum and the fiber was exposed for 10 minutes at room temperature. The analytes were desorbed at 220°C in a split/splitless injector of a 5975B quadrupole mass spectrometer coupled to a 6890N gas chromatograph</w:t>
      </w:r>
      <w:r>
        <w:rPr>
          <w:spacing w:val="-12"/>
        </w:rPr>
        <w:t xml:space="preserve"> </w:t>
      </w:r>
      <w:r>
        <w:t>(Agilent,</w:t>
      </w:r>
      <w:r>
        <w:rPr>
          <w:spacing w:val="-9"/>
        </w:rPr>
        <w:t xml:space="preserve"> </w:t>
      </w:r>
      <w:r>
        <w:t>Santa</w:t>
      </w:r>
      <w:r>
        <w:rPr>
          <w:spacing w:val="-15"/>
        </w:rPr>
        <w:t xml:space="preserve"> </w:t>
      </w:r>
      <w:r>
        <w:t>Clara,</w:t>
      </w:r>
      <w:r>
        <w:rPr>
          <w:spacing w:val="-12"/>
        </w:rPr>
        <w:t xml:space="preserve"> </w:t>
      </w:r>
      <w:r>
        <w:t>CA).</w:t>
      </w:r>
      <w:r>
        <w:rPr>
          <w:spacing w:val="-14"/>
        </w:rPr>
        <w:t xml:space="preserve"> </w:t>
      </w:r>
      <w:r>
        <w:t>The</w:t>
      </w:r>
      <w:r>
        <w:rPr>
          <w:spacing w:val="-15"/>
        </w:rPr>
        <w:t xml:space="preserve"> </w:t>
      </w:r>
      <w:r>
        <w:t>separation</w:t>
      </w:r>
      <w:r>
        <w:rPr>
          <w:spacing w:val="-14"/>
        </w:rPr>
        <w:t xml:space="preserve"> </w:t>
      </w:r>
      <w:r>
        <w:t>was</w:t>
      </w:r>
      <w:r>
        <w:rPr>
          <w:spacing w:val="-14"/>
        </w:rPr>
        <w:t xml:space="preserve"> </w:t>
      </w:r>
      <w:r>
        <w:t>achieved</w:t>
      </w:r>
      <w:r>
        <w:rPr>
          <w:spacing w:val="-12"/>
        </w:rPr>
        <w:t xml:space="preserve"> </w:t>
      </w:r>
      <w:r>
        <w:t>on</w:t>
      </w:r>
      <w:r>
        <w:rPr>
          <w:spacing w:val="-12"/>
        </w:rPr>
        <w:t xml:space="preserve"> </w:t>
      </w:r>
      <w:r>
        <w:t>a</w:t>
      </w:r>
      <w:r>
        <w:rPr>
          <w:spacing w:val="-15"/>
        </w:rPr>
        <w:t xml:space="preserve"> </w:t>
      </w:r>
      <w:r>
        <w:t>DB-5ms</w:t>
      </w:r>
      <w:r>
        <w:rPr>
          <w:spacing w:val="-11"/>
        </w:rPr>
        <w:t xml:space="preserve"> </w:t>
      </w:r>
      <w:r>
        <w:t>capillary column (30 m × 0.25 mm, a film thickness of 0.25 µm, Agilent) at a constant flow mode (1 ml/min)</w:t>
      </w:r>
      <w:r>
        <w:rPr>
          <w:spacing w:val="-16"/>
        </w:rPr>
        <w:t xml:space="preserve"> </w:t>
      </w:r>
      <w:r>
        <w:t>with</w:t>
      </w:r>
      <w:r>
        <w:rPr>
          <w:spacing w:val="-15"/>
        </w:rPr>
        <w:t xml:space="preserve"> </w:t>
      </w:r>
      <w:r>
        <w:t>helium</w:t>
      </w:r>
      <w:r>
        <w:rPr>
          <w:spacing w:val="-15"/>
        </w:rPr>
        <w:t xml:space="preserve"> </w:t>
      </w:r>
      <w:r>
        <w:t>as</w:t>
      </w:r>
      <w:r>
        <w:rPr>
          <w:spacing w:val="-16"/>
        </w:rPr>
        <w:t xml:space="preserve"> </w:t>
      </w:r>
      <w:r>
        <w:t>a</w:t>
      </w:r>
      <w:r>
        <w:rPr>
          <w:spacing w:val="-19"/>
        </w:rPr>
        <w:t xml:space="preserve"> </w:t>
      </w:r>
      <w:r>
        <w:t>carrier</w:t>
      </w:r>
      <w:r>
        <w:rPr>
          <w:spacing w:val="-17"/>
        </w:rPr>
        <w:t xml:space="preserve"> </w:t>
      </w:r>
      <w:r>
        <w:t>gas.</w:t>
      </w:r>
      <w:r>
        <w:rPr>
          <w:spacing w:val="-16"/>
        </w:rPr>
        <w:t xml:space="preserve"> </w:t>
      </w:r>
      <w:r>
        <w:t>The</w:t>
      </w:r>
      <w:r>
        <w:rPr>
          <w:spacing w:val="-17"/>
        </w:rPr>
        <w:t xml:space="preserve"> </w:t>
      </w:r>
      <w:r>
        <w:t>temperature</w:t>
      </w:r>
      <w:r>
        <w:rPr>
          <w:spacing w:val="-17"/>
        </w:rPr>
        <w:t xml:space="preserve"> </w:t>
      </w:r>
      <w:r>
        <w:t>program</w:t>
      </w:r>
      <w:r>
        <w:rPr>
          <w:spacing w:val="-15"/>
        </w:rPr>
        <w:t xml:space="preserve"> </w:t>
      </w:r>
      <w:r>
        <w:t>was:</w:t>
      </w:r>
      <w:r>
        <w:rPr>
          <w:spacing w:val="-15"/>
        </w:rPr>
        <w:t xml:space="preserve"> </w:t>
      </w:r>
      <w:r>
        <w:t>40°C</w:t>
      </w:r>
      <w:r>
        <w:rPr>
          <w:spacing w:val="-15"/>
        </w:rPr>
        <w:t xml:space="preserve"> </w:t>
      </w:r>
      <w:r>
        <w:t>(1</w:t>
      </w:r>
      <w:r>
        <w:rPr>
          <w:spacing w:val="-14"/>
        </w:rPr>
        <w:t xml:space="preserve"> </w:t>
      </w:r>
      <w:r>
        <w:t>min),</w:t>
      </w:r>
      <w:r>
        <w:rPr>
          <w:spacing w:val="-17"/>
        </w:rPr>
        <w:t xml:space="preserve"> </w:t>
      </w:r>
      <w:r>
        <w:t>then</w:t>
      </w:r>
      <w:r>
        <w:rPr>
          <w:spacing w:val="-16"/>
        </w:rPr>
        <w:t xml:space="preserve"> </w:t>
      </w:r>
      <w:r>
        <w:t>5°C/min to 200°C, then 15°C/min to 320°C (3 min). The temperatures of the transfer line, ion source, and</w:t>
      </w:r>
      <w:r>
        <w:rPr>
          <w:spacing w:val="-4"/>
        </w:rPr>
        <w:t xml:space="preserve"> </w:t>
      </w:r>
      <w:r>
        <w:t>quadrupole</w:t>
      </w:r>
      <w:r>
        <w:rPr>
          <w:spacing w:val="-1"/>
        </w:rPr>
        <w:t xml:space="preserve"> </w:t>
      </w:r>
      <w:r>
        <w:t>were</w:t>
      </w:r>
      <w:r>
        <w:rPr>
          <w:spacing w:val="-5"/>
        </w:rPr>
        <w:t xml:space="preserve"> </w:t>
      </w:r>
      <w:r>
        <w:t>280°C,</w:t>
      </w:r>
      <w:r>
        <w:rPr>
          <w:spacing w:val="-4"/>
        </w:rPr>
        <w:t xml:space="preserve"> </w:t>
      </w:r>
      <w:r>
        <w:t>230°C,</w:t>
      </w:r>
      <w:r>
        <w:rPr>
          <w:spacing w:val="-4"/>
        </w:rPr>
        <w:t xml:space="preserve"> </w:t>
      </w:r>
      <w:r>
        <w:t>and</w:t>
      </w:r>
      <w:r>
        <w:rPr>
          <w:spacing w:val="-4"/>
        </w:rPr>
        <w:t xml:space="preserve"> </w:t>
      </w:r>
      <w:r>
        <w:t>150°C,</w:t>
      </w:r>
      <w:r>
        <w:rPr>
          <w:spacing w:val="-4"/>
        </w:rPr>
        <w:t xml:space="preserve"> </w:t>
      </w:r>
      <w:r>
        <w:t>respectively.</w:t>
      </w:r>
      <w:r>
        <w:rPr>
          <w:spacing w:val="-3"/>
        </w:rPr>
        <w:t xml:space="preserve"> </w:t>
      </w:r>
      <w:r>
        <w:t>The</w:t>
      </w:r>
      <w:r>
        <w:rPr>
          <w:spacing w:val="-5"/>
        </w:rPr>
        <w:t xml:space="preserve"> </w:t>
      </w:r>
      <w:r>
        <w:t>compounds</w:t>
      </w:r>
      <w:r>
        <w:rPr>
          <w:spacing w:val="-4"/>
        </w:rPr>
        <w:t xml:space="preserve"> </w:t>
      </w:r>
      <w:r>
        <w:t>were</w:t>
      </w:r>
      <w:r>
        <w:rPr>
          <w:spacing w:val="-6"/>
        </w:rPr>
        <w:t xml:space="preserve"> </w:t>
      </w:r>
      <w:r>
        <w:t>ionized</w:t>
      </w:r>
      <w:r>
        <w:rPr>
          <w:spacing w:val="-4"/>
        </w:rPr>
        <w:t xml:space="preserve"> </w:t>
      </w:r>
      <w:r>
        <w:t>by 70 eV</w:t>
      </w:r>
      <w:r>
        <w:rPr>
          <w:spacing w:val="-4"/>
        </w:rPr>
        <w:t xml:space="preserve"> </w:t>
      </w:r>
      <w:r>
        <w:t>electrons.</w:t>
      </w:r>
    </w:p>
    <w:p w14:paraId="64841D2B" w14:textId="11F968E0" w:rsidR="002F3704" w:rsidRDefault="00187753" w:rsidP="004D7EA0">
      <w:pPr>
        <w:pStyle w:val="Corpsdetexte"/>
        <w:spacing w:line="360" w:lineRule="auto"/>
        <w:jc w:val="both"/>
      </w:pPr>
      <w:r>
        <w:t>The liquid extraction w</w:t>
      </w:r>
      <w:r w:rsidR="00DA5F96">
        <w:t>as achieved by adding 50 - 100 µ</w:t>
      </w:r>
      <w:r>
        <w:t>l of hex</w:t>
      </w:r>
      <w:r w:rsidR="00DA5F96">
        <w:t>a</w:t>
      </w:r>
      <w:r>
        <w:t>ne to freshly crushed termite heads. The extracts were analyzed on the same GC-MS instrument and the same column as above with slightly modified parameters. The injector held at 250°C and operated with a split ratio</w:t>
      </w:r>
      <w:r>
        <w:rPr>
          <w:spacing w:val="-13"/>
        </w:rPr>
        <w:t xml:space="preserve"> </w:t>
      </w:r>
      <w:r>
        <w:t>of</w:t>
      </w:r>
      <w:r>
        <w:rPr>
          <w:spacing w:val="-14"/>
        </w:rPr>
        <w:t xml:space="preserve"> </w:t>
      </w:r>
      <w:r>
        <w:t>1:20</w:t>
      </w:r>
      <w:r>
        <w:rPr>
          <w:spacing w:val="-13"/>
        </w:rPr>
        <w:t xml:space="preserve"> </w:t>
      </w:r>
      <w:r>
        <w:t>injected</w:t>
      </w:r>
      <w:r>
        <w:rPr>
          <w:spacing w:val="-13"/>
        </w:rPr>
        <w:t xml:space="preserve"> </w:t>
      </w:r>
      <w:r>
        <w:t>1</w:t>
      </w:r>
      <w:r>
        <w:rPr>
          <w:spacing w:val="-13"/>
        </w:rPr>
        <w:t xml:space="preserve"> </w:t>
      </w:r>
      <w:r w:rsidR="00DA5F96">
        <w:t>μl</w:t>
      </w:r>
      <w:r>
        <w:rPr>
          <w:spacing w:val="-14"/>
        </w:rPr>
        <w:t xml:space="preserve"> </w:t>
      </w:r>
      <w:r>
        <w:t>of</w:t>
      </w:r>
      <w:r>
        <w:rPr>
          <w:spacing w:val="-14"/>
        </w:rPr>
        <w:t xml:space="preserve"> </w:t>
      </w:r>
      <w:r>
        <w:t>the</w:t>
      </w:r>
      <w:r>
        <w:rPr>
          <w:spacing w:val="-12"/>
        </w:rPr>
        <w:t xml:space="preserve"> </w:t>
      </w:r>
      <w:r>
        <w:t>extract.</w:t>
      </w:r>
      <w:r>
        <w:rPr>
          <w:spacing w:val="-13"/>
        </w:rPr>
        <w:t xml:space="preserve"> </w:t>
      </w:r>
      <w:r>
        <w:t>The</w:t>
      </w:r>
      <w:r>
        <w:rPr>
          <w:spacing w:val="-15"/>
        </w:rPr>
        <w:t xml:space="preserve"> </w:t>
      </w:r>
      <w:r>
        <w:t>temperature</w:t>
      </w:r>
      <w:r>
        <w:rPr>
          <w:spacing w:val="-14"/>
        </w:rPr>
        <w:t xml:space="preserve"> </w:t>
      </w:r>
      <w:r>
        <w:t>program</w:t>
      </w:r>
      <w:r>
        <w:rPr>
          <w:spacing w:val="-13"/>
        </w:rPr>
        <w:t xml:space="preserve"> </w:t>
      </w:r>
      <w:r>
        <w:t>was</w:t>
      </w:r>
      <w:r>
        <w:rPr>
          <w:spacing w:val="-11"/>
        </w:rPr>
        <w:t xml:space="preserve"> </w:t>
      </w:r>
      <w:r>
        <w:t>as</w:t>
      </w:r>
      <w:r>
        <w:rPr>
          <w:spacing w:val="-13"/>
        </w:rPr>
        <w:t xml:space="preserve"> </w:t>
      </w:r>
      <w:r>
        <w:t>follow:</w:t>
      </w:r>
      <w:r>
        <w:rPr>
          <w:spacing w:val="-13"/>
        </w:rPr>
        <w:t xml:space="preserve"> </w:t>
      </w:r>
      <w:r>
        <w:t>50°C</w:t>
      </w:r>
      <w:r>
        <w:rPr>
          <w:spacing w:val="-13"/>
        </w:rPr>
        <w:t xml:space="preserve"> </w:t>
      </w:r>
      <w:r>
        <w:t>(1</w:t>
      </w:r>
      <w:r>
        <w:rPr>
          <w:spacing w:val="2"/>
        </w:rPr>
        <w:t xml:space="preserve"> </w:t>
      </w:r>
      <w:r>
        <w:t>min), then</w:t>
      </w:r>
      <w:r>
        <w:rPr>
          <w:spacing w:val="-5"/>
        </w:rPr>
        <w:t xml:space="preserve"> </w:t>
      </w:r>
      <w:r>
        <w:t>15°C/min</w:t>
      </w:r>
      <w:r>
        <w:rPr>
          <w:spacing w:val="-4"/>
        </w:rPr>
        <w:t xml:space="preserve"> </w:t>
      </w:r>
      <w:r>
        <w:t>to</w:t>
      </w:r>
      <w:r>
        <w:rPr>
          <w:spacing w:val="-4"/>
        </w:rPr>
        <w:t xml:space="preserve"> </w:t>
      </w:r>
      <w:r>
        <w:t>200°C,</w:t>
      </w:r>
      <w:r>
        <w:rPr>
          <w:spacing w:val="-5"/>
        </w:rPr>
        <w:t xml:space="preserve"> </w:t>
      </w:r>
      <w:r>
        <w:t>then</w:t>
      </w:r>
      <w:r>
        <w:rPr>
          <w:spacing w:val="-5"/>
        </w:rPr>
        <w:t xml:space="preserve"> </w:t>
      </w:r>
      <w:r>
        <w:t>6°C/min</w:t>
      </w:r>
      <w:r>
        <w:rPr>
          <w:spacing w:val="-4"/>
        </w:rPr>
        <w:t xml:space="preserve"> </w:t>
      </w:r>
      <w:r>
        <w:t>to</w:t>
      </w:r>
      <w:r>
        <w:rPr>
          <w:spacing w:val="-4"/>
        </w:rPr>
        <w:t xml:space="preserve"> </w:t>
      </w:r>
      <w:r>
        <w:t>320°C</w:t>
      </w:r>
      <w:r>
        <w:rPr>
          <w:spacing w:val="-4"/>
        </w:rPr>
        <w:t xml:space="preserve"> </w:t>
      </w:r>
      <w:r>
        <w:t>(3</w:t>
      </w:r>
      <w:r>
        <w:rPr>
          <w:spacing w:val="-6"/>
        </w:rPr>
        <w:t xml:space="preserve"> </w:t>
      </w:r>
      <w:r>
        <w:t>min);</w:t>
      </w:r>
      <w:r>
        <w:rPr>
          <w:spacing w:val="-5"/>
        </w:rPr>
        <w:t xml:space="preserve"> </w:t>
      </w:r>
      <w:r>
        <w:t>total</w:t>
      </w:r>
      <w:r>
        <w:rPr>
          <w:spacing w:val="-4"/>
        </w:rPr>
        <w:t xml:space="preserve"> </w:t>
      </w:r>
      <w:r>
        <w:t>run</w:t>
      </w:r>
      <w:r>
        <w:rPr>
          <w:spacing w:val="-6"/>
        </w:rPr>
        <w:t xml:space="preserve"> </w:t>
      </w:r>
      <w:r>
        <w:t>time</w:t>
      </w:r>
      <w:r>
        <w:rPr>
          <w:spacing w:val="-6"/>
        </w:rPr>
        <w:t xml:space="preserve"> </w:t>
      </w:r>
      <w:r>
        <w:t>was</w:t>
      </w:r>
      <w:r>
        <w:rPr>
          <w:spacing w:val="-5"/>
        </w:rPr>
        <w:t xml:space="preserve"> </w:t>
      </w:r>
      <w:r>
        <w:t>34</w:t>
      </w:r>
      <w:r>
        <w:rPr>
          <w:spacing w:val="-5"/>
        </w:rPr>
        <w:t xml:space="preserve"> </w:t>
      </w:r>
      <w:r>
        <w:t>min.</w:t>
      </w:r>
      <w:r>
        <w:rPr>
          <w:spacing w:val="-5"/>
        </w:rPr>
        <w:t xml:space="preserve"> </w:t>
      </w:r>
      <w:r>
        <w:t>Data</w:t>
      </w:r>
      <w:r>
        <w:rPr>
          <w:spacing w:val="-5"/>
        </w:rPr>
        <w:t xml:space="preserve"> </w:t>
      </w:r>
      <w:r>
        <w:t>were recorded with a 4-min solvent</w:t>
      </w:r>
      <w:r>
        <w:rPr>
          <w:spacing w:val="-4"/>
        </w:rPr>
        <w:t xml:space="preserve"> </w:t>
      </w:r>
      <w:r>
        <w:t>delay.</w:t>
      </w:r>
    </w:p>
    <w:p w14:paraId="3B5FEEB0" w14:textId="77777777" w:rsidR="002F3704" w:rsidRDefault="002F3704" w:rsidP="004D7EA0">
      <w:pPr>
        <w:spacing w:line="360" w:lineRule="auto"/>
        <w:jc w:val="both"/>
        <w:sectPr w:rsidR="002F3704" w:rsidSect="004D7EA0">
          <w:headerReference w:type="default" r:id="rId10"/>
          <w:pgSz w:w="11910" w:h="16840"/>
          <w:pgMar w:top="1134" w:right="1134" w:bottom="1134" w:left="1134" w:header="1423" w:footer="0" w:gutter="0"/>
          <w:cols w:space="720"/>
        </w:sectPr>
      </w:pPr>
    </w:p>
    <w:p w14:paraId="3588FE35" w14:textId="2492E891" w:rsidR="00903209" w:rsidRPr="008024F3" w:rsidRDefault="00C67BDF" w:rsidP="00903209">
      <w:pPr>
        <w:spacing w:line="360" w:lineRule="auto"/>
        <w:jc w:val="both"/>
        <w:rPr>
          <w:sz w:val="24"/>
        </w:rPr>
      </w:pPr>
      <w:r>
        <w:rPr>
          <w:b/>
          <w:sz w:val="24"/>
        </w:rPr>
        <w:lastRenderedPageBreak/>
        <w:t xml:space="preserve">Fig. S1: </w:t>
      </w:r>
      <w:r w:rsidR="00903209" w:rsidRPr="008024F3">
        <w:rPr>
          <w:sz w:val="24"/>
        </w:rPr>
        <w:t xml:space="preserve">GC/MS full-scan chromatograms of compounds from soldier heads obtained by hexane extraction (A, C) or from </w:t>
      </w:r>
      <w:r w:rsidR="00486E22">
        <w:rPr>
          <w:sz w:val="24"/>
        </w:rPr>
        <w:t>SPME-</w:t>
      </w:r>
      <w:r w:rsidR="00903209" w:rsidRPr="008024F3">
        <w:rPr>
          <w:sz w:val="24"/>
        </w:rPr>
        <w:t xml:space="preserve">headspace (B, D) </w:t>
      </w:r>
      <w:r w:rsidR="00486E22">
        <w:rPr>
          <w:sz w:val="24"/>
        </w:rPr>
        <w:t>in</w:t>
      </w:r>
      <w:r w:rsidR="00903209" w:rsidRPr="008024F3">
        <w:rPr>
          <w:sz w:val="24"/>
        </w:rPr>
        <w:t xml:space="preserve"> </w:t>
      </w:r>
      <w:r w:rsidR="00903209" w:rsidRPr="008024F3">
        <w:rPr>
          <w:i/>
          <w:sz w:val="24"/>
        </w:rPr>
        <w:t>Mastotermes darwiniensis</w:t>
      </w:r>
      <w:r w:rsidR="00486E22">
        <w:rPr>
          <w:sz w:val="24"/>
        </w:rPr>
        <w:t xml:space="preserve"> (A, B) and </w:t>
      </w:r>
      <w:r w:rsidR="00903209" w:rsidRPr="008024F3">
        <w:rPr>
          <w:i/>
          <w:sz w:val="24"/>
        </w:rPr>
        <w:t>Glossotermes oculatus</w:t>
      </w:r>
      <w:r w:rsidR="00903209" w:rsidRPr="008024F3">
        <w:rPr>
          <w:sz w:val="24"/>
        </w:rPr>
        <w:t xml:space="preserve"> (C, D). </w:t>
      </w:r>
    </w:p>
    <w:p w14:paraId="638CF49E" w14:textId="674A97A6" w:rsidR="00903209" w:rsidRPr="008024F3" w:rsidRDefault="00903209" w:rsidP="00903209">
      <w:pPr>
        <w:spacing w:line="360" w:lineRule="auto"/>
        <w:jc w:val="both"/>
        <w:rPr>
          <w:sz w:val="24"/>
        </w:rPr>
      </w:pPr>
      <w:r w:rsidRPr="008024F3">
        <w:rPr>
          <w:i/>
          <w:sz w:val="24"/>
        </w:rPr>
        <w:t>Mastotermes darwiniensis</w:t>
      </w:r>
      <w:r w:rsidRPr="008024F3">
        <w:rPr>
          <w:sz w:val="24"/>
        </w:rPr>
        <w:t xml:space="preserve">:  </w:t>
      </w:r>
      <w:r w:rsidRPr="00903209">
        <w:rPr>
          <w:b/>
          <w:sz w:val="24"/>
        </w:rPr>
        <w:t>A</w:t>
      </w:r>
      <w:r w:rsidRPr="008024F3">
        <w:rPr>
          <w:sz w:val="24"/>
        </w:rPr>
        <w:t>: Heads of 5 soldiers were ex</w:t>
      </w:r>
      <w:r w:rsidR="001F5F62">
        <w:rPr>
          <w:sz w:val="24"/>
        </w:rPr>
        <w:t>tracted in 32 μl</w:t>
      </w:r>
      <w:r w:rsidRPr="008024F3">
        <w:rPr>
          <w:sz w:val="24"/>
        </w:rPr>
        <w:t xml:space="preserve"> of hexane, and 1 μ</w:t>
      </w:r>
      <w:r w:rsidR="001F5F62">
        <w:rPr>
          <w:sz w:val="24"/>
        </w:rPr>
        <w:t>l</w:t>
      </w:r>
      <w:r w:rsidRPr="008024F3">
        <w:rPr>
          <w:sz w:val="24"/>
        </w:rPr>
        <w:t xml:space="preserve"> of the extract was injected into the GC/MS. Data show a strong signal of </w:t>
      </w:r>
      <w:r w:rsidRPr="008024F3">
        <w:rPr>
          <w:i/>
          <w:sz w:val="24"/>
        </w:rPr>
        <w:t>p</w:t>
      </w:r>
      <w:r w:rsidRPr="008024F3">
        <w:rPr>
          <w:sz w:val="24"/>
        </w:rPr>
        <w:t xml:space="preserve">-benzoquinone and numerous peaks of hydrocarbons, likely of cuticular origin. </w:t>
      </w:r>
      <w:r w:rsidRPr="00903209">
        <w:rPr>
          <w:b/>
          <w:sz w:val="24"/>
        </w:rPr>
        <w:t>B</w:t>
      </w:r>
      <w:r w:rsidRPr="008024F3">
        <w:rPr>
          <w:sz w:val="24"/>
        </w:rPr>
        <w:t>: Heads of 5 soldiers were crushed at the bottom of a 2-mL glass vial. The vial was sealed, the SPME holder needle was passed through the vial septum, and the fib</w:t>
      </w:r>
      <w:r w:rsidR="005E6F34">
        <w:rPr>
          <w:sz w:val="24"/>
        </w:rPr>
        <w:t>e</w:t>
      </w:r>
      <w:r w:rsidRPr="008024F3">
        <w:rPr>
          <w:sz w:val="24"/>
        </w:rPr>
        <w:t xml:space="preserve">r was exposed for 10 minutes at room temperature. The volatiles were desorbed in the GC injector. Data show a strong signal of </w:t>
      </w:r>
      <w:r w:rsidRPr="008024F3">
        <w:rPr>
          <w:i/>
          <w:sz w:val="24"/>
        </w:rPr>
        <w:t>p</w:t>
      </w:r>
      <w:r w:rsidRPr="008024F3">
        <w:rPr>
          <w:sz w:val="24"/>
        </w:rPr>
        <w:t>-benzoquinone and three siloxane peaks marked by an asterisk (laboratory contamination).</w:t>
      </w:r>
    </w:p>
    <w:p w14:paraId="49FAA53E" w14:textId="53D9439B" w:rsidR="00B916E7" w:rsidRDefault="00903209" w:rsidP="00903209">
      <w:pPr>
        <w:spacing w:line="360" w:lineRule="auto"/>
        <w:jc w:val="both"/>
        <w:rPr>
          <w:sz w:val="24"/>
        </w:rPr>
      </w:pPr>
      <w:r w:rsidRPr="008024F3">
        <w:rPr>
          <w:i/>
          <w:sz w:val="24"/>
        </w:rPr>
        <w:t>Glossotermes oculatus</w:t>
      </w:r>
      <w:r w:rsidRPr="008024F3">
        <w:rPr>
          <w:sz w:val="24"/>
        </w:rPr>
        <w:t xml:space="preserve">: </w:t>
      </w:r>
      <w:r w:rsidRPr="00903209">
        <w:rPr>
          <w:b/>
          <w:sz w:val="24"/>
        </w:rPr>
        <w:t>C</w:t>
      </w:r>
      <w:r w:rsidRPr="008024F3">
        <w:rPr>
          <w:sz w:val="24"/>
        </w:rPr>
        <w:t xml:space="preserve">: Heads of 10 soldiers were extracted as described above for </w:t>
      </w:r>
      <w:r w:rsidRPr="008024F3">
        <w:rPr>
          <w:i/>
          <w:sz w:val="24"/>
        </w:rPr>
        <w:t>M. darwiniensis</w:t>
      </w:r>
      <w:r w:rsidRPr="008024F3">
        <w:rPr>
          <w:sz w:val="24"/>
        </w:rPr>
        <w:t xml:space="preserve">. Data show the absence of any specific compound which plays the role of the alarm pheromone. The peaks at higher retention times </w:t>
      </w:r>
      <w:r w:rsidR="00486E22">
        <w:rPr>
          <w:sz w:val="24"/>
        </w:rPr>
        <w:t xml:space="preserve">(Chol) </w:t>
      </w:r>
      <w:r w:rsidRPr="008024F3">
        <w:rPr>
          <w:sz w:val="24"/>
        </w:rPr>
        <w:t xml:space="preserve">can be attributed to aliphatic compounds with high molecular weight, likely hydrocarbons (tR = 28.5 min and 30.4 min) or cholesterol (tR = 26.9 min). </w:t>
      </w:r>
      <w:r w:rsidRPr="00903209">
        <w:rPr>
          <w:b/>
          <w:sz w:val="24"/>
        </w:rPr>
        <w:t>D</w:t>
      </w:r>
      <w:r w:rsidRPr="008024F3">
        <w:rPr>
          <w:sz w:val="24"/>
        </w:rPr>
        <w:t xml:space="preserve">: Heads of 6 soldiers were crushed and </w:t>
      </w:r>
      <w:r w:rsidR="00486E22" w:rsidRPr="00903209">
        <w:rPr>
          <w:sz w:val="24"/>
        </w:rPr>
        <w:t>analyzed</w:t>
      </w:r>
      <w:r w:rsidRPr="008024F3">
        <w:rPr>
          <w:sz w:val="24"/>
        </w:rPr>
        <w:t xml:space="preserve"> by SPME as described above for </w:t>
      </w:r>
      <w:r w:rsidRPr="008024F3">
        <w:rPr>
          <w:i/>
          <w:sz w:val="24"/>
        </w:rPr>
        <w:t>M. darwiniensis</w:t>
      </w:r>
      <w:r w:rsidRPr="008024F3">
        <w:rPr>
          <w:sz w:val="24"/>
        </w:rPr>
        <w:t>. Data show the absence of any specific compound which could be the alarm pheromone in this species.</w:t>
      </w:r>
    </w:p>
    <w:p w14:paraId="6A549746" w14:textId="2144E892" w:rsidR="002F3704" w:rsidRPr="00903209" w:rsidRDefault="00B916E7" w:rsidP="00903209">
      <w:pPr>
        <w:spacing w:line="360" w:lineRule="auto"/>
        <w:jc w:val="both"/>
        <w:rPr>
          <w:i/>
          <w:sz w:val="24"/>
        </w:rPr>
      </w:pPr>
      <w:r>
        <w:rPr>
          <w:noProof/>
          <w:lang w:val="fr-FR" w:eastAsia="fr-FR"/>
        </w:rPr>
        <w:drawing>
          <wp:inline distT="0" distB="0" distL="0" distR="0" wp14:anchorId="3CBD7021" wp14:editId="36A53E52">
            <wp:extent cx="6121400" cy="4207741"/>
            <wp:effectExtent l="0" t="0" r="0" b="0"/>
            <wp:docPr id="2" name="Obrázek 2"/>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rotWithShape="1">
                    <a:blip r:embed="rId11">
                      <a:extLst>
                        <a:ext uri="{28A0092B-C50C-407E-A947-70E740481C1C}">
                          <a14:useLocalDpi xmlns:a14="http://schemas.microsoft.com/office/drawing/2010/main" val="0"/>
                        </a:ext>
                      </a:extLst>
                    </a:blip>
                    <a:srcRect t="4104"/>
                    <a:stretch/>
                  </pic:blipFill>
                  <pic:spPr bwMode="auto">
                    <a:xfrm>
                      <a:off x="0" y="0"/>
                      <a:ext cx="6121400" cy="4207741"/>
                    </a:xfrm>
                    <a:prstGeom prst="rect">
                      <a:avLst/>
                    </a:prstGeom>
                    <a:noFill/>
                    <a:ln>
                      <a:noFill/>
                    </a:ln>
                    <a:extLst>
                      <a:ext uri="{53640926-AAD7-44D8-BBD7-CCE9431645EC}">
                        <a14:shadowObscured xmlns:a14="http://schemas.microsoft.com/office/drawing/2010/main"/>
                      </a:ext>
                    </a:extLst>
                  </pic:spPr>
                </pic:pic>
              </a:graphicData>
            </a:graphic>
          </wp:inline>
        </w:drawing>
      </w:r>
    </w:p>
    <w:p w14:paraId="04A038E1" w14:textId="77777777" w:rsidR="002F3704" w:rsidRDefault="002F3704" w:rsidP="008024F3">
      <w:pPr>
        <w:pStyle w:val="Corpsdetexte"/>
        <w:spacing w:line="360" w:lineRule="auto"/>
        <w:jc w:val="both"/>
        <w:sectPr w:rsidR="002F3704" w:rsidSect="004D7EA0">
          <w:headerReference w:type="default" r:id="rId12"/>
          <w:pgSz w:w="11910" w:h="16840"/>
          <w:pgMar w:top="1134" w:right="1134" w:bottom="1134" w:left="1134" w:header="1423" w:footer="0" w:gutter="0"/>
          <w:cols w:space="720"/>
        </w:sectPr>
      </w:pPr>
    </w:p>
    <w:p w14:paraId="0BCB702D" w14:textId="2DAD2371" w:rsidR="002F3704" w:rsidRDefault="00C67BDF" w:rsidP="004D7EA0">
      <w:pPr>
        <w:pStyle w:val="Corpsdetexte"/>
        <w:spacing w:line="360" w:lineRule="auto"/>
        <w:jc w:val="both"/>
      </w:pPr>
      <w:r>
        <w:rPr>
          <w:b/>
        </w:rPr>
        <w:lastRenderedPageBreak/>
        <w:t>Fig. S</w:t>
      </w:r>
      <w:r w:rsidR="00023682">
        <w:rPr>
          <w:b/>
        </w:rPr>
        <w:t>2</w:t>
      </w:r>
      <w:r>
        <w:rPr>
          <w:b/>
        </w:rPr>
        <w:t xml:space="preserve">: </w:t>
      </w:r>
      <w:r>
        <w:t xml:space="preserve">Workflow of vibroacoustic recording. Detailed explanation of data acquisition for the </w:t>
      </w:r>
      <w:r w:rsidR="00187753">
        <w:t>vibroacoustic experiments.</w:t>
      </w:r>
    </w:p>
    <w:p w14:paraId="169B1FE1" w14:textId="77777777" w:rsidR="002F3704" w:rsidRDefault="00187753" w:rsidP="004D7EA0">
      <w:pPr>
        <w:pStyle w:val="Corpsdetexte"/>
        <w:spacing w:line="360" w:lineRule="auto"/>
        <w:jc w:val="both"/>
        <w:rPr>
          <w:sz w:val="12"/>
        </w:rPr>
      </w:pPr>
      <w:r>
        <w:rPr>
          <w:noProof/>
          <w:lang w:val="fr-FR" w:eastAsia="fr-FR"/>
        </w:rPr>
        <w:drawing>
          <wp:anchor distT="0" distB="0" distL="0" distR="0" simplePos="0" relativeHeight="251612160" behindDoc="0" locked="0" layoutInCell="1" allowOverlap="1" wp14:anchorId="27891D77" wp14:editId="523C2A48">
            <wp:simplePos x="0" y="0"/>
            <wp:positionH relativeFrom="page">
              <wp:posOffset>901700</wp:posOffset>
            </wp:positionH>
            <wp:positionV relativeFrom="paragraph">
              <wp:posOffset>113107</wp:posOffset>
            </wp:positionV>
            <wp:extent cx="5666062" cy="8011286"/>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5666062" cy="8011286"/>
                    </a:xfrm>
                    <a:prstGeom prst="rect">
                      <a:avLst/>
                    </a:prstGeom>
                  </pic:spPr>
                </pic:pic>
              </a:graphicData>
            </a:graphic>
          </wp:anchor>
        </w:drawing>
      </w:r>
    </w:p>
    <w:p w14:paraId="5822B0AF" w14:textId="77777777" w:rsidR="002F3704" w:rsidRDefault="002F3704" w:rsidP="004D7EA0">
      <w:pPr>
        <w:spacing w:line="360" w:lineRule="auto"/>
        <w:jc w:val="both"/>
        <w:rPr>
          <w:sz w:val="12"/>
        </w:rPr>
        <w:sectPr w:rsidR="002F3704" w:rsidSect="004D7EA0">
          <w:headerReference w:type="default" r:id="rId14"/>
          <w:pgSz w:w="11910" w:h="16840"/>
          <w:pgMar w:top="1134" w:right="1134" w:bottom="1134" w:left="1134" w:header="1423" w:footer="0" w:gutter="0"/>
          <w:cols w:space="720"/>
        </w:sectPr>
      </w:pPr>
    </w:p>
    <w:p w14:paraId="45E12162" w14:textId="360B6B90" w:rsidR="002F3704" w:rsidRDefault="00C67BDF" w:rsidP="004D7EA0">
      <w:pPr>
        <w:pStyle w:val="Corpsdetexte"/>
        <w:spacing w:line="360" w:lineRule="auto"/>
        <w:jc w:val="both"/>
      </w:pPr>
      <w:r>
        <w:rPr>
          <w:b/>
        </w:rPr>
        <w:lastRenderedPageBreak/>
        <w:t>Fig. S</w:t>
      </w:r>
      <w:r w:rsidR="00023682">
        <w:rPr>
          <w:b/>
        </w:rPr>
        <w:t>3</w:t>
      </w:r>
      <w:r>
        <w:rPr>
          <w:b/>
        </w:rPr>
        <w:t xml:space="preserve">: </w:t>
      </w:r>
      <w:r w:rsidR="009837EE" w:rsidRPr="009837EE">
        <w:rPr>
          <w:b/>
        </w:rPr>
        <w:t xml:space="preserve"> </w:t>
      </w:r>
      <w:r w:rsidR="009837EE" w:rsidRPr="00204E05">
        <w:rPr>
          <w:b/>
        </w:rPr>
        <w:t>Schematic representation of the vibroacoustic alarm communication</w:t>
      </w:r>
      <w:r w:rsidR="009837EE">
        <w:rPr>
          <w:b/>
        </w:rPr>
        <w:t xml:space="preserve">. </w:t>
      </w:r>
      <w:r w:rsidR="009837EE" w:rsidRPr="00204E05">
        <w:t>Black upward arrows represent tremulation beats, blue upward arrows represent drumming beats, and blue downward arrows represent head-banging beats. The beats are separated by short (at high frequency; in green) or long (at low frequency; in yellow) breaks</w:t>
      </w:r>
      <w:r w:rsidR="009837EE" w:rsidRPr="00204E05">
        <w:rPr>
          <w:u w:val="single"/>
        </w:rPr>
        <w:t xml:space="preserve"> </w:t>
      </w:r>
      <w:r w:rsidR="009837EE" w:rsidRPr="00204E05">
        <w:t>and the average duration between each beat is indicated.</w:t>
      </w:r>
    </w:p>
    <w:p w14:paraId="68CA9772" w14:textId="6F2A4F9F" w:rsidR="002F3704" w:rsidRPr="009837EE" w:rsidRDefault="002F3704" w:rsidP="004D7EA0">
      <w:pPr>
        <w:pStyle w:val="Corpsdetexte"/>
        <w:spacing w:line="360" w:lineRule="auto"/>
        <w:jc w:val="both"/>
        <w:rPr>
          <w:sz w:val="10"/>
        </w:rPr>
      </w:pPr>
    </w:p>
    <w:p w14:paraId="3F20F15E" w14:textId="33D3CE48" w:rsidR="002F3704" w:rsidRDefault="009837EE" w:rsidP="004D7EA0">
      <w:pPr>
        <w:spacing w:line="360" w:lineRule="auto"/>
        <w:jc w:val="both"/>
        <w:rPr>
          <w:sz w:val="10"/>
        </w:rPr>
        <w:sectPr w:rsidR="002F3704" w:rsidSect="004D7EA0">
          <w:headerReference w:type="default" r:id="rId15"/>
          <w:pgSz w:w="11910" w:h="16840"/>
          <w:pgMar w:top="1134" w:right="1134" w:bottom="1134" w:left="1134" w:header="1423" w:footer="0" w:gutter="0"/>
          <w:cols w:space="720"/>
        </w:sectPr>
      </w:pPr>
      <w:r w:rsidRPr="00204E05">
        <w:rPr>
          <w:noProof/>
          <w:sz w:val="24"/>
          <w:szCs w:val="24"/>
          <w:lang w:val="fr-FR" w:eastAsia="fr-FR"/>
        </w:rPr>
        <w:drawing>
          <wp:anchor distT="0" distB="0" distL="114300" distR="114300" simplePos="0" relativeHeight="251729920" behindDoc="0" locked="0" layoutInCell="1" allowOverlap="1" wp14:anchorId="5F9D5F18" wp14:editId="33560BBD">
            <wp:simplePos x="0" y="0"/>
            <wp:positionH relativeFrom="margin">
              <wp:posOffset>0</wp:posOffset>
            </wp:positionH>
            <wp:positionV relativeFrom="paragraph">
              <wp:posOffset>-635</wp:posOffset>
            </wp:positionV>
            <wp:extent cx="4766945" cy="5630545"/>
            <wp:effectExtent l="0" t="0" r="0" b="8255"/>
            <wp:wrapTopAndBottom/>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66945" cy="5630545"/>
                    </a:xfrm>
                    <a:prstGeom prst="rect">
                      <a:avLst/>
                    </a:prstGeom>
                    <a:noFill/>
                    <a:ln>
                      <a:noFill/>
                    </a:ln>
                  </pic:spPr>
                </pic:pic>
              </a:graphicData>
            </a:graphic>
          </wp:anchor>
        </w:drawing>
      </w:r>
    </w:p>
    <w:p w14:paraId="6DD86DC6" w14:textId="4EE9279D" w:rsidR="002F3704" w:rsidRDefault="00C67BDF" w:rsidP="004D7EA0">
      <w:pPr>
        <w:pStyle w:val="Corpsdetexte"/>
        <w:spacing w:line="360" w:lineRule="auto"/>
        <w:jc w:val="both"/>
      </w:pPr>
      <w:r>
        <w:rPr>
          <w:b/>
        </w:rPr>
        <w:lastRenderedPageBreak/>
        <w:t>Fig. S</w:t>
      </w:r>
      <w:r w:rsidR="00023682">
        <w:rPr>
          <w:b/>
        </w:rPr>
        <w:t>4</w:t>
      </w:r>
      <w:r>
        <w:t>: Stability of vibrations frequency. Stability of pauses in high tremulations and head-</w:t>
      </w:r>
      <w:r w:rsidR="00187753">
        <w:rPr>
          <w:noProof/>
          <w:lang w:val="fr-FR" w:eastAsia="fr-FR"/>
        </w:rPr>
        <w:drawing>
          <wp:anchor distT="0" distB="0" distL="0" distR="0" simplePos="0" relativeHeight="251726848" behindDoc="0" locked="0" layoutInCell="1" allowOverlap="1" wp14:anchorId="2D24BEA5" wp14:editId="75B2877F">
            <wp:simplePos x="0" y="0"/>
            <wp:positionH relativeFrom="page">
              <wp:posOffset>367029</wp:posOffset>
            </wp:positionH>
            <wp:positionV relativeFrom="paragraph">
              <wp:posOffset>478448</wp:posOffset>
            </wp:positionV>
            <wp:extent cx="6891646" cy="2346864"/>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7" cstate="print"/>
                    <a:stretch>
                      <a:fillRect/>
                    </a:stretch>
                  </pic:blipFill>
                  <pic:spPr>
                    <a:xfrm>
                      <a:off x="0" y="0"/>
                      <a:ext cx="6891646" cy="2346864"/>
                    </a:xfrm>
                    <a:prstGeom prst="rect">
                      <a:avLst/>
                    </a:prstGeom>
                  </pic:spPr>
                </pic:pic>
              </a:graphicData>
            </a:graphic>
          </wp:anchor>
        </w:drawing>
      </w:r>
      <w:r w:rsidR="00187753">
        <w:t>banging among studied termites. The values are given as percentual difference from the mean duration.</w:t>
      </w:r>
    </w:p>
    <w:p w14:paraId="22F841D6" w14:textId="77777777" w:rsidR="002F3704" w:rsidRDefault="002F3704" w:rsidP="004D7EA0">
      <w:pPr>
        <w:spacing w:line="360" w:lineRule="auto"/>
        <w:jc w:val="both"/>
        <w:sectPr w:rsidR="002F3704" w:rsidSect="004D7EA0">
          <w:headerReference w:type="default" r:id="rId18"/>
          <w:pgSz w:w="11910" w:h="16840"/>
          <w:pgMar w:top="1134" w:right="1134" w:bottom="1134" w:left="1134" w:header="1423" w:footer="0" w:gutter="0"/>
          <w:cols w:space="720"/>
        </w:sectPr>
      </w:pPr>
    </w:p>
    <w:p w14:paraId="290280CA" w14:textId="61A19756" w:rsidR="002F3704" w:rsidRDefault="00C67BDF" w:rsidP="004D7EA0">
      <w:pPr>
        <w:pStyle w:val="Corpsdetexte"/>
        <w:spacing w:line="360" w:lineRule="auto"/>
        <w:jc w:val="both"/>
      </w:pPr>
      <w:r>
        <w:rPr>
          <w:b/>
        </w:rPr>
        <w:lastRenderedPageBreak/>
        <w:t>Fig. S</w:t>
      </w:r>
      <w:r w:rsidR="00023682">
        <w:rPr>
          <w:b/>
        </w:rPr>
        <w:t>5</w:t>
      </w:r>
      <w:r>
        <w:rPr>
          <w:b/>
        </w:rPr>
        <w:t xml:space="preserve">: </w:t>
      </w:r>
      <w:r>
        <w:t xml:space="preserve">Multiple Correspondence Analysis (MCA) analysis showing the ecological  variables </w:t>
      </w:r>
      <w:r w:rsidR="00187753">
        <w:t>with</w:t>
      </w:r>
      <w:r w:rsidR="00187753">
        <w:rPr>
          <w:spacing w:val="-4"/>
        </w:rPr>
        <w:t xml:space="preserve"> </w:t>
      </w:r>
      <w:r w:rsidR="00187753">
        <w:t>the</w:t>
      </w:r>
      <w:r w:rsidR="00187753">
        <w:rPr>
          <w:spacing w:val="-5"/>
        </w:rPr>
        <w:t xml:space="preserve"> </w:t>
      </w:r>
      <w:r w:rsidR="00187753">
        <w:t>strongest</w:t>
      </w:r>
      <w:r w:rsidR="00187753">
        <w:rPr>
          <w:spacing w:val="-4"/>
        </w:rPr>
        <w:t xml:space="preserve"> </w:t>
      </w:r>
      <w:r w:rsidR="00187753">
        <w:t>effects</w:t>
      </w:r>
      <w:r w:rsidR="00187753">
        <w:rPr>
          <w:spacing w:val="-2"/>
        </w:rPr>
        <w:t xml:space="preserve"> </w:t>
      </w:r>
      <w:r w:rsidR="00187753">
        <w:t>upon</w:t>
      </w:r>
      <w:r w:rsidR="00187753">
        <w:rPr>
          <w:spacing w:val="-5"/>
        </w:rPr>
        <w:t xml:space="preserve"> </w:t>
      </w:r>
      <w:r w:rsidR="00187753">
        <w:t>the</w:t>
      </w:r>
      <w:r w:rsidR="00187753">
        <w:rPr>
          <w:spacing w:val="-5"/>
        </w:rPr>
        <w:t xml:space="preserve"> </w:t>
      </w:r>
      <w:r w:rsidR="00187753">
        <w:t>vibroacoustic</w:t>
      </w:r>
      <w:r w:rsidR="00187753">
        <w:rPr>
          <w:spacing w:val="-5"/>
        </w:rPr>
        <w:t xml:space="preserve"> </w:t>
      </w:r>
      <w:r w:rsidR="00187753">
        <w:t>communication.</w:t>
      </w:r>
      <w:r w:rsidR="00187753">
        <w:rPr>
          <w:spacing w:val="-5"/>
        </w:rPr>
        <w:t xml:space="preserve"> </w:t>
      </w:r>
      <w:r w:rsidR="00187753">
        <w:t>Constraining</w:t>
      </w:r>
      <w:r w:rsidR="00187753">
        <w:rPr>
          <w:spacing w:val="-4"/>
        </w:rPr>
        <w:t xml:space="preserve"> </w:t>
      </w:r>
      <w:r w:rsidR="00187753">
        <w:t>variables</w:t>
      </w:r>
      <w:r w:rsidR="00187753">
        <w:rPr>
          <w:spacing w:val="-5"/>
        </w:rPr>
        <w:t xml:space="preserve"> </w:t>
      </w:r>
      <w:r w:rsidR="00187753">
        <w:t>of</w:t>
      </w:r>
      <w:r w:rsidR="00187753">
        <w:rPr>
          <w:spacing w:val="-6"/>
        </w:rPr>
        <w:t xml:space="preserve"> </w:t>
      </w:r>
      <w:r w:rsidR="00187753">
        <w:t>the MCA</w:t>
      </w:r>
      <w:r w:rsidR="00187753">
        <w:rPr>
          <w:spacing w:val="-4"/>
        </w:rPr>
        <w:t xml:space="preserve"> </w:t>
      </w:r>
      <w:r w:rsidR="00187753">
        <w:t>analyses</w:t>
      </w:r>
      <w:r w:rsidR="00187753">
        <w:rPr>
          <w:spacing w:val="-4"/>
        </w:rPr>
        <w:t xml:space="preserve"> </w:t>
      </w:r>
      <w:r w:rsidR="00187753">
        <w:t>were</w:t>
      </w:r>
      <w:r w:rsidR="00187753">
        <w:rPr>
          <w:spacing w:val="-3"/>
        </w:rPr>
        <w:t xml:space="preserve"> </w:t>
      </w:r>
      <w:r w:rsidR="00187753">
        <w:t>counted</w:t>
      </w:r>
      <w:r w:rsidR="00187753">
        <w:rPr>
          <w:spacing w:val="-4"/>
        </w:rPr>
        <w:t xml:space="preserve"> </w:t>
      </w:r>
      <w:r w:rsidR="00187753">
        <w:t>for</w:t>
      </w:r>
      <w:r w:rsidR="00187753">
        <w:rPr>
          <w:spacing w:val="-5"/>
        </w:rPr>
        <w:t xml:space="preserve"> </w:t>
      </w:r>
      <w:r w:rsidR="00187753">
        <w:t>the</w:t>
      </w:r>
      <w:r w:rsidR="00187753">
        <w:rPr>
          <w:spacing w:val="-2"/>
        </w:rPr>
        <w:t xml:space="preserve"> </w:t>
      </w:r>
      <w:r w:rsidR="00187753">
        <w:t>strongest</w:t>
      </w:r>
      <w:r w:rsidR="00187753">
        <w:rPr>
          <w:spacing w:val="-3"/>
        </w:rPr>
        <w:t xml:space="preserve"> </w:t>
      </w:r>
      <w:r w:rsidR="00187753">
        <w:t>effect</w:t>
      </w:r>
      <w:r w:rsidR="00187753">
        <w:rPr>
          <w:spacing w:val="-3"/>
        </w:rPr>
        <w:t xml:space="preserve"> </w:t>
      </w:r>
      <w:r w:rsidR="00187753">
        <w:t>in</w:t>
      </w:r>
      <w:r w:rsidR="00187753">
        <w:rPr>
          <w:spacing w:val="-3"/>
        </w:rPr>
        <w:t xml:space="preserve"> </w:t>
      </w:r>
      <w:r w:rsidR="00187753">
        <w:t>the</w:t>
      </w:r>
      <w:r w:rsidR="00187753">
        <w:rPr>
          <w:spacing w:val="-4"/>
        </w:rPr>
        <w:t xml:space="preserve"> </w:t>
      </w:r>
      <w:r w:rsidR="00187753">
        <w:t>three</w:t>
      </w:r>
      <w:r w:rsidR="00187753">
        <w:rPr>
          <w:spacing w:val="-5"/>
        </w:rPr>
        <w:t xml:space="preserve"> </w:t>
      </w:r>
      <w:r w:rsidR="00187753">
        <w:t>first</w:t>
      </w:r>
      <w:r w:rsidR="00187753">
        <w:rPr>
          <w:spacing w:val="-4"/>
        </w:rPr>
        <w:t xml:space="preserve"> </w:t>
      </w:r>
      <w:r w:rsidR="00187753">
        <w:t>axes</w:t>
      </w:r>
      <w:r w:rsidR="00187753">
        <w:rPr>
          <w:spacing w:val="-1"/>
        </w:rPr>
        <w:t xml:space="preserve"> </w:t>
      </w:r>
      <w:r w:rsidR="00187753">
        <w:t>and</w:t>
      </w:r>
      <w:r w:rsidR="00187753">
        <w:rPr>
          <w:spacing w:val="-4"/>
        </w:rPr>
        <w:t xml:space="preserve"> </w:t>
      </w:r>
      <w:r w:rsidR="00187753">
        <w:t>they</w:t>
      </w:r>
      <w:r w:rsidR="00187753">
        <w:rPr>
          <w:spacing w:val="-4"/>
        </w:rPr>
        <w:t xml:space="preserve"> </w:t>
      </w:r>
      <w:r w:rsidR="00187753">
        <w:t>presented</w:t>
      </w:r>
      <w:r w:rsidR="00187753">
        <w:rPr>
          <w:spacing w:val="-4"/>
        </w:rPr>
        <w:t xml:space="preserve"> </w:t>
      </w:r>
      <w:r w:rsidR="00187753">
        <w:t>6 variables</w:t>
      </w:r>
      <w:r w:rsidR="00187753">
        <w:rPr>
          <w:spacing w:val="-10"/>
        </w:rPr>
        <w:t xml:space="preserve"> </w:t>
      </w:r>
      <w:r w:rsidR="00187753">
        <w:t>(family,</w:t>
      </w:r>
      <w:r w:rsidR="00187753">
        <w:rPr>
          <w:spacing w:val="-9"/>
        </w:rPr>
        <w:t xml:space="preserve"> </w:t>
      </w:r>
      <w:r w:rsidR="00187753">
        <w:t>food</w:t>
      </w:r>
      <w:r w:rsidR="00187753">
        <w:rPr>
          <w:spacing w:val="-10"/>
        </w:rPr>
        <w:t xml:space="preserve"> </w:t>
      </w:r>
      <w:r w:rsidR="00187753">
        <w:t>source,</w:t>
      </w:r>
      <w:r w:rsidR="00187753">
        <w:rPr>
          <w:spacing w:val="-10"/>
        </w:rPr>
        <w:t xml:space="preserve"> </w:t>
      </w:r>
      <w:r w:rsidR="00187753">
        <w:t>nest</w:t>
      </w:r>
      <w:r w:rsidR="00187753">
        <w:rPr>
          <w:spacing w:val="-9"/>
        </w:rPr>
        <w:t xml:space="preserve"> </w:t>
      </w:r>
      <w:r w:rsidR="00187753">
        <w:t>material,</w:t>
      </w:r>
      <w:r w:rsidR="00187753">
        <w:rPr>
          <w:spacing w:val="-9"/>
        </w:rPr>
        <w:t xml:space="preserve"> </w:t>
      </w:r>
      <w:r w:rsidR="00187753">
        <w:t>foraging</w:t>
      </w:r>
      <w:r w:rsidR="00187753">
        <w:rPr>
          <w:spacing w:val="-10"/>
        </w:rPr>
        <w:t xml:space="preserve"> </w:t>
      </w:r>
      <w:r w:rsidR="00187753">
        <w:t>area,</w:t>
      </w:r>
      <w:r w:rsidR="00187753">
        <w:rPr>
          <w:spacing w:val="-7"/>
        </w:rPr>
        <w:t xml:space="preserve"> </w:t>
      </w:r>
      <w:r w:rsidR="00187753">
        <w:t>chemical</w:t>
      </w:r>
      <w:r w:rsidR="00187753">
        <w:rPr>
          <w:spacing w:val="-9"/>
        </w:rPr>
        <w:t xml:space="preserve"> </w:t>
      </w:r>
      <w:r w:rsidR="00187753">
        <w:t>alarm,</w:t>
      </w:r>
      <w:r w:rsidR="00187753">
        <w:rPr>
          <w:spacing w:val="-10"/>
        </w:rPr>
        <w:t xml:space="preserve"> </w:t>
      </w:r>
      <w:r w:rsidR="00187753">
        <w:t>and</w:t>
      </w:r>
      <w:r w:rsidR="00187753">
        <w:rPr>
          <w:spacing w:val="-10"/>
        </w:rPr>
        <w:t xml:space="preserve"> </w:t>
      </w:r>
      <w:r w:rsidR="00187753">
        <w:t>food</w:t>
      </w:r>
      <w:r w:rsidR="00187753">
        <w:rPr>
          <w:spacing w:val="-10"/>
        </w:rPr>
        <w:t xml:space="preserve"> </w:t>
      </w:r>
      <w:r w:rsidR="00187753">
        <w:t>hardness) which</w:t>
      </w:r>
      <w:r w:rsidR="00187753">
        <w:rPr>
          <w:spacing w:val="-11"/>
        </w:rPr>
        <w:t xml:space="preserve"> </w:t>
      </w:r>
      <w:r w:rsidR="00187753">
        <w:t>showed</w:t>
      </w:r>
      <w:r w:rsidR="00187753">
        <w:rPr>
          <w:spacing w:val="-11"/>
        </w:rPr>
        <w:t xml:space="preserve"> </w:t>
      </w:r>
      <w:r w:rsidR="00187753">
        <w:t>distribution</w:t>
      </w:r>
      <w:r w:rsidR="00187753">
        <w:rPr>
          <w:spacing w:val="-11"/>
        </w:rPr>
        <w:t xml:space="preserve"> </w:t>
      </w:r>
      <w:r w:rsidR="00187753">
        <w:t>for</w:t>
      </w:r>
      <w:r w:rsidR="00187753">
        <w:rPr>
          <w:spacing w:val="-13"/>
        </w:rPr>
        <w:t xml:space="preserve"> </w:t>
      </w:r>
      <w:r w:rsidR="00187753">
        <w:t>the</w:t>
      </w:r>
      <w:r w:rsidR="00187753">
        <w:rPr>
          <w:spacing w:val="-12"/>
        </w:rPr>
        <w:t xml:space="preserve"> </w:t>
      </w:r>
      <w:r w:rsidR="00187753">
        <w:t>most</w:t>
      </w:r>
      <w:r w:rsidR="00187753">
        <w:rPr>
          <w:spacing w:val="-10"/>
        </w:rPr>
        <w:t xml:space="preserve"> </w:t>
      </w:r>
      <w:r w:rsidR="00187753">
        <w:t>significant</w:t>
      </w:r>
      <w:r w:rsidR="00187753">
        <w:rPr>
          <w:spacing w:val="-8"/>
        </w:rPr>
        <w:t xml:space="preserve"> </w:t>
      </w:r>
      <w:r w:rsidR="00187753">
        <w:t>axes.</w:t>
      </w:r>
      <w:r w:rsidR="00187753">
        <w:rPr>
          <w:spacing w:val="-11"/>
        </w:rPr>
        <w:t xml:space="preserve"> </w:t>
      </w:r>
      <w:r w:rsidR="00187753">
        <w:t>See</w:t>
      </w:r>
      <w:r w:rsidR="00187753">
        <w:rPr>
          <w:spacing w:val="-7"/>
        </w:rPr>
        <w:t xml:space="preserve"> </w:t>
      </w:r>
      <w:r w:rsidR="00187753">
        <w:t>Dataset</w:t>
      </w:r>
      <w:r w:rsidR="00187753">
        <w:rPr>
          <w:spacing w:val="-10"/>
        </w:rPr>
        <w:t xml:space="preserve"> </w:t>
      </w:r>
      <w:r w:rsidR="00187753">
        <w:t>S1</w:t>
      </w:r>
      <w:r w:rsidR="00187753">
        <w:rPr>
          <w:spacing w:val="-11"/>
        </w:rPr>
        <w:t xml:space="preserve"> </w:t>
      </w:r>
      <w:r w:rsidR="00187753">
        <w:t>for</w:t>
      </w:r>
      <w:r w:rsidR="00187753">
        <w:rPr>
          <w:spacing w:val="-10"/>
        </w:rPr>
        <w:t xml:space="preserve"> </w:t>
      </w:r>
      <w:r w:rsidR="00187753">
        <w:t>characters’</w:t>
      </w:r>
      <w:r w:rsidR="00187753">
        <w:rPr>
          <w:spacing w:val="-12"/>
        </w:rPr>
        <w:t xml:space="preserve"> </w:t>
      </w:r>
      <w:r w:rsidR="00187753">
        <w:t>legends.</w:t>
      </w:r>
    </w:p>
    <w:p w14:paraId="60139B40" w14:textId="77777777" w:rsidR="002F3704" w:rsidRDefault="00187753" w:rsidP="004D7EA0">
      <w:pPr>
        <w:pStyle w:val="Corpsdetexte"/>
        <w:spacing w:line="360" w:lineRule="auto"/>
        <w:jc w:val="both"/>
        <w:rPr>
          <w:sz w:val="10"/>
        </w:rPr>
      </w:pPr>
      <w:r>
        <w:rPr>
          <w:noProof/>
          <w:lang w:val="fr-FR" w:eastAsia="fr-FR"/>
        </w:rPr>
        <w:drawing>
          <wp:anchor distT="0" distB="0" distL="0" distR="0" simplePos="0" relativeHeight="251636736" behindDoc="0" locked="0" layoutInCell="1" allowOverlap="1" wp14:anchorId="5D04FEE2" wp14:editId="23B305BC">
            <wp:simplePos x="0" y="0"/>
            <wp:positionH relativeFrom="page">
              <wp:posOffset>899794</wp:posOffset>
            </wp:positionH>
            <wp:positionV relativeFrom="paragraph">
              <wp:posOffset>102615</wp:posOffset>
            </wp:positionV>
            <wp:extent cx="5673474" cy="6667881"/>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9" cstate="print"/>
                    <a:stretch>
                      <a:fillRect/>
                    </a:stretch>
                  </pic:blipFill>
                  <pic:spPr>
                    <a:xfrm>
                      <a:off x="0" y="0"/>
                      <a:ext cx="5673474" cy="6667881"/>
                    </a:xfrm>
                    <a:prstGeom prst="rect">
                      <a:avLst/>
                    </a:prstGeom>
                  </pic:spPr>
                </pic:pic>
              </a:graphicData>
            </a:graphic>
          </wp:anchor>
        </w:drawing>
      </w:r>
    </w:p>
    <w:p w14:paraId="6B37C63B" w14:textId="77777777" w:rsidR="002F3704" w:rsidRDefault="002F3704" w:rsidP="004D7EA0">
      <w:pPr>
        <w:spacing w:line="360" w:lineRule="auto"/>
        <w:jc w:val="both"/>
        <w:rPr>
          <w:sz w:val="10"/>
        </w:rPr>
        <w:sectPr w:rsidR="002F3704" w:rsidSect="004D7EA0">
          <w:headerReference w:type="default" r:id="rId20"/>
          <w:pgSz w:w="11910" w:h="16840"/>
          <w:pgMar w:top="1134" w:right="1134" w:bottom="1134" w:left="1134" w:header="1423" w:footer="0" w:gutter="0"/>
          <w:cols w:space="720"/>
        </w:sectPr>
      </w:pPr>
    </w:p>
    <w:p w14:paraId="55BCB96C" w14:textId="0F37AE43" w:rsidR="002F3704" w:rsidRDefault="00C67BDF" w:rsidP="004D7EA0">
      <w:pPr>
        <w:pStyle w:val="Corpsdetexte"/>
        <w:spacing w:line="360" w:lineRule="auto"/>
        <w:jc w:val="both"/>
      </w:pPr>
      <w:r>
        <w:rPr>
          <w:b/>
        </w:rPr>
        <w:lastRenderedPageBreak/>
        <w:t>Fig. S</w:t>
      </w:r>
      <w:r w:rsidR="00023682">
        <w:rPr>
          <w:b/>
        </w:rPr>
        <w:t>6</w:t>
      </w:r>
      <w:r>
        <w:rPr>
          <w:b/>
        </w:rPr>
        <w:t xml:space="preserve">: </w:t>
      </w:r>
      <w:r>
        <w:t xml:space="preserve">Correlation analysis between ecological characters and alarm characters. Correlation </w:t>
      </w:r>
      <w:r w:rsidR="00187753">
        <w:t>is indicated by green fields; blank means no correlation.</w:t>
      </w:r>
    </w:p>
    <w:p w14:paraId="442244F8" w14:textId="77777777" w:rsidR="002F3704" w:rsidRDefault="00187753" w:rsidP="004D7EA0">
      <w:pPr>
        <w:pStyle w:val="Corpsdetexte"/>
        <w:spacing w:line="360" w:lineRule="auto"/>
        <w:jc w:val="both"/>
        <w:rPr>
          <w:sz w:val="11"/>
        </w:rPr>
      </w:pPr>
      <w:r>
        <w:rPr>
          <w:noProof/>
          <w:lang w:val="fr-FR" w:eastAsia="fr-FR"/>
        </w:rPr>
        <w:drawing>
          <wp:anchor distT="0" distB="0" distL="0" distR="0" simplePos="0" relativeHeight="251649024" behindDoc="0" locked="0" layoutInCell="1" allowOverlap="1" wp14:anchorId="25EFCAC6" wp14:editId="7B42E0B9">
            <wp:simplePos x="0" y="0"/>
            <wp:positionH relativeFrom="page">
              <wp:posOffset>899160</wp:posOffset>
            </wp:positionH>
            <wp:positionV relativeFrom="paragraph">
              <wp:posOffset>106973</wp:posOffset>
            </wp:positionV>
            <wp:extent cx="5707390" cy="3137344"/>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21" cstate="print"/>
                    <a:stretch>
                      <a:fillRect/>
                    </a:stretch>
                  </pic:blipFill>
                  <pic:spPr>
                    <a:xfrm>
                      <a:off x="0" y="0"/>
                      <a:ext cx="5707390" cy="3137344"/>
                    </a:xfrm>
                    <a:prstGeom prst="rect">
                      <a:avLst/>
                    </a:prstGeom>
                  </pic:spPr>
                </pic:pic>
              </a:graphicData>
            </a:graphic>
          </wp:anchor>
        </w:drawing>
      </w:r>
    </w:p>
    <w:p w14:paraId="71BCA4AC" w14:textId="77777777" w:rsidR="002F3704" w:rsidRDefault="002F3704" w:rsidP="004D7EA0">
      <w:pPr>
        <w:spacing w:line="360" w:lineRule="auto"/>
        <w:jc w:val="both"/>
        <w:rPr>
          <w:sz w:val="11"/>
        </w:rPr>
        <w:sectPr w:rsidR="002F3704" w:rsidSect="004D7EA0">
          <w:headerReference w:type="default" r:id="rId22"/>
          <w:pgSz w:w="11910" w:h="16840"/>
          <w:pgMar w:top="1134" w:right="1134" w:bottom="1134" w:left="1134" w:header="1423" w:footer="0" w:gutter="0"/>
          <w:cols w:space="720"/>
        </w:sectPr>
      </w:pPr>
    </w:p>
    <w:p w14:paraId="6D065EBB" w14:textId="1981E271" w:rsidR="002F3704" w:rsidRDefault="00C67BDF" w:rsidP="004D7EA0">
      <w:pPr>
        <w:pStyle w:val="Corpsdetexte"/>
        <w:spacing w:line="360" w:lineRule="auto"/>
        <w:jc w:val="both"/>
      </w:pPr>
      <w:r>
        <w:rPr>
          <w:b/>
        </w:rPr>
        <w:lastRenderedPageBreak/>
        <w:t>Table</w:t>
      </w:r>
      <w:r w:rsidR="0046799E">
        <w:rPr>
          <w:b/>
        </w:rPr>
        <w:t xml:space="preserve"> </w:t>
      </w:r>
      <w:r>
        <w:rPr>
          <w:b/>
        </w:rPr>
        <w:t xml:space="preserve">S1: </w:t>
      </w:r>
      <w:r>
        <w:t xml:space="preserve">Normalized speed-of-motion (mm/s ± SE) of nymphs in the wood roach </w:t>
      </w:r>
      <w:r w:rsidR="00187753">
        <w:rPr>
          <w:i/>
        </w:rPr>
        <w:t>Cryptocercus</w:t>
      </w:r>
      <w:r w:rsidR="00187753">
        <w:t>,</w:t>
      </w:r>
      <w:r w:rsidR="00187753">
        <w:rPr>
          <w:spacing w:val="-12"/>
        </w:rPr>
        <w:t xml:space="preserve"> </w:t>
      </w:r>
      <w:r w:rsidR="00187753">
        <w:t>and</w:t>
      </w:r>
      <w:r w:rsidR="00187753">
        <w:rPr>
          <w:spacing w:val="-12"/>
        </w:rPr>
        <w:t xml:space="preserve"> </w:t>
      </w:r>
      <w:r w:rsidR="00187753">
        <w:t>of</w:t>
      </w:r>
      <w:r w:rsidR="00187753">
        <w:rPr>
          <w:spacing w:val="-10"/>
        </w:rPr>
        <w:t xml:space="preserve"> </w:t>
      </w:r>
      <w:r w:rsidR="00187753">
        <w:t>workers</w:t>
      </w:r>
      <w:r w:rsidR="00187753">
        <w:rPr>
          <w:spacing w:val="-13"/>
        </w:rPr>
        <w:t xml:space="preserve"> </w:t>
      </w:r>
      <w:r w:rsidR="00187753">
        <w:t>and</w:t>
      </w:r>
      <w:r w:rsidR="00187753">
        <w:rPr>
          <w:spacing w:val="-12"/>
        </w:rPr>
        <w:t xml:space="preserve"> </w:t>
      </w:r>
      <w:r w:rsidR="00187753">
        <w:t>soldier</w:t>
      </w:r>
      <w:r w:rsidR="00187753">
        <w:rPr>
          <w:spacing w:val="-12"/>
        </w:rPr>
        <w:t xml:space="preserve"> </w:t>
      </w:r>
      <w:r w:rsidR="00187753">
        <w:t>within</w:t>
      </w:r>
      <w:r w:rsidR="00187753">
        <w:rPr>
          <w:spacing w:val="-12"/>
        </w:rPr>
        <w:t xml:space="preserve"> </w:t>
      </w:r>
      <w:r w:rsidR="00187753">
        <w:t>termite</w:t>
      </w:r>
      <w:r w:rsidR="00187753">
        <w:rPr>
          <w:spacing w:val="-12"/>
        </w:rPr>
        <w:t xml:space="preserve"> </w:t>
      </w:r>
      <w:r w:rsidR="00187753">
        <w:t>groups</w:t>
      </w:r>
      <w:r w:rsidR="00187753">
        <w:rPr>
          <w:spacing w:val="-12"/>
        </w:rPr>
        <w:t xml:space="preserve"> </w:t>
      </w:r>
      <w:r w:rsidR="00187753">
        <w:t>in</w:t>
      </w:r>
      <w:r w:rsidR="00187753">
        <w:rPr>
          <w:spacing w:val="-12"/>
        </w:rPr>
        <w:t xml:space="preserve"> </w:t>
      </w:r>
      <w:r w:rsidR="00187753">
        <w:t>natural</w:t>
      </w:r>
      <w:r w:rsidR="00187753">
        <w:rPr>
          <w:spacing w:val="-12"/>
        </w:rPr>
        <w:t xml:space="preserve"> </w:t>
      </w:r>
      <w:r w:rsidR="00187753">
        <w:t>caste</w:t>
      </w:r>
      <w:r w:rsidR="00187753">
        <w:rPr>
          <w:spacing w:val="-12"/>
        </w:rPr>
        <w:t xml:space="preserve"> </w:t>
      </w:r>
      <w:r w:rsidR="00187753">
        <w:t>ratio</w:t>
      </w:r>
      <w:r w:rsidR="00187753">
        <w:rPr>
          <w:spacing w:val="-12"/>
        </w:rPr>
        <w:t xml:space="preserve"> </w:t>
      </w:r>
      <w:r w:rsidR="00187753">
        <w:t xml:space="preserve">(according to Haverty (2) or to our unpublished observations; for details see Dataset S1) in Petri dish stimulated with light flash (light), air current (air), one crushed worker head (CWH) </w:t>
      </w:r>
      <w:r w:rsidR="00187753">
        <w:rPr>
          <w:spacing w:val="3"/>
        </w:rPr>
        <w:t xml:space="preserve">or </w:t>
      </w:r>
      <w:r w:rsidR="00187753">
        <w:t>one crushed soldier head (CSH). The locomotion speed is given as an average scored from two nymphs in the wood roach, or from two workers and two soldiers in termites per experiment. The changes in locomotion speed for workers and soldiers, and the respective P-values for all comparisons between stimulations and controls are presented for short-term (1 min) and long- term (6 min) response to the stimuli. Negative values indicate that termites were more active prior to the stimulation. Kruskal-Wallis and post-hoc two-by-two permutation tests results are given</w:t>
      </w:r>
      <w:r w:rsidR="00187753">
        <w:rPr>
          <w:spacing w:val="-11"/>
        </w:rPr>
        <w:t xml:space="preserve"> </w:t>
      </w:r>
      <w:r w:rsidR="00187753">
        <w:t>for</w:t>
      </w:r>
      <w:r w:rsidR="00187753">
        <w:rPr>
          <w:spacing w:val="-13"/>
        </w:rPr>
        <w:t xml:space="preserve"> </w:t>
      </w:r>
      <w:r w:rsidR="00187753">
        <w:t>workers</w:t>
      </w:r>
      <w:r w:rsidR="00187753">
        <w:rPr>
          <w:spacing w:val="-9"/>
        </w:rPr>
        <w:t xml:space="preserve"> </w:t>
      </w:r>
      <w:r w:rsidR="00187753">
        <w:t>and</w:t>
      </w:r>
      <w:r w:rsidR="00187753">
        <w:rPr>
          <w:spacing w:val="-11"/>
        </w:rPr>
        <w:t xml:space="preserve"> </w:t>
      </w:r>
      <w:r w:rsidR="00187753">
        <w:t>soldiers</w:t>
      </w:r>
      <w:r w:rsidR="00187753">
        <w:rPr>
          <w:spacing w:val="-12"/>
        </w:rPr>
        <w:t xml:space="preserve"> </w:t>
      </w:r>
      <w:r w:rsidR="00187753">
        <w:t>independently.</w:t>
      </w:r>
      <w:r w:rsidR="00187753">
        <w:rPr>
          <w:spacing w:val="-11"/>
        </w:rPr>
        <w:t xml:space="preserve"> </w:t>
      </w:r>
      <w:r w:rsidR="00187753">
        <w:t>The</w:t>
      </w:r>
      <w:r w:rsidR="00187753">
        <w:rPr>
          <w:spacing w:val="-10"/>
        </w:rPr>
        <w:t xml:space="preserve"> </w:t>
      </w:r>
      <w:r w:rsidR="00187753">
        <w:t>value</w:t>
      </w:r>
      <w:r w:rsidR="00187753">
        <w:rPr>
          <w:spacing w:val="-12"/>
        </w:rPr>
        <w:t xml:space="preserve"> </w:t>
      </w:r>
      <w:r w:rsidR="00187753">
        <w:t>of</w:t>
      </w:r>
      <w:r w:rsidR="00187753">
        <w:rPr>
          <w:spacing w:val="-12"/>
        </w:rPr>
        <w:t xml:space="preserve"> </w:t>
      </w:r>
      <w:r w:rsidR="00187753">
        <w:t>Kruskal-Wallis</w:t>
      </w:r>
      <w:r w:rsidR="00187753">
        <w:rPr>
          <w:spacing w:val="-10"/>
        </w:rPr>
        <w:t xml:space="preserve"> </w:t>
      </w:r>
      <w:r w:rsidR="00187753">
        <w:t>test</w:t>
      </w:r>
      <w:r w:rsidR="00187753">
        <w:rPr>
          <w:spacing w:val="-11"/>
        </w:rPr>
        <w:t xml:space="preserve"> </w:t>
      </w:r>
      <w:r w:rsidR="00187753">
        <w:t>is</w:t>
      </w:r>
      <w:r w:rsidR="00187753">
        <w:rPr>
          <w:spacing w:val="-10"/>
        </w:rPr>
        <w:t xml:space="preserve"> </w:t>
      </w:r>
      <w:r w:rsidR="00187753">
        <w:t>given</w:t>
      </w:r>
      <w:r w:rsidR="00187753">
        <w:rPr>
          <w:spacing w:val="-11"/>
        </w:rPr>
        <w:t xml:space="preserve"> </w:t>
      </w:r>
      <w:r w:rsidR="00187753">
        <w:t>(H)</w:t>
      </w:r>
      <w:r w:rsidR="00187753">
        <w:rPr>
          <w:spacing w:val="-12"/>
        </w:rPr>
        <w:t xml:space="preserve"> </w:t>
      </w:r>
      <w:r w:rsidR="00187753">
        <w:t xml:space="preserve">and </w:t>
      </w:r>
      <w:r w:rsidR="00187753">
        <w:rPr>
          <w:i/>
        </w:rPr>
        <w:t>P’</w:t>
      </w:r>
      <w:r w:rsidR="00187753">
        <w:t>-values for all tests are given for P &lt; 0.05 at the last line for each species. “NS” indicates non-significant</w:t>
      </w:r>
      <w:r w:rsidR="00187753">
        <w:rPr>
          <w:spacing w:val="-7"/>
        </w:rPr>
        <w:t xml:space="preserve"> </w:t>
      </w:r>
      <w:r w:rsidR="00187753">
        <w:t>results.</w:t>
      </w:r>
      <w:r w:rsidR="00187753">
        <w:rPr>
          <w:spacing w:val="-7"/>
        </w:rPr>
        <w:t xml:space="preserve"> </w:t>
      </w:r>
      <w:r w:rsidR="00187753">
        <w:t>“NA”</w:t>
      </w:r>
      <w:r w:rsidR="00187753">
        <w:rPr>
          <w:spacing w:val="-8"/>
        </w:rPr>
        <w:t xml:space="preserve"> </w:t>
      </w:r>
      <w:r w:rsidR="00187753">
        <w:t>indicates</w:t>
      </w:r>
      <w:r w:rsidR="00187753">
        <w:rPr>
          <w:spacing w:val="-8"/>
        </w:rPr>
        <w:t xml:space="preserve"> </w:t>
      </w:r>
      <w:r w:rsidR="00187753">
        <w:t>not</w:t>
      </w:r>
      <w:r w:rsidR="00187753">
        <w:rPr>
          <w:spacing w:val="-7"/>
        </w:rPr>
        <w:t xml:space="preserve"> </w:t>
      </w:r>
      <w:r w:rsidR="00187753">
        <w:t>applicable.</w:t>
      </w:r>
      <w:r w:rsidR="00187753">
        <w:rPr>
          <w:spacing w:val="-7"/>
        </w:rPr>
        <w:t xml:space="preserve"> </w:t>
      </w:r>
      <w:r w:rsidR="00187753">
        <w:t>"-"</w:t>
      </w:r>
      <w:r w:rsidR="00187753">
        <w:rPr>
          <w:spacing w:val="-7"/>
        </w:rPr>
        <w:t xml:space="preserve"> </w:t>
      </w:r>
      <w:r w:rsidR="00187753">
        <w:t>indicates</w:t>
      </w:r>
      <w:r w:rsidR="00187753">
        <w:rPr>
          <w:spacing w:val="-8"/>
        </w:rPr>
        <w:t xml:space="preserve"> </w:t>
      </w:r>
      <w:r w:rsidR="00187753">
        <w:t>that</w:t>
      </w:r>
      <w:r w:rsidR="00187753">
        <w:rPr>
          <w:spacing w:val="-7"/>
        </w:rPr>
        <w:t xml:space="preserve"> </w:t>
      </w:r>
      <w:r w:rsidR="00187753">
        <w:t>the</w:t>
      </w:r>
      <w:r w:rsidR="00187753">
        <w:rPr>
          <w:spacing w:val="-8"/>
        </w:rPr>
        <w:t xml:space="preserve"> </w:t>
      </w:r>
      <w:r w:rsidR="00187753">
        <w:t>overall</w:t>
      </w:r>
      <w:r w:rsidR="00187753">
        <w:rPr>
          <w:spacing w:val="-6"/>
        </w:rPr>
        <w:t xml:space="preserve"> </w:t>
      </w:r>
      <w:r w:rsidR="00187753">
        <w:t>comparison (Kruskal-Wallis test) was not significant in one given</w:t>
      </w:r>
      <w:r w:rsidR="00187753">
        <w:rPr>
          <w:spacing w:val="-13"/>
        </w:rPr>
        <w:t xml:space="preserve"> </w:t>
      </w:r>
      <w:r w:rsidR="00187753">
        <w:t>species.</w:t>
      </w:r>
    </w:p>
    <w:p w14:paraId="286D1CB4" w14:textId="77777777" w:rsidR="002F3704" w:rsidRDefault="00187753" w:rsidP="004D7EA0">
      <w:pPr>
        <w:pStyle w:val="Corpsdetexte"/>
        <w:spacing w:line="360" w:lineRule="auto"/>
        <w:jc w:val="both"/>
        <w:rPr>
          <w:sz w:val="10"/>
        </w:rPr>
      </w:pPr>
      <w:r>
        <w:rPr>
          <w:noProof/>
          <w:lang w:val="fr-FR" w:eastAsia="fr-FR"/>
        </w:rPr>
        <w:drawing>
          <wp:anchor distT="0" distB="0" distL="0" distR="0" simplePos="0" relativeHeight="251661312" behindDoc="0" locked="0" layoutInCell="1" allowOverlap="1" wp14:anchorId="4FB40E65" wp14:editId="499915D4">
            <wp:simplePos x="0" y="0"/>
            <wp:positionH relativeFrom="page">
              <wp:posOffset>419100</wp:posOffset>
            </wp:positionH>
            <wp:positionV relativeFrom="paragraph">
              <wp:posOffset>98170</wp:posOffset>
            </wp:positionV>
            <wp:extent cx="6493473" cy="2842450"/>
            <wp:effectExtent l="0" t="0" r="0" b="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23" cstate="print"/>
                    <a:stretch>
                      <a:fillRect/>
                    </a:stretch>
                  </pic:blipFill>
                  <pic:spPr>
                    <a:xfrm>
                      <a:off x="0" y="0"/>
                      <a:ext cx="6493473" cy="2842450"/>
                    </a:xfrm>
                    <a:prstGeom prst="rect">
                      <a:avLst/>
                    </a:prstGeom>
                  </pic:spPr>
                </pic:pic>
              </a:graphicData>
            </a:graphic>
          </wp:anchor>
        </w:drawing>
      </w:r>
    </w:p>
    <w:p w14:paraId="7CF2E719" w14:textId="77777777" w:rsidR="002F3704" w:rsidRDefault="002F3704" w:rsidP="004D7EA0">
      <w:pPr>
        <w:spacing w:line="360" w:lineRule="auto"/>
        <w:jc w:val="both"/>
        <w:rPr>
          <w:sz w:val="10"/>
        </w:rPr>
        <w:sectPr w:rsidR="002F3704" w:rsidSect="004D7EA0">
          <w:headerReference w:type="default" r:id="rId24"/>
          <w:pgSz w:w="11910" w:h="16840"/>
          <w:pgMar w:top="1134" w:right="1134" w:bottom="1134" w:left="1134" w:header="1423" w:footer="0" w:gutter="0"/>
          <w:cols w:space="720"/>
        </w:sectPr>
      </w:pPr>
    </w:p>
    <w:p w14:paraId="0D98B5C0" w14:textId="10ECB08F" w:rsidR="002F3704" w:rsidRDefault="00C67BDF" w:rsidP="004D7EA0">
      <w:pPr>
        <w:pStyle w:val="Corpsdetexte"/>
        <w:spacing w:line="360" w:lineRule="auto"/>
        <w:jc w:val="both"/>
      </w:pPr>
      <w:r>
        <w:rPr>
          <w:b/>
        </w:rPr>
        <w:lastRenderedPageBreak/>
        <w:t xml:space="preserve">Table S2: </w:t>
      </w:r>
      <w:r>
        <w:t xml:space="preserve">Identity of the compounds (detected from glandular extracts or SPME   collections) </w:t>
      </w:r>
      <w:r w:rsidR="00187753">
        <w:t>released from labial glands or the frontal gland in the termite species studied. Some of the compounds are used as alarm pheromones (CHC = cuticular hydrocarbons; Ø = no compound detected; N.A. = not available).</w:t>
      </w:r>
    </w:p>
    <w:p w14:paraId="36815068" w14:textId="77777777" w:rsidR="002F3704" w:rsidRDefault="00187753" w:rsidP="004D7EA0">
      <w:pPr>
        <w:pStyle w:val="Corpsdetexte"/>
        <w:spacing w:line="360" w:lineRule="auto"/>
        <w:jc w:val="both"/>
        <w:rPr>
          <w:sz w:val="10"/>
        </w:rPr>
      </w:pPr>
      <w:r>
        <w:rPr>
          <w:noProof/>
          <w:lang w:val="fr-FR" w:eastAsia="fr-FR"/>
        </w:rPr>
        <w:drawing>
          <wp:anchor distT="0" distB="0" distL="0" distR="0" simplePos="0" relativeHeight="251673600" behindDoc="0" locked="0" layoutInCell="1" allowOverlap="1" wp14:anchorId="10E73764" wp14:editId="1144B4D9">
            <wp:simplePos x="0" y="0"/>
            <wp:positionH relativeFrom="page">
              <wp:posOffset>899794</wp:posOffset>
            </wp:positionH>
            <wp:positionV relativeFrom="paragraph">
              <wp:posOffset>101853</wp:posOffset>
            </wp:positionV>
            <wp:extent cx="5674151" cy="2834258"/>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5" cstate="print"/>
                    <a:stretch>
                      <a:fillRect/>
                    </a:stretch>
                  </pic:blipFill>
                  <pic:spPr>
                    <a:xfrm>
                      <a:off x="0" y="0"/>
                      <a:ext cx="5674151" cy="2834258"/>
                    </a:xfrm>
                    <a:prstGeom prst="rect">
                      <a:avLst/>
                    </a:prstGeom>
                  </pic:spPr>
                </pic:pic>
              </a:graphicData>
            </a:graphic>
          </wp:anchor>
        </w:drawing>
      </w:r>
    </w:p>
    <w:p w14:paraId="19F66E77" w14:textId="77777777" w:rsidR="002F3704" w:rsidRDefault="002F3704" w:rsidP="004D7EA0">
      <w:pPr>
        <w:spacing w:line="360" w:lineRule="auto"/>
        <w:jc w:val="both"/>
        <w:rPr>
          <w:sz w:val="10"/>
        </w:rPr>
        <w:sectPr w:rsidR="002F3704" w:rsidSect="004D7EA0">
          <w:headerReference w:type="default" r:id="rId26"/>
          <w:pgSz w:w="11910" w:h="16840"/>
          <w:pgMar w:top="1134" w:right="1134" w:bottom="1134" w:left="1134" w:header="1423" w:footer="0" w:gutter="0"/>
          <w:cols w:space="720"/>
        </w:sectPr>
      </w:pPr>
    </w:p>
    <w:p w14:paraId="1DF8860D" w14:textId="26D8D94D" w:rsidR="002F3704" w:rsidRDefault="00C67BDF" w:rsidP="004D7EA0">
      <w:pPr>
        <w:pStyle w:val="Corpsdetexte"/>
        <w:spacing w:line="360" w:lineRule="auto"/>
        <w:jc w:val="both"/>
      </w:pPr>
      <w:r>
        <w:rPr>
          <w:b/>
        </w:rPr>
        <w:lastRenderedPageBreak/>
        <w:t>Table S3</w:t>
      </w:r>
      <w:r>
        <w:t xml:space="preserve">: Long-term differences in vibroacoustic alarm signaling after air blow expressed as </w:t>
      </w:r>
      <w:r w:rsidR="00187753">
        <w:t xml:space="preserve">normalized activity prior vs. after disturbance. Termites usually responded by increased vibroacoustic activity after the disturbance. The exception of </w:t>
      </w:r>
      <w:r w:rsidR="00187753">
        <w:rPr>
          <w:i/>
        </w:rPr>
        <w:t xml:space="preserve">Hodotermes </w:t>
      </w:r>
      <w:r w:rsidR="00187753">
        <w:t>is due the fact that according our knowledge it misses any alarm communication.</w:t>
      </w:r>
    </w:p>
    <w:p w14:paraId="623B6AC0" w14:textId="77777777" w:rsidR="002F3704" w:rsidRDefault="00187753" w:rsidP="004D7EA0">
      <w:pPr>
        <w:pStyle w:val="Corpsdetexte"/>
        <w:spacing w:line="360" w:lineRule="auto"/>
        <w:jc w:val="both"/>
        <w:rPr>
          <w:sz w:val="10"/>
        </w:rPr>
      </w:pPr>
      <w:r>
        <w:rPr>
          <w:noProof/>
          <w:lang w:val="fr-FR" w:eastAsia="fr-FR"/>
        </w:rPr>
        <w:drawing>
          <wp:anchor distT="0" distB="0" distL="0" distR="0" simplePos="0" relativeHeight="251685888" behindDoc="0" locked="0" layoutInCell="1" allowOverlap="1" wp14:anchorId="13DAA12E" wp14:editId="45662BF7">
            <wp:simplePos x="0" y="0"/>
            <wp:positionH relativeFrom="page">
              <wp:posOffset>899794</wp:posOffset>
            </wp:positionH>
            <wp:positionV relativeFrom="paragraph">
              <wp:posOffset>101853</wp:posOffset>
            </wp:positionV>
            <wp:extent cx="5802576" cy="2723673"/>
            <wp:effectExtent l="0" t="0" r="0" b="0"/>
            <wp:wrapTopAndBottom/>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27" cstate="print"/>
                    <a:stretch>
                      <a:fillRect/>
                    </a:stretch>
                  </pic:blipFill>
                  <pic:spPr>
                    <a:xfrm>
                      <a:off x="0" y="0"/>
                      <a:ext cx="5802576" cy="2723673"/>
                    </a:xfrm>
                    <a:prstGeom prst="rect">
                      <a:avLst/>
                    </a:prstGeom>
                  </pic:spPr>
                </pic:pic>
              </a:graphicData>
            </a:graphic>
          </wp:anchor>
        </w:drawing>
      </w:r>
    </w:p>
    <w:p w14:paraId="1C7B3346" w14:textId="77777777" w:rsidR="002F3704" w:rsidRDefault="002F3704" w:rsidP="004D7EA0">
      <w:pPr>
        <w:spacing w:line="360" w:lineRule="auto"/>
        <w:jc w:val="both"/>
        <w:rPr>
          <w:sz w:val="10"/>
        </w:rPr>
        <w:sectPr w:rsidR="002F3704" w:rsidSect="004D7EA0">
          <w:headerReference w:type="default" r:id="rId28"/>
          <w:pgSz w:w="11910" w:h="16840"/>
          <w:pgMar w:top="1134" w:right="1134" w:bottom="1134" w:left="1134" w:header="1423" w:footer="0" w:gutter="0"/>
          <w:cols w:space="720"/>
        </w:sectPr>
      </w:pPr>
    </w:p>
    <w:p w14:paraId="3D6AD102" w14:textId="61701438" w:rsidR="002F3704" w:rsidRDefault="00C67BDF" w:rsidP="004D7EA0">
      <w:pPr>
        <w:pStyle w:val="Corpsdetexte"/>
        <w:spacing w:line="360" w:lineRule="auto"/>
        <w:jc w:val="both"/>
      </w:pPr>
      <w:r>
        <w:rPr>
          <w:b/>
        </w:rPr>
        <w:lastRenderedPageBreak/>
        <w:t>Table</w:t>
      </w:r>
      <w:r>
        <w:rPr>
          <w:b/>
          <w:spacing w:val="-16"/>
        </w:rPr>
        <w:t xml:space="preserve"> </w:t>
      </w:r>
      <w:r>
        <w:rPr>
          <w:b/>
        </w:rPr>
        <w:t>S4:</w:t>
      </w:r>
      <w:r>
        <w:rPr>
          <w:b/>
          <w:spacing w:val="-17"/>
        </w:rPr>
        <w:t xml:space="preserve"> </w:t>
      </w:r>
      <w:r>
        <w:t>Overview</w:t>
      </w:r>
      <w:r>
        <w:rPr>
          <w:spacing w:val="-16"/>
        </w:rPr>
        <w:t xml:space="preserve"> </w:t>
      </w:r>
      <w:r>
        <w:t>of</w:t>
      </w:r>
      <w:r>
        <w:rPr>
          <w:spacing w:val="-14"/>
        </w:rPr>
        <w:t xml:space="preserve"> </w:t>
      </w:r>
      <w:r>
        <w:t>responses</w:t>
      </w:r>
      <w:r>
        <w:rPr>
          <w:spacing w:val="-16"/>
        </w:rPr>
        <w:t xml:space="preserve"> </w:t>
      </w:r>
      <w:r>
        <w:t>(running</w:t>
      </w:r>
      <w:r>
        <w:rPr>
          <w:spacing w:val="-15"/>
        </w:rPr>
        <w:t xml:space="preserve"> </w:t>
      </w:r>
      <w:r>
        <w:t>and/or</w:t>
      </w:r>
      <w:r>
        <w:rPr>
          <w:spacing w:val="-16"/>
        </w:rPr>
        <w:t xml:space="preserve"> </w:t>
      </w:r>
      <w:r>
        <w:t>vibrating)</w:t>
      </w:r>
      <w:r>
        <w:rPr>
          <w:spacing w:val="-17"/>
        </w:rPr>
        <w:t xml:space="preserve"> </w:t>
      </w:r>
      <w:r>
        <w:t>of</w:t>
      </w:r>
      <w:r>
        <w:rPr>
          <w:spacing w:val="-17"/>
        </w:rPr>
        <w:t xml:space="preserve"> </w:t>
      </w:r>
      <w:r>
        <w:t>workers</w:t>
      </w:r>
      <w:r>
        <w:rPr>
          <w:spacing w:val="-16"/>
        </w:rPr>
        <w:t xml:space="preserve"> </w:t>
      </w:r>
      <w:r>
        <w:t>and</w:t>
      </w:r>
      <w:r>
        <w:rPr>
          <w:spacing w:val="-16"/>
        </w:rPr>
        <w:t xml:space="preserve"> </w:t>
      </w:r>
      <w:r>
        <w:t>soldiers</w:t>
      </w:r>
      <w:r>
        <w:rPr>
          <w:spacing w:val="-16"/>
        </w:rPr>
        <w:t xml:space="preserve"> </w:t>
      </w:r>
      <w:r>
        <w:t>of</w:t>
      </w:r>
      <w:r>
        <w:rPr>
          <w:spacing w:val="-17"/>
        </w:rPr>
        <w:t xml:space="preserve"> </w:t>
      </w:r>
      <w:r>
        <w:t xml:space="preserve">different </w:t>
      </w:r>
      <w:r w:rsidR="00187753">
        <w:t>termite species after exposure to crushed soldier head (CSH – alarm pheromone simulation) in the experimental conditions of Table 2. Increased locomotion activity (running) or vibration activity indicates behavioural response to alarm pheromone.</w:t>
      </w:r>
    </w:p>
    <w:p w14:paraId="45E105A1" w14:textId="77777777" w:rsidR="002F3704" w:rsidRDefault="00187753" w:rsidP="004D7EA0">
      <w:pPr>
        <w:pStyle w:val="Corpsdetexte"/>
        <w:spacing w:line="360" w:lineRule="auto"/>
        <w:jc w:val="both"/>
        <w:rPr>
          <w:sz w:val="10"/>
        </w:rPr>
      </w:pPr>
      <w:r>
        <w:rPr>
          <w:noProof/>
          <w:lang w:val="fr-FR" w:eastAsia="fr-FR"/>
        </w:rPr>
        <w:drawing>
          <wp:anchor distT="0" distB="0" distL="0" distR="0" simplePos="0" relativeHeight="251698176" behindDoc="0" locked="0" layoutInCell="1" allowOverlap="1" wp14:anchorId="7BB17CCA" wp14:editId="630D5E52">
            <wp:simplePos x="0" y="0"/>
            <wp:positionH relativeFrom="page">
              <wp:posOffset>899794</wp:posOffset>
            </wp:positionH>
            <wp:positionV relativeFrom="paragraph">
              <wp:posOffset>101853</wp:posOffset>
            </wp:positionV>
            <wp:extent cx="5955740" cy="2091308"/>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9" cstate="print"/>
                    <a:stretch>
                      <a:fillRect/>
                    </a:stretch>
                  </pic:blipFill>
                  <pic:spPr>
                    <a:xfrm>
                      <a:off x="0" y="0"/>
                      <a:ext cx="5955740" cy="2091308"/>
                    </a:xfrm>
                    <a:prstGeom prst="rect">
                      <a:avLst/>
                    </a:prstGeom>
                  </pic:spPr>
                </pic:pic>
              </a:graphicData>
            </a:graphic>
          </wp:anchor>
        </w:drawing>
      </w:r>
    </w:p>
    <w:p w14:paraId="64A1CB66" w14:textId="77777777" w:rsidR="002F3704" w:rsidRDefault="002F3704" w:rsidP="004D7EA0">
      <w:pPr>
        <w:pStyle w:val="Corpsdetexte"/>
        <w:spacing w:line="360" w:lineRule="auto"/>
        <w:jc w:val="both"/>
        <w:rPr>
          <w:sz w:val="26"/>
        </w:rPr>
      </w:pPr>
    </w:p>
    <w:p w14:paraId="2E05070F" w14:textId="77777777" w:rsidR="002F3704" w:rsidRDefault="002F3704" w:rsidP="004D7EA0">
      <w:pPr>
        <w:pStyle w:val="Corpsdetexte"/>
        <w:spacing w:line="360" w:lineRule="auto"/>
        <w:jc w:val="both"/>
      </w:pPr>
    </w:p>
    <w:p w14:paraId="11EC9FB9" w14:textId="77777777" w:rsidR="002F3704" w:rsidRDefault="00187753" w:rsidP="004D7EA0">
      <w:pPr>
        <w:pStyle w:val="Titre1"/>
        <w:spacing w:line="360" w:lineRule="auto"/>
        <w:ind w:left="0"/>
        <w:jc w:val="both"/>
      </w:pPr>
      <w:r>
        <w:t>References</w:t>
      </w:r>
    </w:p>
    <w:p w14:paraId="3DB82472" w14:textId="324D4A8F" w:rsidR="002F3704" w:rsidRDefault="00187753" w:rsidP="004D7EA0">
      <w:pPr>
        <w:pStyle w:val="Paragraphedeliste"/>
        <w:numPr>
          <w:ilvl w:val="0"/>
          <w:numId w:val="1"/>
        </w:numPr>
        <w:tabs>
          <w:tab w:val="left" w:pos="837"/>
        </w:tabs>
        <w:spacing w:before="0" w:line="360" w:lineRule="auto"/>
        <w:ind w:left="0" w:firstLine="0"/>
        <w:jc w:val="both"/>
        <w:rPr>
          <w:sz w:val="24"/>
        </w:rPr>
      </w:pPr>
      <w:r>
        <w:rPr>
          <w:sz w:val="24"/>
        </w:rPr>
        <w:t>Abe,</w:t>
      </w:r>
      <w:r w:rsidR="0073766B">
        <w:rPr>
          <w:sz w:val="24"/>
        </w:rPr>
        <w:t xml:space="preserve"> T.</w:t>
      </w:r>
      <w:r>
        <w:rPr>
          <w:sz w:val="24"/>
        </w:rPr>
        <w:t xml:space="preserve"> “Evolution of life types in termites” in </w:t>
      </w:r>
      <w:r>
        <w:rPr>
          <w:i/>
          <w:sz w:val="24"/>
        </w:rPr>
        <w:t>Evolution and Coadaptation in Biotic Communities</w:t>
      </w:r>
      <w:r>
        <w:rPr>
          <w:sz w:val="24"/>
        </w:rPr>
        <w:t>, S. Kawano, J. H. Connell, and T. Hidaka, Eds. (1987) pp.</w:t>
      </w:r>
      <w:r>
        <w:rPr>
          <w:spacing w:val="-8"/>
          <w:sz w:val="24"/>
        </w:rPr>
        <w:t xml:space="preserve"> </w:t>
      </w:r>
      <w:r>
        <w:rPr>
          <w:sz w:val="24"/>
        </w:rPr>
        <w:t>125–148.</w:t>
      </w:r>
    </w:p>
    <w:p w14:paraId="5C5AF1A5" w14:textId="6F197344" w:rsidR="002F3704" w:rsidRDefault="00187753" w:rsidP="004D7EA0">
      <w:pPr>
        <w:pStyle w:val="Paragraphedeliste"/>
        <w:numPr>
          <w:ilvl w:val="0"/>
          <w:numId w:val="1"/>
        </w:numPr>
        <w:tabs>
          <w:tab w:val="left" w:pos="837"/>
        </w:tabs>
        <w:spacing w:before="0" w:line="360" w:lineRule="auto"/>
        <w:ind w:left="0" w:firstLine="0"/>
        <w:jc w:val="both"/>
        <w:rPr>
          <w:sz w:val="24"/>
        </w:rPr>
      </w:pPr>
      <w:r>
        <w:rPr>
          <w:sz w:val="24"/>
        </w:rPr>
        <w:t>Haverty,</w:t>
      </w:r>
      <w:r w:rsidR="0073766B">
        <w:rPr>
          <w:sz w:val="24"/>
        </w:rPr>
        <w:t xml:space="preserve"> M. I.</w:t>
      </w:r>
      <w:bookmarkStart w:id="0" w:name="_GoBack"/>
      <w:bookmarkEnd w:id="0"/>
      <w:r>
        <w:rPr>
          <w:sz w:val="24"/>
        </w:rPr>
        <w:t xml:space="preserve"> The proportion of soldiers in termite colonies: a list and a</w:t>
      </w:r>
      <w:r>
        <w:rPr>
          <w:spacing w:val="40"/>
          <w:sz w:val="24"/>
        </w:rPr>
        <w:t xml:space="preserve"> </w:t>
      </w:r>
      <w:r>
        <w:rPr>
          <w:sz w:val="24"/>
        </w:rPr>
        <w:t>bibliography.</w:t>
      </w:r>
    </w:p>
    <w:p w14:paraId="27F524AE" w14:textId="77777777" w:rsidR="002F3704" w:rsidRDefault="00187753" w:rsidP="004D7EA0">
      <w:pPr>
        <w:spacing w:line="360" w:lineRule="auto"/>
        <w:jc w:val="both"/>
        <w:rPr>
          <w:sz w:val="24"/>
        </w:rPr>
      </w:pPr>
      <w:r>
        <w:rPr>
          <w:i/>
          <w:sz w:val="24"/>
        </w:rPr>
        <w:t xml:space="preserve">Sociobiology </w:t>
      </w:r>
      <w:r>
        <w:rPr>
          <w:sz w:val="24"/>
        </w:rPr>
        <w:t>2, 199–216 (1977).</w:t>
      </w:r>
    </w:p>
    <w:sectPr w:rsidR="002F3704" w:rsidSect="004D7EA0">
      <w:headerReference w:type="default" r:id="rId30"/>
      <w:pgSz w:w="11910" w:h="16840"/>
      <w:pgMar w:top="1134" w:right="1134" w:bottom="1134" w:left="1134" w:header="1423"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65616" w14:textId="77777777" w:rsidR="006C2124" w:rsidRDefault="006C2124">
      <w:r>
        <w:separator/>
      </w:r>
    </w:p>
  </w:endnote>
  <w:endnote w:type="continuationSeparator" w:id="0">
    <w:p w14:paraId="3E880D32" w14:textId="77777777" w:rsidR="006C2124" w:rsidRDefault="006C2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B47B1" w14:textId="77777777" w:rsidR="006C2124" w:rsidRDefault="006C2124">
      <w:r>
        <w:separator/>
      </w:r>
    </w:p>
  </w:footnote>
  <w:footnote w:type="continuationSeparator" w:id="0">
    <w:p w14:paraId="4A54D297" w14:textId="77777777" w:rsidR="006C2124" w:rsidRDefault="006C21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19656" w14:textId="10D8EFA3" w:rsidR="002F3704" w:rsidRDefault="002F3704">
    <w:pPr>
      <w:pStyle w:val="Corpsdetexte"/>
      <w:spacing w:line="14" w:lineRule="auto"/>
      <w:rPr>
        <w:sz w:val="20"/>
      </w:rP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D2E2C" w14:textId="7490C478" w:rsidR="002F3704" w:rsidRDefault="002F3704">
    <w:pPr>
      <w:pStyle w:val="Corpsdetexte"/>
      <w:spacing w:line="14" w:lineRule="auto"/>
      <w:rPr>
        <w:sz w:val="20"/>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503E0" w14:textId="5DDD8BB5" w:rsidR="002F3704" w:rsidRDefault="002F3704">
    <w:pPr>
      <w:pStyle w:val="Corpsdetexte"/>
      <w:spacing w:line="14" w:lineRule="auto"/>
      <w:rPr>
        <w:sz w:val="20"/>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D18F7" w14:textId="43B1AA03" w:rsidR="002F3704" w:rsidRDefault="002F3704">
    <w:pPr>
      <w:pStyle w:val="Corpsdetexte"/>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19D23" w14:textId="2D2EC379" w:rsidR="002F3704" w:rsidRDefault="002F3704">
    <w:pPr>
      <w:pStyle w:val="Corpsdetexte"/>
      <w:spacing w:line="14" w:lineRule="auto"/>
      <w:rPr>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BB4C7" w14:textId="5AB04C3E" w:rsidR="002F3704" w:rsidRDefault="002F3704">
    <w:pPr>
      <w:pStyle w:val="Corpsdetexte"/>
      <w:spacing w:line="14" w:lineRule="auto"/>
      <w:rPr>
        <w:sz w:val="2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B9F8C" w14:textId="252B74C3" w:rsidR="002F3704" w:rsidRDefault="002F3704">
    <w:pPr>
      <w:pStyle w:val="Corpsdetexte"/>
      <w:spacing w:line="14" w:lineRule="auto"/>
      <w:rPr>
        <w:sz w:val="2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85634" w14:textId="4AA3C8B5" w:rsidR="002F3704" w:rsidRDefault="002F3704">
    <w:pPr>
      <w:pStyle w:val="Corpsdetexte"/>
      <w:spacing w:line="14" w:lineRule="auto"/>
      <w:rPr>
        <w:sz w:val="20"/>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286D0" w14:textId="11CD76F6" w:rsidR="002F3704" w:rsidRDefault="002F3704">
    <w:pPr>
      <w:pStyle w:val="Corpsdetexte"/>
      <w:spacing w:line="14" w:lineRule="auto"/>
      <w:rPr>
        <w:sz w:val="20"/>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21FD1" w14:textId="60E21185" w:rsidR="002F3704" w:rsidRDefault="002F3704">
    <w:pPr>
      <w:pStyle w:val="Corpsdetexte"/>
      <w:spacing w:line="14" w:lineRule="auto"/>
      <w:rPr>
        <w:sz w:val="20"/>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85DC4" w14:textId="6B38AB9F" w:rsidR="002F3704" w:rsidRDefault="002F3704">
    <w:pPr>
      <w:pStyle w:val="Corpsdetexte"/>
      <w:spacing w:line="14" w:lineRule="auto"/>
      <w:rPr>
        <w:sz w:val="20"/>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81189" w14:textId="06CC25B2" w:rsidR="002F3704" w:rsidRDefault="002F3704">
    <w:pPr>
      <w:pStyle w:val="Corpsdetexte"/>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DB60DB"/>
    <w:multiLevelType w:val="hybridMultilevel"/>
    <w:tmpl w:val="05C49C5C"/>
    <w:lvl w:ilvl="0" w:tplc="051EC432">
      <w:start w:val="1"/>
      <w:numFmt w:val="decimal"/>
      <w:lvlText w:val="%1."/>
      <w:lvlJc w:val="left"/>
      <w:pPr>
        <w:ind w:left="836" w:hanging="360"/>
      </w:pPr>
      <w:rPr>
        <w:rFonts w:ascii="Times New Roman" w:eastAsia="Times New Roman" w:hAnsi="Times New Roman" w:cs="Times New Roman" w:hint="default"/>
        <w:spacing w:val="-2"/>
        <w:w w:val="99"/>
        <w:sz w:val="24"/>
        <w:szCs w:val="24"/>
      </w:rPr>
    </w:lvl>
    <w:lvl w:ilvl="1" w:tplc="3BD4AA1E">
      <w:numFmt w:val="bullet"/>
      <w:lvlText w:val="•"/>
      <w:lvlJc w:val="left"/>
      <w:pPr>
        <w:ind w:left="1706" w:hanging="360"/>
      </w:pPr>
      <w:rPr>
        <w:rFonts w:hint="default"/>
      </w:rPr>
    </w:lvl>
    <w:lvl w:ilvl="2" w:tplc="E1CA83D0">
      <w:numFmt w:val="bullet"/>
      <w:lvlText w:val="•"/>
      <w:lvlJc w:val="left"/>
      <w:pPr>
        <w:ind w:left="2573" w:hanging="360"/>
      </w:pPr>
      <w:rPr>
        <w:rFonts w:hint="default"/>
      </w:rPr>
    </w:lvl>
    <w:lvl w:ilvl="3" w:tplc="21F637BE">
      <w:numFmt w:val="bullet"/>
      <w:lvlText w:val="•"/>
      <w:lvlJc w:val="left"/>
      <w:pPr>
        <w:ind w:left="3439" w:hanging="360"/>
      </w:pPr>
      <w:rPr>
        <w:rFonts w:hint="default"/>
      </w:rPr>
    </w:lvl>
    <w:lvl w:ilvl="4" w:tplc="FFE488A4">
      <w:numFmt w:val="bullet"/>
      <w:lvlText w:val="•"/>
      <w:lvlJc w:val="left"/>
      <w:pPr>
        <w:ind w:left="4306" w:hanging="360"/>
      </w:pPr>
      <w:rPr>
        <w:rFonts w:hint="default"/>
      </w:rPr>
    </w:lvl>
    <w:lvl w:ilvl="5" w:tplc="9D24F7A4">
      <w:numFmt w:val="bullet"/>
      <w:lvlText w:val="•"/>
      <w:lvlJc w:val="left"/>
      <w:pPr>
        <w:ind w:left="5173" w:hanging="360"/>
      </w:pPr>
      <w:rPr>
        <w:rFonts w:hint="default"/>
      </w:rPr>
    </w:lvl>
    <w:lvl w:ilvl="6" w:tplc="DE6A0484">
      <w:numFmt w:val="bullet"/>
      <w:lvlText w:val="•"/>
      <w:lvlJc w:val="left"/>
      <w:pPr>
        <w:ind w:left="6039" w:hanging="360"/>
      </w:pPr>
      <w:rPr>
        <w:rFonts w:hint="default"/>
      </w:rPr>
    </w:lvl>
    <w:lvl w:ilvl="7" w:tplc="990CF9A4">
      <w:numFmt w:val="bullet"/>
      <w:lvlText w:val="•"/>
      <w:lvlJc w:val="left"/>
      <w:pPr>
        <w:ind w:left="6906" w:hanging="360"/>
      </w:pPr>
      <w:rPr>
        <w:rFonts w:hint="default"/>
      </w:rPr>
    </w:lvl>
    <w:lvl w:ilvl="8" w:tplc="9BA0C48C">
      <w:numFmt w:val="bullet"/>
      <w:lvlText w:val="•"/>
      <w:lvlJc w:val="left"/>
      <w:pPr>
        <w:ind w:left="7773" w:hanging="360"/>
      </w:pPr>
      <w:rPr>
        <w:rFonts w:hint="default"/>
      </w:rPr>
    </w:lvl>
  </w:abstractNum>
  <w:abstractNum w:abstractNumId="1" w15:restartNumberingAfterBreak="0">
    <w:nsid w:val="6B877978"/>
    <w:multiLevelType w:val="hybridMultilevel"/>
    <w:tmpl w:val="AC4A076E"/>
    <w:lvl w:ilvl="0" w:tplc="656422BA">
      <w:numFmt w:val="bullet"/>
      <w:lvlText w:val="*"/>
      <w:lvlJc w:val="left"/>
      <w:pPr>
        <w:ind w:left="296" w:hanging="180"/>
      </w:pPr>
      <w:rPr>
        <w:rFonts w:ascii="Times New Roman" w:eastAsia="Times New Roman" w:hAnsi="Times New Roman" w:cs="Times New Roman" w:hint="default"/>
        <w:spacing w:val="-2"/>
        <w:w w:val="99"/>
        <w:sz w:val="24"/>
        <w:szCs w:val="24"/>
      </w:rPr>
    </w:lvl>
    <w:lvl w:ilvl="1" w:tplc="8104F616">
      <w:numFmt w:val="bullet"/>
      <w:lvlText w:val=""/>
      <w:lvlJc w:val="left"/>
      <w:pPr>
        <w:ind w:left="836" w:hanging="360"/>
      </w:pPr>
      <w:rPr>
        <w:rFonts w:ascii="Symbol" w:eastAsia="Symbol" w:hAnsi="Symbol" w:cs="Symbol" w:hint="default"/>
        <w:w w:val="100"/>
        <w:sz w:val="24"/>
        <w:szCs w:val="24"/>
      </w:rPr>
    </w:lvl>
    <w:lvl w:ilvl="2" w:tplc="5CAE149E">
      <w:numFmt w:val="bullet"/>
      <w:lvlText w:val="•"/>
      <w:lvlJc w:val="left"/>
      <w:pPr>
        <w:ind w:left="1780" w:hanging="360"/>
      </w:pPr>
      <w:rPr>
        <w:rFonts w:hint="default"/>
      </w:rPr>
    </w:lvl>
    <w:lvl w:ilvl="3" w:tplc="32CAEDBE">
      <w:numFmt w:val="bullet"/>
      <w:lvlText w:val="•"/>
      <w:lvlJc w:val="left"/>
      <w:pPr>
        <w:ind w:left="2721" w:hanging="360"/>
      </w:pPr>
      <w:rPr>
        <w:rFonts w:hint="default"/>
      </w:rPr>
    </w:lvl>
    <w:lvl w:ilvl="4" w:tplc="3EF6E306">
      <w:numFmt w:val="bullet"/>
      <w:lvlText w:val="•"/>
      <w:lvlJc w:val="left"/>
      <w:pPr>
        <w:ind w:left="3662" w:hanging="360"/>
      </w:pPr>
      <w:rPr>
        <w:rFonts w:hint="default"/>
      </w:rPr>
    </w:lvl>
    <w:lvl w:ilvl="5" w:tplc="F0BE667C">
      <w:numFmt w:val="bullet"/>
      <w:lvlText w:val="•"/>
      <w:lvlJc w:val="left"/>
      <w:pPr>
        <w:ind w:left="4602" w:hanging="360"/>
      </w:pPr>
      <w:rPr>
        <w:rFonts w:hint="default"/>
      </w:rPr>
    </w:lvl>
    <w:lvl w:ilvl="6" w:tplc="080E8112">
      <w:numFmt w:val="bullet"/>
      <w:lvlText w:val="•"/>
      <w:lvlJc w:val="left"/>
      <w:pPr>
        <w:ind w:left="5543" w:hanging="360"/>
      </w:pPr>
      <w:rPr>
        <w:rFonts w:hint="default"/>
      </w:rPr>
    </w:lvl>
    <w:lvl w:ilvl="7" w:tplc="F1BE8974">
      <w:numFmt w:val="bullet"/>
      <w:lvlText w:val="•"/>
      <w:lvlJc w:val="left"/>
      <w:pPr>
        <w:ind w:left="6484" w:hanging="360"/>
      </w:pPr>
      <w:rPr>
        <w:rFonts w:hint="default"/>
      </w:rPr>
    </w:lvl>
    <w:lvl w:ilvl="8" w:tplc="A0BA879C">
      <w:numFmt w:val="bullet"/>
      <w:lvlText w:val="•"/>
      <w:lvlJc w:val="left"/>
      <w:pPr>
        <w:ind w:left="7424"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2F3704"/>
    <w:rsid w:val="00023682"/>
    <w:rsid w:val="00046AD8"/>
    <w:rsid w:val="00187753"/>
    <w:rsid w:val="001F5F62"/>
    <w:rsid w:val="002F3704"/>
    <w:rsid w:val="0046799E"/>
    <w:rsid w:val="00486E22"/>
    <w:rsid w:val="004D0651"/>
    <w:rsid w:val="004D7EA0"/>
    <w:rsid w:val="005816E2"/>
    <w:rsid w:val="005E6F34"/>
    <w:rsid w:val="006C2124"/>
    <w:rsid w:val="0073766B"/>
    <w:rsid w:val="008024F3"/>
    <w:rsid w:val="00903209"/>
    <w:rsid w:val="009837EE"/>
    <w:rsid w:val="00B35E04"/>
    <w:rsid w:val="00B916E7"/>
    <w:rsid w:val="00C67BDF"/>
    <w:rsid w:val="00DA5F96"/>
    <w:rsid w:val="00FD7198"/>
    <w:rsid w:val="00FF0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A1319"/>
  <w15:docId w15:val="{DA411649-D457-4D6F-88EE-4DE109D1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Titre1">
    <w:name w:val="heading 1"/>
    <w:basedOn w:val="Normal"/>
    <w:uiPriority w:val="9"/>
    <w:qFormat/>
    <w:pPr>
      <w:ind w:left="116"/>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spacing w:before="20"/>
      <w:ind w:left="836" w:hanging="360"/>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C67BDF"/>
    <w:pPr>
      <w:tabs>
        <w:tab w:val="center" w:pos="4536"/>
        <w:tab w:val="right" w:pos="9072"/>
      </w:tabs>
    </w:pPr>
  </w:style>
  <w:style w:type="character" w:customStyle="1" w:styleId="En-tteCar">
    <w:name w:val="En-tête Car"/>
    <w:basedOn w:val="Policepardfaut"/>
    <w:link w:val="En-tte"/>
    <w:uiPriority w:val="99"/>
    <w:rsid w:val="00C67BDF"/>
    <w:rPr>
      <w:rFonts w:ascii="Times New Roman" w:eastAsia="Times New Roman" w:hAnsi="Times New Roman" w:cs="Times New Roman"/>
    </w:rPr>
  </w:style>
  <w:style w:type="paragraph" w:styleId="Pieddepage">
    <w:name w:val="footer"/>
    <w:basedOn w:val="Normal"/>
    <w:link w:val="PieddepageCar"/>
    <w:uiPriority w:val="99"/>
    <w:unhideWhenUsed/>
    <w:rsid w:val="00C67BDF"/>
    <w:pPr>
      <w:tabs>
        <w:tab w:val="center" w:pos="4536"/>
        <w:tab w:val="right" w:pos="9072"/>
      </w:tabs>
    </w:pPr>
  </w:style>
  <w:style w:type="character" w:customStyle="1" w:styleId="PieddepageCar">
    <w:name w:val="Pied de page Car"/>
    <w:basedOn w:val="Policepardfaut"/>
    <w:link w:val="Pieddepage"/>
    <w:uiPriority w:val="99"/>
    <w:rsid w:val="00C67BDF"/>
    <w:rPr>
      <w:rFonts w:ascii="Times New Roman" w:eastAsia="Times New Roman" w:hAnsi="Times New Roman" w:cs="Times New Roman"/>
    </w:rPr>
  </w:style>
  <w:style w:type="paragraph" w:styleId="Textedebulles">
    <w:name w:val="Balloon Text"/>
    <w:basedOn w:val="Normal"/>
    <w:link w:val="TextedebullesCar"/>
    <w:uiPriority w:val="99"/>
    <w:semiHidden/>
    <w:unhideWhenUsed/>
    <w:rsid w:val="009837EE"/>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37EE"/>
    <w:rPr>
      <w:rFonts w:ascii="Segoe UI" w:eastAsia="Times New Roman" w:hAnsi="Segoe UI" w:cs="Segoe UI"/>
      <w:sz w:val="18"/>
      <w:szCs w:val="18"/>
    </w:rPr>
  </w:style>
  <w:style w:type="paragraph" w:styleId="Rvision">
    <w:name w:val="Revision"/>
    <w:hidden/>
    <w:uiPriority w:val="99"/>
    <w:semiHidden/>
    <w:rsid w:val="005816E2"/>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075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engel@ku.edu" TargetMode="External"/><Relationship Id="rId13" Type="http://schemas.openxmlformats.org/officeDocument/2006/relationships/image" Target="media/image2.jpeg"/><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7.xm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7.png"/><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image" Target="media/image9.png"/><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935AC-1C27-41F4-9982-9EBECC0C5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12</Pages>
  <Words>1416</Words>
  <Characters>7789</Characters>
  <Application>Microsoft Office Word</Application>
  <DocSecurity>0</DocSecurity>
  <Lines>64</Lines>
  <Paragraphs>18</Paragraphs>
  <ScaleCrop>false</ScaleCrop>
  <Company/>
  <LinksUpToDate>false</LinksUpToDate>
  <CharactersWithSpaces>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dc:creator>
  <cp:lastModifiedBy>DSD</cp:lastModifiedBy>
  <cp:revision>21</cp:revision>
  <dcterms:created xsi:type="dcterms:W3CDTF">2022-06-17T19:40:00Z</dcterms:created>
  <dcterms:modified xsi:type="dcterms:W3CDTF">2022-07-16T13:39:00Z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2021-01-06T00:00:00Z</vt:filetime>
  </property>
  <property fmtid="{D5CDD505-2E9C-101B-9397-08002B2CF9AE}" pid="3" name="Creator">
    <vt:lpwstr>Microsoft® Word for Microsoft 365</vt:lpwstr>
  </property>
  <property fmtid="{D5CDD505-2E9C-101B-9397-08002B2CF9AE}" pid="4" name="LastSaved">
    <vt:filetime>2022-06-17T00:00:00Z</vt:filetime>
  </property>
</Properties>
</file>