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33822" w14:textId="77777777" w:rsidR="00886C9D" w:rsidRPr="00AA4ADA" w:rsidRDefault="00886C9D" w:rsidP="00886C9D">
      <w:pPr>
        <w:spacing w:line="360" w:lineRule="auto"/>
        <w:rPr>
          <w:rFonts w:ascii="Times" w:hAnsi="Times"/>
          <w:color w:val="000000" w:themeColor="text1"/>
          <w:lang w:val="en-US"/>
        </w:rPr>
      </w:pPr>
      <w:r w:rsidRPr="00AA4ADA">
        <w:rPr>
          <w:rFonts w:ascii="Times" w:hAnsi="Times"/>
          <w:color w:val="000000" w:themeColor="text1"/>
          <w:lang w:val="en-US"/>
        </w:rPr>
        <w:t xml:space="preserve">Supply table 1. </w:t>
      </w:r>
      <w:r>
        <w:rPr>
          <w:rFonts w:ascii="Times" w:hAnsi="Times"/>
          <w:color w:val="000000" w:themeColor="text1"/>
          <w:lang w:val="en-US"/>
        </w:rPr>
        <w:t>Information, d</w:t>
      </w:r>
      <w:r w:rsidRPr="00411B32">
        <w:rPr>
          <w:rFonts w:ascii="Times" w:hAnsi="Times"/>
          <w:color w:val="000000" w:themeColor="text1"/>
          <w:lang w:val="en-US"/>
        </w:rPr>
        <w:t>ata sources</w:t>
      </w:r>
      <w:r>
        <w:rPr>
          <w:rFonts w:ascii="Times" w:hAnsi="Times"/>
          <w:color w:val="000000" w:themeColor="text1"/>
          <w:lang w:val="en-US"/>
        </w:rPr>
        <w:t xml:space="preserve"> and </w:t>
      </w:r>
      <w:r w:rsidRPr="00B45B1C">
        <w:rPr>
          <w:rFonts w:ascii="Times" w:hAnsi="Times"/>
          <w:color w:val="000000" w:themeColor="text1"/>
          <w:lang w:val="en-US"/>
        </w:rPr>
        <w:t>definitions</w:t>
      </w:r>
      <w:r>
        <w:rPr>
          <w:rFonts w:ascii="Times" w:hAnsi="Times"/>
          <w:color w:val="000000" w:themeColor="text1"/>
          <w:lang w:val="en-US"/>
        </w:rPr>
        <w:t xml:space="preserve"> of</w:t>
      </w:r>
      <w:r w:rsidRPr="00B45B1C">
        <w:rPr>
          <w:rFonts w:ascii="Times" w:hAnsi="Times"/>
          <w:color w:val="000000" w:themeColor="text1"/>
          <w:lang w:val="en-US"/>
        </w:rPr>
        <w:t xml:space="preserve"> model covariates</w:t>
      </w:r>
      <w:r w:rsidRPr="00AA4ADA">
        <w:rPr>
          <w:rFonts w:ascii="Times" w:hAnsi="Times"/>
          <w:color w:val="000000" w:themeColor="text1"/>
          <w:lang w:val="en-US"/>
        </w:rPr>
        <w:t xml:space="preserve">. </w:t>
      </w:r>
    </w:p>
    <w:tbl>
      <w:tblPr>
        <w:tblStyle w:val="TableGrid"/>
        <w:tblpPr w:leftFromText="180" w:rightFromText="180" w:vertAnchor="text" w:horzAnchor="margin" w:tblpY="91"/>
        <w:tblW w:w="12981" w:type="dxa"/>
        <w:tblLook w:val="04A0" w:firstRow="1" w:lastRow="0" w:firstColumn="1" w:lastColumn="0" w:noHBand="0" w:noVBand="1"/>
      </w:tblPr>
      <w:tblGrid>
        <w:gridCol w:w="2520"/>
        <w:gridCol w:w="3226"/>
        <w:gridCol w:w="7235"/>
      </w:tblGrid>
      <w:tr w:rsidR="00886C9D" w14:paraId="046B7D6A" w14:textId="77777777" w:rsidTr="0055463F">
        <w:trPr>
          <w:trHeight w:val="178"/>
        </w:trPr>
        <w:tc>
          <w:tcPr>
            <w:tcW w:w="2520" w:type="dxa"/>
          </w:tcPr>
          <w:p w14:paraId="43F26392" w14:textId="77777777" w:rsidR="00886C9D" w:rsidRPr="00DC5AB1" w:rsidRDefault="00886C9D" w:rsidP="0055463F">
            <w:pPr>
              <w:spacing w:line="360" w:lineRule="auto"/>
              <w:rPr>
                <w:rFonts w:ascii="Times" w:hAnsi="Times"/>
                <w:b/>
                <w:bCs/>
                <w:color w:val="000000" w:themeColor="text1"/>
                <w:lang w:val="en-US"/>
              </w:rPr>
            </w:pPr>
            <w:r w:rsidRPr="00DC5AB1">
              <w:rPr>
                <w:rFonts w:ascii="Times" w:hAnsi="Times"/>
                <w:b/>
                <w:bCs/>
                <w:color w:val="000000" w:themeColor="text1"/>
                <w:lang w:val="en-US"/>
              </w:rPr>
              <w:t>Variable</w:t>
            </w:r>
          </w:p>
        </w:tc>
        <w:tc>
          <w:tcPr>
            <w:tcW w:w="3226" w:type="dxa"/>
          </w:tcPr>
          <w:p w14:paraId="44E2B613" w14:textId="77777777" w:rsidR="00886C9D" w:rsidRPr="00DC5AB1" w:rsidRDefault="00886C9D" w:rsidP="0055463F">
            <w:pPr>
              <w:spacing w:line="360" w:lineRule="auto"/>
              <w:rPr>
                <w:rFonts w:ascii="Times" w:hAnsi="Times"/>
                <w:b/>
                <w:bCs/>
                <w:color w:val="000000" w:themeColor="text1"/>
                <w:lang w:val="en-US"/>
              </w:rPr>
            </w:pPr>
            <w:r w:rsidRPr="00DC5AB1">
              <w:rPr>
                <w:rFonts w:ascii="Times" w:hAnsi="Times"/>
                <w:b/>
                <w:bCs/>
                <w:color w:val="000000" w:themeColor="text1"/>
                <w:lang w:val="en-US"/>
              </w:rPr>
              <w:t>Source</w:t>
            </w:r>
          </w:p>
        </w:tc>
        <w:tc>
          <w:tcPr>
            <w:tcW w:w="7235" w:type="dxa"/>
          </w:tcPr>
          <w:p w14:paraId="486FCF2B" w14:textId="77777777" w:rsidR="00886C9D" w:rsidRPr="00DC5AB1" w:rsidRDefault="00886C9D" w:rsidP="0055463F">
            <w:pPr>
              <w:spacing w:line="360" w:lineRule="auto"/>
              <w:rPr>
                <w:rFonts w:ascii="Times" w:hAnsi="Times"/>
                <w:b/>
                <w:bCs/>
                <w:color w:val="000000" w:themeColor="text1"/>
                <w:lang w:val="en-US"/>
              </w:rPr>
            </w:pPr>
            <w:r w:rsidRPr="00DC5AB1">
              <w:rPr>
                <w:rFonts w:ascii="Times" w:hAnsi="Times"/>
                <w:b/>
                <w:bCs/>
                <w:color w:val="000000" w:themeColor="text1"/>
                <w:lang w:val="en-US"/>
              </w:rPr>
              <w:t xml:space="preserve">Definition </w:t>
            </w:r>
          </w:p>
        </w:tc>
      </w:tr>
      <w:tr w:rsidR="00886C9D" w14:paraId="38EC3FDE" w14:textId="77777777" w:rsidTr="0055463F">
        <w:trPr>
          <w:trHeight w:val="517"/>
        </w:trPr>
        <w:tc>
          <w:tcPr>
            <w:tcW w:w="2520" w:type="dxa"/>
          </w:tcPr>
          <w:p w14:paraId="2AB7085A"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Artificial feeding</w:t>
            </w:r>
          </w:p>
        </w:tc>
        <w:tc>
          <w:tcPr>
            <w:tcW w:w="3226" w:type="dxa"/>
          </w:tcPr>
          <w:p w14:paraId="4AC82B0D"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7C288110"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Infant is fed formula.</w:t>
            </w:r>
          </w:p>
        </w:tc>
      </w:tr>
      <w:tr w:rsidR="00886C9D" w:rsidRPr="002A24FF" w14:paraId="57969BBE" w14:textId="77777777" w:rsidTr="0055463F">
        <w:trPr>
          <w:trHeight w:val="527"/>
        </w:trPr>
        <w:tc>
          <w:tcPr>
            <w:tcW w:w="2520" w:type="dxa"/>
          </w:tcPr>
          <w:p w14:paraId="5A5B07A1"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Breast Feeding</w:t>
            </w:r>
          </w:p>
        </w:tc>
        <w:tc>
          <w:tcPr>
            <w:tcW w:w="3226" w:type="dxa"/>
          </w:tcPr>
          <w:p w14:paraId="71409F79"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5732EC0D"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Exclusive breastfeeding within 6 months of birth was recorded as breastfeeding.</w:t>
            </w:r>
          </w:p>
        </w:tc>
      </w:tr>
      <w:tr w:rsidR="00886C9D" w:rsidRPr="002A24FF" w14:paraId="2E031ABA" w14:textId="77777777" w:rsidTr="0055463F">
        <w:trPr>
          <w:trHeight w:val="517"/>
        </w:trPr>
        <w:tc>
          <w:tcPr>
            <w:tcW w:w="2520" w:type="dxa"/>
          </w:tcPr>
          <w:p w14:paraId="47E1ACE0"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 xml:space="preserve">Induced labor </w:t>
            </w:r>
          </w:p>
        </w:tc>
        <w:tc>
          <w:tcPr>
            <w:tcW w:w="3226" w:type="dxa"/>
          </w:tcPr>
          <w:p w14:paraId="37B1F9F2"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41CE9A52"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Induced labour is a medical treatment to start labour.</w:t>
            </w:r>
          </w:p>
        </w:tc>
      </w:tr>
      <w:tr w:rsidR="00886C9D" w:rsidRPr="002A24FF" w14:paraId="4DE5F33B" w14:textId="77777777" w:rsidTr="0055463F">
        <w:trPr>
          <w:trHeight w:val="697"/>
        </w:trPr>
        <w:tc>
          <w:tcPr>
            <w:tcW w:w="2520" w:type="dxa"/>
          </w:tcPr>
          <w:p w14:paraId="48250A5E"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Information on mother-child pairs</w:t>
            </w:r>
          </w:p>
        </w:tc>
        <w:tc>
          <w:tcPr>
            <w:tcW w:w="3226" w:type="dxa"/>
          </w:tcPr>
          <w:p w14:paraId="500B85D9"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651ABD88"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One mother corresponds to one baby after removing confounding factors.</w:t>
            </w:r>
          </w:p>
        </w:tc>
      </w:tr>
      <w:tr w:rsidR="00886C9D" w:rsidRPr="002A24FF" w14:paraId="74E140ED" w14:textId="77777777" w:rsidTr="0055463F">
        <w:trPr>
          <w:trHeight w:val="687"/>
        </w:trPr>
        <w:tc>
          <w:tcPr>
            <w:tcW w:w="2520" w:type="dxa"/>
          </w:tcPr>
          <w:p w14:paraId="09B0FCB2"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Maternal pre-pregnacy BMI</w:t>
            </w:r>
          </w:p>
        </w:tc>
        <w:tc>
          <w:tcPr>
            <w:tcW w:w="3226" w:type="dxa"/>
          </w:tcPr>
          <w:p w14:paraId="65DAFF78"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1D879163"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Prepregnancy BMI was calculated and categorized: underweight (BMI &lt;18.5), normal weight (BMI 18.5–24.9), overweight (BMI 25.0–29.9), obese class I (BMI 30.0–34.9), and obese class II/III (BMI ≥35.0).</w:t>
            </w:r>
          </w:p>
        </w:tc>
      </w:tr>
      <w:tr w:rsidR="00886C9D" w:rsidRPr="002A24FF" w14:paraId="443BDEE4" w14:textId="77777777" w:rsidTr="0055463F">
        <w:trPr>
          <w:trHeight w:val="697"/>
        </w:trPr>
        <w:tc>
          <w:tcPr>
            <w:tcW w:w="2520" w:type="dxa"/>
          </w:tcPr>
          <w:p w14:paraId="0084CC9F" w14:textId="77777777" w:rsidR="00886C9D" w:rsidRDefault="00886C9D" w:rsidP="0055463F">
            <w:pPr>
              <w:spacing w:line="360" w:lineRule="auto"/>
              <w:rPr>
                <w:rFonts w:ascii="Times" w:eastAsiaTheme="minorEastAsia" w:hAnsi="Times" w:cs="Times"/>
                <w:b/>
                <w:bCs/>
                <w:color w:val="000000"/>
                <w:lang w:val="en-US"/>
              </w:rPr>
            </w:pPr>
            <w:r>
              <w:rPr>
                <w:rFonts w:ascii="Times" w:eastAsiaTheme="minorEastAsia" w:hAnsi="Times" w:cs="Times"/>
                <w:b/>
                <w:bCs/>
                <w:color w:val="000000"/>
                <w:lang w:val="en-US"/>
              </w:rPr>
              <w:t xml:space="preserve">Miscarriage </w:t>
            </w:r>
          </w:p>
        </w:tc>
        <w:tc>
          <w:tcPr>
            <w:tcW w:w="3226" w:type="dxa"/>
          </w:tcPr>
          <w:p w14:paraId="01AAA171"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0A002FF1"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Miscarriage is defined as a baby dies in the womb before 20 weeks of pregnancy.</w:t>
            </w:r>
          </w:p>
        </w:tc>
      </w:tr>
      <w:tr w:rsidR="00886C9D" w:rsidRPr="002A24FF" w14:paraId="226B372E" w14:textId="77777777" w:rsidTr="0055463F">
        <w:trPr>
          <w:trHeight w:val="677"/>
        </w:trPr>
        <w:tc>
          <w:tcPr>
            <w:tcW w:w="2520" w:type="dxa"/>
          </w:tcPr>
          <w:p w14:paraId="47E2B414"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Mixed feeding</w:t>
            </w:r>
          </w:p>
        </w:tc>
        <w:tc>
          <w:tcPr>
            <w:tcW w:w="3226" w:type="dxa"/>
          </w:tcPr>
          <w:p w14:paraId="5F234F89"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68AF26AA"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Mixed feeding is when a baby is fed formula as well as breastmilk.</w:t>
            </w:r>
          </w:p>
        </w:tc>
      </w:tr>
      <w:tr w:rsidR="00886C9D" w:rsidRPr="002A24FF" w14:paraId="20E195E2" w14:textId="77777777" w:rsidTr="0055463F">
        <w:trPr>
          <w:trHeight w:val="527"/>
        </w:trPr>
        <w:tc>
          <w:tcPr>
            <w:tcW w:w="2520" w:type="dxa"/>
          </w:tcPr>
          <w:p w14:paraId="06309703"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Multipara</w:t>
            </w:r>
          </w:p>
        </w:tc>
        <w:tc>
          <w:tcPr>
            <w:tcW w:w="3226" w:type="dxa"/>
          </w:tcPr>
          <w:p w14:paraId="111E0384"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4779A5FC"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more than one pregnancy resulting in viable offspring.</w:t>
            </w:r>
          </w:p>
        </w:tc>
      </w:tr>
      <w:tr w:rsidR="00886C9D" w:rsidRPr="002A24FF" w14:paraId="1577836D" w14:textId="77777777" w:rsidTr="0055463F">
        <w:trPr>
          <w:trHeight w:val="517"/>
        </w:trPr>
        <w:tc>
          <w:tcPr>
            <w:tcW w:w="2520" w:type="dxa"/>
          </w:tcPr>
          <w:p w14:paraId="093FB0B5"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Parity</w:t>
            </w:r>
          </w:p>
        </w:tc>
        <w:tc>
          <w:tcPr>
            <w:tcW w:w="3226" w:type="dxa"/>
          </w:tcPr>
          <w:p w14:paraId="6B6ACCAB"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7B3AAFCF"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The number of times that she has given birth to a fetus with a gestational age of 24 weeks or more, regardless of whether the child was born alive or was stillborn.</w:t>
            </w:r>
          </w:p>
        </w:tc>
      </w:tr>
      <w:tr w:rsidR="00886C9D" w:rsidRPr="002A24FF" w14:paraId="7109ECAB" w14:textId="77777777" w:rsidTr="0055463F">
        <w:trPr>
          <w:trHeight w:val="517"/>
        </w:trPr>
        <w:tc>
          <w:tcPr>
            <w:tcW w:w="2520" w:type="dxa"/>
          </w:tcPr>
          <w:p w14:paraId="24F99D61"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 xml:space="preserve">Primipara </w:t>
            </w:r>
          </w:p>
        </w:tc>
        <w:tc>
          <w:tcPr>
            <w:tcW w:w="3226" w:type="dxa"/>
          </w:tcPr>
          <w:p w14:paraId="17174F3C"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74475EBA"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Only one pregnancy resulting in viable offspring.</w:t>
            </w:r>
          </w:p>
        </w:tc>
      </w:tr>
      <w:tr w:rsidR="00886C9D" w:rsidRPr="002A24FF" w14:paraId="5F62449F" w14:textId="77777777" w:rsidTr="0055463F">
        <w:trPr>
          <w:trHeight w:val="348"/>
        </w:trPr>
        <w:tc>
          <w:tcPr>
            <w:tcW w:w="2520" w:type="dxa"/>
          </w:tcPr>
          <w:p w14:paraId="24C959ED"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Weight of birth</w:t>
            </w:r>
          </w:p>
        </w:tc>
        <w:tc>
          <w:tcPr>
            <w:tcW w:w="3226" w:type="dxa"/>
          </w:tcPr>
          <w:p w14:paraId="5B8BB209"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Labor room delivery summary</w:t>
            </w:r>
          </w:p>
        </w:tc>
        <w:tc>
          <w:tcPr>
            <w:tcW w:w="7235" w:type="dxa"/>
          </w:tcPr>
          <w:p w14:paraId="1939F46A"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As reported, the body weight of a baby at its birth.</w:t>
            </w:r>
          </w:p>
        </w:tc>
      </w:tr>
      <w:tr w:rsidR="00886C9D" w14:paraId="0F917FD5" w14:textId="77777777" w:rsidTr="0055463F">
        <w:trPr>
          <w:trHeight w:val="358"/>
        </w:trPr>
        <w:tc>
          <w:tcPr>
            <w:tcW w:w="2520" w:type="dxa"/>
          </w:tcPr>
          <w:p w14:paraId="57EF77DA"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GBS colonization</w:t>
            </w:r>
          </w:p>
        </w:tc>
        <w:tc>
          <w:tcPr>
            <w:tcW w:w="3226" w:type="dxa"/>
          </w:tcPr>
          <w:p w14:paraId="18D5DC36"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5F6DBA50"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GBS colonization was determined according to the screening results of prenatal GBS-PCR. A positive test indicates maternal GBS colonization.</w:t>
            </w:r>
          </w:p>
        </w:tc>
      </w:tr>
      <w:tr w:rsidR="00886C9D" w:rsidRPr="002A24FF" w14:paraId="7BE15333" w14:textId="77777777" w:rsidTr="0055463F">
        <w:trPr>
          <w:trHeight w:val="517"/>
        </w:trPr>
        <w:tc>
          <w:tcPr>
            <w:tcW w:w="2520" w:type="dxa"/>
          </w:tcPr>
          <w:p w14:paraId="5BE1D004"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Gestational age</w:t>
            </w:r>
          </w:p>
        </w:tc>
        <w:tc>
          <w:tcPr>
            <w:tcW w:w="3226" w:type="dxa"/>
          </w:tcPr>
          <w:p w14:paraId="00F607CB"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79959E28"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Gestational age is a measure of the age of a pregnancy which is taken from the beginning of the woman's last menstrual period.</w:t>
            </w:r>
          </w:p>
        </w:tc>
      </w:tr>
      <w:tr w:rsidR="00886C9D" w:rsidRPr="002A24FF" w14:paraId="66D54D28" w14:textId="77777777" w:rsidTr="0055463F">
        <w:trPr>
          <w:trHeight w:val="517"/>
        </w:trPr>
        <w:tc>
          <w:tcPr>
            <w:tcW w:w="2520" w:type="dxa"/>
          </w:tcPr>
          <w:p w14:paraId="0E41BBD9"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lastRenderedPageBreak/>
              <w:t>IAP</w:t>
            </w:r>
          </w:p>
        </w:tc>
        <w:tc>
          <w:tcPr>
            <w:tcW w:w="3226" w:type="dxa"/>
          </w:tcPr>
          <w:p w14:paraId="0AD0321A"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701EC0BF"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 xml:space="preserve">Those pregnant mothers with GBS positive received IAP at the onset of labor or at the time of rupture of membranes, whiles antibiotics are not required for those with cesarean section. </w:t>
            </w:r>
            <w:r>
              <w:rPr>
                <w:rFonts w:eastAsiaTheme="minorEastAsia"/>
                <w:color w:val="000000"/>
                <w:lang w:val="en-US"/>
              </w:rPr>
              <w:t xml:space="preserve"> P</w:t>
            </w:r>
            <w:r>
              <w:rPr>
                <w:rFonts w:ascii="Times" w:eastAsiaTheme="minorEastAsia" w:hAnsi="Times" w:cs="Times"/>
                <w:color w:val="000000"/>
                <w:lang w:val="en-US"/>
              </w:rPr>
              <w:t>enicillin G or ampicillin, or cefazolin were being administered ≥4 hours before delivery.</w:t>
            </w:r>
          </w:p>
        </w:tc>
      </w:tr>
      <w:tr w:rsidR="00886C9D" w:rsidRPr="002A24FF" w14:paraId="791A7567" w14:textId="77777777" w:rsidTr="0055463F">
        <w:trPr>
          <w:trHeight w:val="527"/>
        </w:trPr>
        <w:tc>
          <w:tcPr>
            <w:tcW w:w="2520" w:type="dxa"/>
          </w:tcPr>
          <w:p w14:paraId="1FFDD56B"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Infant diseases</w:t>
            </w:r>
          </w:p>
        </w:tc>
        <w:tc>
          <w:tcPr>
            <w:tcW w:w="3226" w:type="dxa"/>
          </w:tcPr>
          <w:p w14:paraId="67F13433"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2B6C6990"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Newborns with major birth abnormalities or congenital developmental malformations that may lead to chronic disease.</w:t>
            </w:r>
          </w:p>
        </w:tc>
      </w:tr>
      <w:tr w:rsidR="00886C9D" w:rsidRPr="002A24FF" w14:paraId="77738EEF" w14:textId="77777777" w:rsidTr="0055463F">
        <w:trPr>
          <w:trHeight w:val="517"/>
        </w:trPr>
        <w:tc>
          <w:tcPr>
            <w:tcW w:w="2520" w:type="dxa"/>
          </w:tcPr>
          <w:p w14:paraId="0716E430"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Maternal age</w:t>
            </w:r>
          </w:p>
        </w:tc>
        <w:tc>
          <w:tcPr>
            <w:tcW w:w="3226" w:type="dxa"/>
          </w:tcPr>
          <w:p w14:paraId="143CAAFB"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767812BB"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The age of the mother at the time of delivery.</w:t>
            </w:r>
          </w:p>
        </w:tc>
      </w:tr>
      <w:tr w:rsidR="00886C9D" w:rsidRPr="002A24FF" w14:paraId="0A105477" w14:textId="77777777" w:rsidTr="0055463F">
        <w:trPr>
          <w:trHeight w:val="527"/>
        </w:trPr>
        <w:tc>
          <w:tcPr>
            <w:tcW w:w="2520" w:type="dxa"/>
          </w:tcPr>
          <w:p w14:paraId="273F6288"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Maternal intrapartum antibiotics</w:t>
            </w:r>
          </w:p>
        </w:tc>
        <w:tc>
          <w:tcPr>
            <w:tcW w:w="3226" w:type="dxa"/>
          </w:tcPr>
          <w:p w14:paraId="45B3D10D"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1E67AACE"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The antibiotics assumed by pregnant women according to the medical records.</w:t>
            </w:r>
          </w:p>
        </w:tc>
      </w:tr>
      <w:tr w:rsidR="00886C9D" w:rsidRPr="002A24FF" w14:paraId="28D702C0" w14:textId="77777777" w:rsidTr="0055463F">
        <w:trPr>
          <w:trHeight w:val="348"/>
        </w:trPr>
        <w:tc>
          <w:tcPr>
            <w:tcW w:w="2520" w:type="dxa"/>
          </w:tcPr>
          <w:p w14:paraId="2F85127A"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Mother's allergy disease history</w:t>
            </w:r>
          </w:p>
        </w:tc>
        <w:tc>
          <w:tcPr>
            <w:tcW w:w="3226" w:type="dxa"/>
          </w:tcPr>
          <w:p w14:paraId="1F22A378"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0EE60192"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The records of conditions caused by hypersensitivity of the immune system for the pregnant mother.</w:t>
            </w:r>
          </w:p>
        </w:tc>
      </w:tr>
      <w:tr w:rsidR="00886C9D" w:rsidRPr="002A24FF" w14:paraId="39FD167C" w14:textId="77777777" w:rsidTr="0055463F">
        <w:trPr>
          <w:trHeight w:val="517"/>
        </w:trPr>
        <w:tc>
          <w:tcPr>
            <w:tcW w:w="2520" w:type="dxa"/>
          </w:tcPr>
          <w:p w14:paraId="5B9148E1"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Neuropsychiatric disorders</w:t>
            </w:r>
          </w:p>
        </w:tc>
        <w:tc>
          <w:tcPr>
            <w:tcW w:w="3226" w:type="dxa"/>
          </w:tcPr>
          <w:p w14:paraId="6FA5C45D"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456B21D1" w14:textId="77777777" w:rsidR="00886C9D" w:rsidRDefault="00886C9D" w:rsidP="0055463F">
            <w:pPr>
              <w:spacing w:line="360" w:lineRule="auto"/>
              <w:rPr>
                <w:rFonts w:ascii="Times" w:hAnsi="Times"/>
                <w:color w:val="000000" w:themeColor="text1"/>
                <w:lang w:val="en-US"/>
              </w:rPr>
            </w:pPr>
            <w:r>
              <w:rPr>
                <w:rFonts w:ascii="Calibri" w:eastAsiaTheme="minorEastAsia" w:hAnsi="Calibri" w:cs="Calibri"/>
                <w:color w:val="0066CC"/>
                <w:u w:val="single"/>
                <w:lang w:val="en-US"/>
              </w:rPr>
              <w:t xml:space="preserve">https://www.nicklauschildrens.org/conditions/neuropsychiatric-disorders </w:t>
            </w:r>
          </w:p>
        </w:tc>
      </w:tr>
      <w:tr w:rsidR="00886C9D" w:rsidRPr="002A24FF" w14:paraId="5C9C2CAD" w14:textId="77777777" w:rsidTr="0055463F">
        <w:trPr>
          <w:trHeight w:val="358"/>
        </w:trPr>
        <w:tc>
          <w:tcPr>
            <w:tcW w:w="2520" w:type="dxa"/>
          </w:tcPr>
          <w:p w14:paraId="3D54586E"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With IAP</w:t>
            </w:r>
          </w:p>
        </w:tc>
        <w:tc>
          <w:tcPr>
            <w:tcW w:w="3226" w:type="dxa"/>
          </w:tcPr>
          <w:p w14:paraId="67D15571"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Maternal medical record</w:t>
            </w:r>
          </w:p>
        </w:tc>
        <w:tc>
          <w:tcPr>
            <w:tcW w:w="7235" w:type="dxa"/>
          </w:tcPr>
          <w:p w14:paraId="64C7B5F4"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Those pregnant mothers with GBS positive received IAP treatment.</w:t>
            </w:r>
          </w:p>
        </w:tc>
      </w:tr>
      <w:tr w:rsidR="00886C9D" w:rsidRPr="002A24FF" w14:paraId="3042A0E4" w14:textId="77777777" w:rsidTr="0055463F">
        <w:trPr>
          <w:trHeight w:val="348"/>
        </w:trPr>
        <w:tc>
          <w:tcPr>
            <w:tcW w:w="2520" w:type="dxa"/>
          </w:tcPr>
          <w:p w14:paraId="6E6ADD49"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 xml:space="preserve">Antibiotics </w:t>
            </w:r>
            <w:r>
              <w:rPr>
                <w:rFonts w:eastAsiaTheme="minorEastAsia"/>
                <w:b/>
                <w:bCs/>
                <w:color w:val="000000"/>
                <w:lang w:val="en-US"/>
              </w:rPr>
              <w:t>use</w:t>
            </w:r>
            <w:r>
              <w:rPr>
                <w:rFonts w:ascii="Times" w:eastAsiaTheme="minorEastAsia" w:hAnsi="Times" w:cs="Times"/>
                <w:color w:val="000000"/>
                <w:lang w:val="en-US"/>
              </w:rPr>
              <w:t xml:space="preserve"> </w:t>
            </w:r>
            <w:r>
              <w:rPr>
                <w:rFonts w:ascii="Times" w:eastAsiaTheme="minorEastAsia" w:hAnsi="Times" w:cs="Times"/>
                <w:b/>
                <w:bCs/>
                <w:color w:val="000000"/>
                <w:lang w:val="en-US"/>
              </w:rPr>
              <w:t>within 72 hours after birth</w:t>
            </w:r>
          </w:p>
        </w:tc>
        <w:tc>
          <w:tcPr>
            <w:tcW w:w="3226" w:type="dxa"/>
          </w:tcPr>
          <w:p w14:paraId="14B81DB4"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Pediatric medical record</w:t>
            </w:r>
          </w:p>
        </w:tc>
        <w:tc>
          <w:tcPr>
            <w:tcW w:w="7235" w:type="dxa"/>
          </w:tcPr>
          <w:p w14:paraId="76583052"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According to the medical records that whether the newborn has assumed antibiotics within 72 hours after birth.</w:t>
            </w:r>
          </w:p>
        </w:tc>
      </w:tr>
      <w:tr w:rsidR="00886C9D" w:rsidRPr="002A24FF" w14:paraId="41E98474" w14:textId="77777777" w:rsidTr="0055463F">
        <w:trPr>
          <w:trHeight w:val="517"/>
        </w:trPr>
        <w:tc>
          <w:tcPr>
            <w:tcW w:w="2520" w:type="dxa"/>
          </w:tcPr>
          <w:p w14:paraId="07232246"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Keeping pets</w:t>
            </w:r>
          </w:p>
        </w:tc>
        <w:tc>
          <w:tcPr>
            <w:tcW w:w="3226" w:type="dxa"/>
          </w:tcPr>
          <w:p w14:paraId="69E689EE"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Questionnaire conducted in labor room</w:t>
            </w:r>
          </w:p>
        </w:tc>
        <w:tc>
          <w:tcPr>
            <w:tcW w:w="7235" w:type="dxa"/>
          </w:tcPr>
          <w:p w14:paraId="4C4659A2"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There are pets such as cats and dogs at home.</w:t>
            </w:r>
          </w:p>
        </w:tc>
      </w:tr>
      <w:tr w:rsidR="00886C9D" w14:paraId="1EAD56E5" w14:textId="77777777" w:rsidTr="0055463F">
        <w:trPr>
          <w:trHeight w:val="517"/>
        </w:trPr>
        <w:tc>
          <w:tcPr>
            <w:tcW w:w="2520" w:type="dxa"/>
          </w:tcPr>
          <w:p w14:paraId="368B1F7F"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Mother education level</w:t>
            </w:r>
          </w:p>
        </w:tc>
        <w:tc>
          <w:tcPr>
            <w:tcW w:w="3226" w:type="dxa"/>
          </w:tcPr>
          <w:p w14:paraId="12441E4F"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Questionnaire conducted in labor room</w:t>
            </w:r>
          </w:p>
        </w:tc>
        <w:tc>
          <w:tcPr>
            <w:tcW w:w="7235" w:type="dxa"/>
          </w:tcPr>
          <w:p w14:paraId="5A4B8800"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As reported.</w:t>
            </w:r>
          </w:p>
        </w:tc>
      </w:tr>
      <w:tr w:rsidR="00886C9D" w14:paraId="7636B6A7" w14:textId="77777777" w:rsidTr="0055463F">
        <w:trPr>
          <w:trHeight w:val="527"/>
        </w:trPr>
        <w:tc>
          <w:tcPr>
            <w:tcW w:w="2520" w:type="dxa"/>
          </w:tcPr>
          <w:p w14:paraId="7AEB626F"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 xml:space="preserve">Mother's age </w:t>
            </w:r>
          </w:p>
        </w:tc>
        <w:tc>
          <w:tcPr>
            <w:tcW w:w="3226" w:type="dxa"/>
          </w:tcPr>
          <w:p w14:paraId="332C34F6"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Questionnaire conducted in labor room</w:t>
            </w:r>
          </w:p>
        </w:tc>
        <w:tc>
          <w:tcPr>
            <w:tcW w:w="7235" w:type="dxa"/>
          </w:tcPr>
          <w:p w14:paraId="41F885ED"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As reported.</w:t>
            </w:r>
          </w:p>
        </w:tc>
      </w:tr>
      <w:tr w:rsidR="00886C9D" w:rsidRPr="002A24FF" w14:paraId="1258C189" w14:textId="77777777" w:rsidTr="0055463F">
        <w:trPr>
          <w:trHeight w:val="527"/>
        </w:trPr>
        <w:tc>
          <w:tcPr>
            <w:tcW w:w="2520" w:type="dxa"/>
          </w:tcPr>
          <w:p w14:paraId="2C0A118A" w14:textId="77777777" w:rsidR="00886C9D" w:rsidRPr="00DC5AB1"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Residence time</w:t>
            </w:r>
          </w:p>
        </w:tc>
        <w:tc>
          <w:tcPr>
            <w:tcW w:w="3226" w:type="dxa"/>
          </w:tcPr>
          <w:p w14:paraId="194FB221"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Questionnaire conducted in labor room</w:t>
            </w:r>
          </w:p>
        </w:tc>
        <w:tc>
          <w:tcPr>
            <w:tcW w:w="7235" w:type="dxa"/>
          </w:tcPr>
          <w:p w14:paraId="21714B0C"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Information was recorded according to the resident card.</w:t>
            </w:r>
          </w:p>
        </w:tc>
      </w:tr>
      <w:tr w:rsidR="00886C9D" w:rsidRPr="002A24FF" w14:paraId="13F15E91" w14:textId="77777777" w:rsidTr="0055463F">
        <w:trPr>
          <w:trHeight w:val="517"/>
        </w:trPr>
        <w:tc>
          <w:tcPr>
            <w:tcW w:w="2520" w:type="dxa"/>
          </w:tcPr>
          <w:p w14:paraId="720564C1" w14:textId="77777777" w:rsidR="00886C9D"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t>Smoking</w:t>
            </w:r>
          </w:p>
        </w:tc>
        <w:tc>
          <w:tcPr>
            <w:tcW w:w="3226" w:type="dxa"/>
          </w:tcPr>
          <w:p w14:paraId="53F744F6"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Questionnaire conducted in labor room</w:t>
            </w:r>
          </w:p>
        </w:tc>
        <w:tc>
          <w:tcPr>
            <w:tcW w:w="7235" w:type="dxa"/>
          </w:tcPr>
          <w:p w14:paraId="501D6D27" w14:textId="77777777" w:rsidR="00886C9D" w:rsidRPr="00AA4ADA"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The mother was a smoker during pregnancy and after childbirth.</w:t>
            </w:r>
          </w:p>
        </w:tc>
      </w:tr>
      <w:tr w:rsidR="00886C9D" w:rsidRPr="002A24FF" w14:paraId="50BBECA3" w14:textId="77777777" w:rsidTr="0055463F">
        <w:trPr>
          <w:trHeight w:val="358"/>
        </w:trPr>
        <w:tc>
          <w:tcPr>
            <w:tcW w:w="2520" w:type="dxa"/>
          </w:tcPr>
          <w:p w14:paraId="2DC59BA5" w14:textId="77777777" w:rsidR="00886C9D" w:rsidRDefault="00886C9D" w:rsidP="0055463F">
            <w:pPr>
              <w:spacing w:line="360" w:lineRule="auto"/>
              <w:rPr>
                <w:rFonts w:ascii="Times" w:hAnsi="Times"/>
                <w:b/>
                <w:bCs/>
                <w:color w:val="000000" w:themeColor="text1"/>
                <w:lang w:val="en-US"/>
              </w:rPr>
            </w:pPr>
            <w:r>
              <w:rPr>
                <w:rFonts w:ascii="Times" w:eastAsiaTheme="minorEastAsia" w:hAnsi="Times" w:cs="Times"/>
                <w:b/>
                <w:bCs/>
                <w:color w:val="000000"/>
                <w:lang w:val="en-US"/>
              </w:rPr>
              <w:lastRenderedPageBreak/>
              <w:t>Atopic dermatitis</w:t>
            </w:r>
          </w:p>
        </w:tc>
        <w:tc>
          <w:tcPr>
            <w:tcW w:w="3226" w:type="dxa"/>
          </w:tcPr>
          <w:p w14:paraId="10F0E0E9" w14:textId="77777777" w:rsidR="00886C9D"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 xml:space="preserve">William’s </w:t>
            </w:r>
            <w:r>
              <w:rPr>
                <w:rFonts w:eastAsiaTheme="minorEastAsia"/>
                <w:color w:val="000000"/>
                <w:lang w:val="en-US"/>
              </w:rPr>
              <w:t>criteria</w:t>
            </w:r>
            <w:r>
              <w:rPr>
                <w:rFonts w:ascii="Times" w:eastAsiaTheme="minorEastAsia" w:hAnsi="Times" w:cs="Times"/>
                <w:color w:val="000000"/>
                <w:lang w:val="en-US"/>
              </w:rPr>
              <w:t>, diagnostic codes</w:t>
            </w:r>
          </w:p>
        </w:tc>
        <w:tc>
          <w:tcPr>
            <w:tcW w:w="7235" w:type="dxa"/>
          </w:tcPr>
          <w:p w14:paraId="03F10791" w14:textId="77777777" w:rsidR="00886C9D" w:rsidRPr="00AA4ADA" w:rsidRDefault="00886C9D" w:rsidP="0055463F">
            <w:pPr>
              <w:spacing w:line="360" w:lineRule="auto"/>
              <w:rPr>
                <w:rFonts w:ascii="Times" w:hAnsi="Times"/>
                <w:color w:val="000000" w:themeColor="text1"/>
                <w:lang w:val="en-US"/>
              </w:rPr>
            </w:pPr>
            <w:r>
              <w:rPr>
                <w:rFonts w:ascii="Times" w:eastAsiaTheme="minorEastAsia" w:hAnsi="Times" w:cs="Times"/>
                <w:color w:val="000000"/>
                <w:lang w:val="en-US"/>
              </w:rPr>
              <w:t xml:space="preserve">The diagnostic of AD in infants was confirmed by &gt; 3 criteria according to Williams standards (10), </w:t>
            </w:r>
            <w:r>
              <w:rPr>
                <w:rFonts w:ascii="Cambria Math" w:eastAsiaTheme="minorEastAsia" w:hAnsi="Cambria Math" w:cs="Cambria Math"/>
                <w:i/>
                <w:iCs/>
                <w:color w:val="000000"/>
                <w:lang w:val="en-US"/>
              </w:rPr>
              <w:t>i.e.</w:t>
            </w:r>
            <w:r>
              <w:rPr>
                <w:rFonts w:ascii="Cambria Math" w:eastAsiaTheme="minorEastAsia" w:hAnsi="Cambria Math" w:cs="Cambria Math"/>
                <w:color w:val="000000"/>
                <w:lang w:val="en-US"/>
              </w:rPr>
              <w:t xml:space="preserve"> i)</w:t>
            </w:r>
            <w:r>
              <w:rPr>
                <w:rFonts w:ascii="Times" w:eastAsiaTheme="minorEastAsia" w:hAnsi="Times" w:cs="Times"/>
                <w:color w:val="000000"/>
                <w:lang w:val="en-US"/>
              </w:rPr>
              <w:t xml:space="preserve"> history of flexion involvement, including cubital fossa, popliteal fossa, anterior ankle, neck, including cheek rash in children under 10 years; </w:t>
            </w:r>
            <w:r>
              <w:rPr>
                <w:rFonts w:ascii="Cambria Math" w:eastAsiaTheme="minorEastAsia" w:hAnsi="Cambria Math" w:cs="Cambria Math"/>
                <w:color w:val="000000"/>
                <w:lang w:val="en-US"/>
              </w:rPr>
              <w:t>ii)</w:t>
            </w:r>
            <w:r>
              <w:rPr>
                <w:rFonts w:ascii="Times" w:eastAsiaTheme="minorEastAsia" w:hAnsi="Times" w:cs="Times"/>
                <w:color w:val="000000"/>
                <w:lang w:val="en-US"/>
              </w:rPr>
              <w:t xml:space="preserve"> history of asthma or allergic rhinitis or a history of atopic disease in a first-degree relative in a child under 4 years of age; </w:t>
            </w:r>
            <w:r>
              <w:rPr>
                <w:rFonts w:ascii="Cambria Math" w:eastAsiaTheme="minorEastAsia" w:hAnsi="Cambria Math" w:cs="Cambria Math"/>
                <w:color w:val="000000"/>
                <w:lang w:val="en-US"/>
              </w:rPr>
              <w:t>iii)</w:t>
            </w:r>
            <w:r>
              <w:rPr>
                <w:rFonts w:ascii="Times" w:eastAsiaTheme="minorEastAsia" w:hAnsi="Times" w:cs="Times"/>
                <w:color w:val="000000"/>
                <w:lang w:val="en-US"/>
              </w:rPr>
              <w:t xml:space="preserve"> history of dry skin all over the body; </w:t>
            </w:r>
            <w:r>
              <w:rPr>
                <w:rFonts w:ascii="Cambria Math" w:eastAsiaTheme="minorEastAsia" w:hAnsi="Cambria Math" w:cs="Cambria Math"/>
                <w:color w:val="000000"/>
                <w:lang w:val="en-US"/>
              </w:rPr>
              <w:t>iv)</w:t>
            </w:r>
            <w:r>
              <w:rPr>
                <w:rFonts w:ascii="Times" w:eastAsiaTheme="minorEastAsia" w:hAnsi="Times" w:cs="Times"/>
                <w:color w:val="000000"/>
                <w:lang w:val="en-US"/>
              </w:rPr>
              <w:t xml:space="preserve"> flexor eczema, and cheek/forehead and extensor eczema in children under 4 years; </w:t>
            </w:r>
            <w:r>
              <w:rPr>
                <w:rFonts w:ascii="Cambria Math" w:eastAsiaTheme="minorEastAsia" w:hAnsi="Cambria Math" w:cs="Cambria Math"/>
                <w:color w:val="000000"/>
                <w:lang w:val="en-US"/>
              </w:rPr>
              <w:t>v)</w:t>
            </w:r>
            <w:r>
              <w:rPr>
                <w:rFonts w:ascii="Times" w:eastAsiaTheme="minorEastAsia" w:hAnsi="Times" w:cs="Times"/>
                <w:color w:val="000000"/>
                <w:lang w:val="en-US"/>
              </w:rPr>
              <w:t xml:space="preserve"> onset before 2 years of age (for patients &gt; 4 years of age).</w:t>
            </w:r>
          </w:p>
        </w:tc>
      </w:tr>
    </w:tbl>
    <w:p w14:paraId="0485B420" w14:textId="77777777" w:rsidR="001461B8" w:rsidRPr="00886C9D" w:rsidRDefault="001461B8">
      <w:pPr>
        <w:rPr>
          <w:lang w:val="en-US"/>
        </w:rPr>
      </w:pPr>
    </w:p>
    <w:sectPr w:rsidR="001461B8" w:rsidRPr="00886C9D" w:rsidSect="00886C9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9D"/>
    <w:rsid w:val="00124270"/>
    <w:rsid w:val="001461B8"/>
    <w:rsid w:val="001B1D14"/>
    <w:rsid w:val="001E349F"/>
    <w:rsid w:val="001F4F1B"/>
    <w:rsid w:val="00284A67"/>
    <w:rsid w:val="002A3BDE"/>
    <w:rsid w:val="00317E4E"/>
    <w:rsid w:val="00621AFE"/>
    <w:rsid w:val="007808C1"/>
    <w:rsid w:val="00792D4D"/>
    <w:rsid w:val="00886C9D"/>
    <w:rsid w:val="009857E2"/>
    <w:rsid w:val="00AC28C0"/>
    <w:rsid w:val="00C161F1"/>
    <w:rsid w:val="00D40FDE"/>
    <w:rsid w:val="00DB0F10"/>
    <w:rsid w:val="00EF3433"/>
    <w:rsid w:val="00F03755"/>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5FC46F3"/>
  <w15:chartTrackingRefBased/>
  <w15:docId w15:val="{8F879735-5B75-0E44-8163-98AB5715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C9D"/>
    <w:rPr>
      <w:rFonts w:ascii="Times New Roman" w:eastAsia="Times New Roman" w:hAnsi="Times New Roman" w:cs="Times New Roman"/>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886C9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D5C93204-415C-C947-B97F-3B4ABE65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626</Words>
  <Characters>3573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1</cp:revision>
  <dcterms:created xsi:type="dcterms:W3CDTF">2022-07-19T12:34:00Z</dcterms:created>
  <dcterms:modified xsi:type="dcterms:W3CDTF">2022-07-19T12:35:00Z</dcterms:modified>
</cp:coreProperties>
</file>