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355" w:rsidRPr="00FC3C1A" w:rsidRDefault="005E3355" w:rsidP="005E3355">
      <w:pPr>
        <w:pBdr>
          <w:bottom w:val="single" w:sz="12" w:space="1" w:color="auto"/>
        </w:pBdr>
        <w:spacing w:line="256" w:lineRule="auto"/>
        <w:rPr>
          <w:rFonts w:cs="Calibri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A6196DC" wp14:editId="1CE5456C">
                <wp:simplePos x="0" y="0"/>
                <wp:positionH relativeFrom="column">
                  <wp:posOffset>177800</wp:posOffset>
                </wp:positionH>
                <wp:positionV relativeFrom="paragraph">
                  <wp:posOffset>7915275</wp:posOffset>
                </wp:positionV>
                <wp:extent cx="939800" cy="29210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355" w:rsidRDefault="005E3355" w:rsidP="005E3355">
                            <w:r>
                              <w:t>Appendix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6196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pt;margin-top:623.25pt;width:74pt;height:23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" strokecolor="white">
                <v:textbox>
                  <w:txbxContent>
                    <w:p w:rsidR="005E3355" w:rsidRDefault="005E3355" w:rsidP="005E3355">
                      <w:r>
                        <w:t>Appendix (1)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2A50F5C" wp14:editId="314B0F12">
            <wp:simplePos x="0" y="0"/>
            <wp:positionH relativeFrom="margin">
              <wp:posOffset>88900</wp:posOffset>
            </wp:positionH>
            <wp:positionV relativeFrom="paragraph">
              <wp:posOffset>412750</wp:posOffset>
            </wp:positionV>
            <wp:extent cx="5353050" cy="7525385"/>
            <wp:effectExtent l="0" t="0" r="0" b="0"/>
            <wp:wrapTopAndBottom/>
            <wp:docPr id="6" name="Picture 8" descr="Appendix 1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ppendix 1 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5" b="1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52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3C1A">
        <w:rPr>
          <w:rFonts w:cs="Calibri"/>
          <w:b/>
          <w:bCs/>
          <w:sz w:val="28"/>
          <w:szCs w:val="28"/>
        </w:rPr>
        <w:t xml:space="preserve">Appendix </w:t>
      </w:r>
    </w:p>
    <w:p w:rsidR="005E3355" w:rsidRPr="00FC3C1A" w:rsidRDefault="005E3355" w:rsidP="005E3355">
      <w:pPr>
        <w:spacing w:line="256" w:lineRule="auto"/>
        <w:rPr>
          <w:rFonts w:cs="Calibri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278DE66E" wp14:editId="09CDC8FB">
            <wp:simplePos x="0" y="0"/>
            <wp:positionH relativeFrom="margin">
              <wp:posOffset>76200</wp:posOffset>
            </wp:positionH>
            <wp:positionV relativeFrom="paragraph">
              <wp:posOffset>38100</wp:posOffset>
            </wp:positionV>
            <wp:extent cx="5518150" cy="7797800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9" t="2872" b="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779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3C1A">
        <w:rPr>
          <w:rFonts w:cs="Calibri"/>
        </w:rPr>
        <w:t xml:space="preserve">     Appendix (2)</w:t>
      </w:r>
    </w:p>
    <w:p w:rsidR="005E3355" w:rsidRPr="00FC3C1A" w:rsidRDefault="005E3355" w:rsidP="005E3355">
      <w:pPr>
        <w:spacing w:line="256" w:lineRule="auto"/>
        <w:rPr>
          <w:rFonts w:cs="Calibri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6A3EF72" wp14:editId="4A25ACF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611495" cy="8007350"/>
            <wp:effectExtent l="0" t="0" r="0" b="0"/>
            <wp:wrapTopAndBottom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495" cy="800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3C1A">
        <w:rPr>
          <w:rFonts w:cs="Calibri"/>
        </w:rPr>
        <w:t xml:space="preserve">    Appendix (3)</w:t>
      </w:r>
      <w:r w:rsidRPr="00FC3C1A">
        <w:rPr>
          <w:rFonts w:cs="Calibri"/>
        </w:rPr>
        <w:br w:type="page"/>
      </w:r>
    </w:p>
    <w:p w:rsidR="005E3355" w:rsidRPr="00FC3C1A" w:rsidRDefault="005E3355" w:rsidP="005E3355">
      <w:pPr>
        <w:jc w:val="both"/>
        <w:rPr>
          <w:rFonts w:cs="Calibri"/>
        </w:rPr>
      </w:pPr>
    </w:p>
    <w:p w:rsidR="005E3355" w:rsidRPr="00FC3C1A" w:rsidRDefault="005E3355" w:rsidP="005E3355">
      <w:pPr>
        <w:jc w:val="both"/>
        <w:rPr>
          <w:rFonts w:cs="Calibr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269AE04" wp14:editId="4B4595F6">
            <wp:simplePos x="0" y="0"/>
            <wp:positionH relativeFrom="margin">
              <wp:posOffset>304800</wp:posOffset>
            </wp:positionH>
            <wp:positionV relativeFrom="page">
              <wp:posOffset>1235075</wp:posOffset>
            </wp:positionV>
            <wp:extent cx="5341620" cy="6917690"/>
            <wp:effectExtent l="0" t="0" r="0" b="0"/>
            <wp:wrapTopAndBottom/>
            <wp:docPr id="9" name="Picture 14" descr="A close up of a cage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 close up of a cage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620" cy="691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355" w:rsidRPr="00FC3C1A" w:rsidRDefault="005E3355" w:rsidP="005E3355">
      <w:pPr>
        <w:jc w:val="both"/>
        <w:rPr>
          <w:rFonts w:cs="Calibri"/>
          <w:sz w:val="28"/>
          <w:szCs w:val="28"/>
        </w:rPr>
      </w:pPr>
      <w:r w:rsidRPr="00FC3C1A">
        <w:rPr>
          <w:rFonts w:cs="Calibri"/>
          <w:b/>
          <w:bCs/>
          <w:sz w:val="28"/>
          <w:szCs w:val="28"/>
        </w:rPr>
        <w:t xml:space="preserve">              </w:t>
      </w:r>
      <w:r w:rsidRPr="00FC3C1A">
        <w:rPr>
          <w:rFonts w:cs="Calibri"/>
        </w:rPr>
        <w:t>Appendix (4)</w:t>
      </w:r>
    </w:p>
    <w:p w:rsidR="005E3355" w:rsidRPr="00FC3C1A" w:rsidRDefault="005E3355" w:rsidP="005E3355">
      <w:pPr>
        <w:jc w:val="both"/>
        <w:rPr>
          <w:rFonts w:cs="Calibri"/>
          <w:b/>
          <w:bCs/>
          <w:sz w:val="28"/>
          <w:szCs w:val="28"/>
        </w:rPr>
      </w:pPr>
    </w:p>
    <w:p w:rsidR="005E3355" w:rsidRPr="00FC3C1A" w:rsidRDefault="005E3355" w:rsidP="005E3355">
      <w:pPr>
        <w:jc w:val="both"/>
        <w:rPr>
          <w:rFonts w:cs="Calibri"/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796D549" wp14:editId="00811FF9">
            <wp:simplePos x="0" y="0"/>
            <wp:positionH relativeFrom="margin">
              <wp:posOffset>320675</wp:posOffset>
            </wp:positionH>
            <wp:positionV relativeFrom="page">
              <wp:posOffset>1219200</wp:posOffset>
            </wp:positionV>
            <wp:extent cx="5297170" cy="6948170"/>
            <wp:effectExtent l="0" t="0" r="0" b="0"/>
            <wp:wrapTopAndBottom/>
            <wp:docPr id="10" name="Picture 15" descr="A close up of a cage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 close up of a cage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0" cy="694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355" w:rsidRPr="00FC3C1A" w:rsidRDefault="005E3355" w:rsidP="005E3355">
      <w:pPr>
        <w:jc w:val="both"/>
        <w:rPr>
          <w:rFonts w:cs="Calibri"/>
          <w:sz w:val="28"/>
          <w:szCs w:val="28"/>
        </w:rPr>
      </w:pPr>
      <w:r w:rsidRPr="00FC3C1A">
        <w:rPr>
          <w:rFonts w:cs="Calibri"/>
          <w:b/>
          <w:bCs/>
          <w:sz w:val="28"/>
          <w:szCs w:val="28"/>
        </w:rPr>
        <w:t xml:space="preserve">                  </w:t>
      </w:r>
      <w:r w:rsidRPr="00FC3C1A">
        <w:rPr>
          <w:rFonts w:cs="Calibri"/>
        </w:rPr>
        <w:t>Appendix (5)</w:t>
      </w:r>
    </w:p>
    <w:p w:rsidR="005E3355" w:rsidRPr="00FC3C1A" w:rsidRDefault="005E3355" w:rsidP="005E3355">
      <w:pPr>
        <w:jc w:val="both"/>
        <w:rPr>
          <w:rFonts w:cs="Calibr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4B44DC0" wp14:editId="4417A4BB">
            <wp:simplePos x="0" y="0"/>
            <wp:positionH relativeFrom="margin">
              <wp:posOffset>471805</wp:posOffset>
            </wp:positionH>
            <wp:positionV relativeFrom="page">
              <wp:posOffset>1138555</wp:posOffset>
            </wp:positionV>
            <wp:extent cx="4876800" cy="7299960"/>
            <wp:effectExtent l="0" t="0" r="0" b="0"/>
            <wp:wrapTopAndBottom/>
            <wp:docPr id="11" name="Picture 18" descr="A close up of a cage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A close up of a cage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29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355" w:rsidRPr="00FC3C1A" w:rsidRDefault="005E3355" w:rsidP="005E3355">
      <w:pPr>
        <w:jc w:val="both"/>
        <w:rPr>
          <w:rFonts w:cs="Calibri"/>
          <w:sz w:val="28"/>
          <w:szCs w:val="28"/>
        </w:rPr>
      </w:pPr>
      <w:r w:rsidRPr="00FC3C1A">
        <w:rPr>
          <w:rFonts w:cs="Calibri"/>
          <w:b/>
          <w:bCs/>
          <w:sz w:val="28"/>
          <w:szCs w:val="28"/>
        </w:rPr>
        <w:lastRenderedPageBreak/>
        <w:t xml:space="preserve">                   </w:t>
      </w:r>
      <w:r w:rsidRPr="00FC3C1A">
        <w:rPr>
          <w:rFonts w:cs="Calibri"/>
        </w:rPr>
        <w:t>Appendix (6)</w:t>
      </w:r>
    </w:p>
    <w:p w:rsidR="005E3355" w:rsidRPr="00FC3C1A" w:rsidRDefault="005E3355" w:rsidP="005E3355">
      <w:pPr>
        <w:jc w:val="both"/>
        <w:rPr>
          <w:rFonts w:cs="Calibr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A176130" wp14:editId="4DF864AC">
            <wp:simplePos x="0" y="0"/>
            <wp:positionH relativeFrom="margin">
              <wp:posOffset>283210</wp:posOffset>
            </wp:positionH>
            <wp:positionV relativeFrom="page">
              <wp:posOffset>1427480</wp:posOffset>
            </wp:positionV>
            <wp:extent cx="5487035" cy="7202805"/>
            <wp:effectExtent l="0" t="0" r="0" b="0"/>
            <wp:wrapTopAndBottom/>
            <wp:docPr id="12" name="Picture 19" descr="A close up of text on a white background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 close up of text on a white background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720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355" w:rsidRDefault="005E3355" w:rsidP="005E3355">
      <w:pPr>
        <w:jc w:val="both"/>
        <w:rPr>
          <w:rFonts w:cs="Calibri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4D3B0C73" wp14:editId="6D597C2E">
            <wp:simplePos x="0" y="0"/>
            <wp:positionH relativeFrom="margin">
              <wp:posOffset>227965</wp:posOffset>
            </wp:positionH>
            <wp:positionV relativeFrom="margin">
              <wp:posOffset>165100</wp:posOffset>
            </wp:positionV>
            <wp:extent cx="5280660" cy="7090410"/>
            <wp:effectExtent l="0" t="0" r="0" b="0"/>
            <wp:wrapTopAndBottom/>
            <wp:docPr id="13" name="Picture 16" descr="A close up of a map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 close up of a map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709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3C1A">
        <w:rPr>
          <w:rFonts w:cs="Calibri"/>
          <w:b/>
          <w:bCs/>
          <w:sz w:val="28"/>
          <w:szCs w:val="28"/>
        </w:rPr>
        <w:t xml:space="preserve">            </w:t>
      </w:r>
      <w:r w:rsidRPr="00FC3C1A">
        <w:rPr>
          <w:rFonts w:cs="Calibri"/>
        </w:rPr>
        <w:t>Appendix (</w: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1CFDD9D6" wp14:editId="519ABA96">
            <wp:simplePos x="0" y="0"/>
            <wp:positionH relativeFrom="margin">
              <wp:posOffset>260350</wp:posOffset>
            </wp:positionH>
            <wp:positionV relativeFrom="margin">
              <wp:posOffset>331470</wp:posOffset>
            </wp:positionV>
            <wp:extent cx="5306695" cy="7411085"/>
            <wp:effectExtent l="0" t="0" r="0" b="0"/>
            <wp:wrapTopAndBottom/>
            <wp:docPr id="14" name="Picture 20" descr="A close up of text on a white background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A close up of text on a white background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695" cy="741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Calibri"/>
        </w:rPr>
        <w:t>7)</w:t>
      </w:r>
    </w:p>
    <w:p w:rsidR="005E3355" w:rsidRPr="00FC3C1A" w:rsidRDefault="005E3355" w:rsidP="005E3355">
      <w:pPr>
        <w:jc w:val="both"/>
        <w:rPr>
          <w:rFonts w:cs="Calibri"/>
          <w:sz w:val="28"/>
          <w:szCs w:val="28"/>
        </w:rPr>
      </w:pPr>
      <w:r w:rsidRPr="00FC3C1A">
        <w:rPr>
          <w:rFonts w:cs="Calibri"/>
        </w:rPr>
        <w:lastRenderedPageBreak/>
        <w:t>Appendix (8)</w:t>
      </w:r>
      <w:r w:rsidRPr="00FC3C1A">
        <w:rPr>
          <w:rFonts w:cs="Calibri"/>
          <w:b/>
          <w:bCs/>
          <w:sz w:val="28"/>
          <w:szCs w:val="28"/>
        </w:rPr>
        <w:t xml:space="preserve">            </w: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37F4F026" wp14:editId="4AADAB9C">
            <wp:simplePos x="0" y="0"/>
            <wp:positionH relativeFrom="margin">
              <wp:align>center</wp:align>
            </wp:positionH>
            <wp:positionV relativeFrom="margin">
              <wp:posOffset>250825</wp:posOffset>
            </wp:positionV>
            <wp:extent cx="5297170" cy="7571740"/>
            <wp:effectExtent l="0" t="0" r="0" b="0"/>
            <wp:wrapTopAndBottom/>
            <wp:docPr id="15" name="Picture 17" descr="A close up of a map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 close up of a map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0" cy="757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355" w:rsidRPr="00FC3C1A" w:rsidRDefault="005E3355" w:rsidP="005E3355">
      <w:pPr>
        <w:jc w:val="both"/>
        <w:rPr>
          <w:rFonts w:cs="Calibr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039D564B" wp14:editId="46042DD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54625" cy="7444105"/>
            <wp:effectExtent l="0" t="0" r="0" b="0"/>
            <wp:wrapTopAndBottom/>
            <wp:docPr id="16" name="Picture 22" descr="A close up of a map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 close up of a map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744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3C1A">
        <w:rPr>
          <w:rFonts w:cs="Calibri"/>
          <w:b/>
          <w:bCs/>
          <w:sz w:val="28"/>
          <w:szCs w:val="28"/>
        </w:rPr>
        <w:t xml:space="preserve">      </w:t>
      </w:r>
      <w:r w:rsidRPr="00FC3C1A">
        <w:rPr>
          <w:rFonts w:cs="Calibri"/>
        </w:rPr>
        <w:t>Appendix (</w:t>
      </w:r>
      <w:r>
        <w:rPr>
          <w:rFonts w:cs="Calibri"/>
        </w:rPr>
        <w:t>9</w:t>
      </w:r>
      <w:r w:rsidRPr="00FC3C1A">
        <w:rPr>
          <w:rFonts w:cs="Calibri"/>
        </w:rPr>
        <w:t>)</w:t>
      </w:r>
      <w:r w:rsidRPr="00FC3C1A">
        <w:rPr>
          <w:rFonts w:cs="Calibri"/>
          <w:b/>
          <w:bCs/>
          <w:sz w:val="28"/>
          <w:szCs w:val="28"/>
        </w:rPr>
        <w:t xml:space="preserve">            </w:t>
      </w:r>
    </w:p>
    <w:p w:rsidR="005E3355" w:rsidRPr="00642D0F" w:rsidRDefault="005E3355" w:rsidP="005E3355">
      <w:pPr>
        <w:jc w:val="both"/>
        <w:rPr>
          <w:rFonts w:cs="Calibri"/>
          <w:sz w:val="28"/>
          <w:szCs w:val="28"/>
        </w:rPr>
      </w:pPr>
    </w:p>
    <w:tbl>
      <w:tblPr>
        <w:tblStyle w:val="GridTable5Dark-Accent31"/>
        <w:tblpPr w:leftFromText="180" w:rightFromText="180" w:vertAnchor="text" w:horzAnchor="margin" w:tblpY="1427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E3355" w:rsidTr="00F75F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E96DE1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E96DE1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Interpretation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>Fasting Blood glucose level</w:t>
            </w:r>
          </w:p>
        </w:tc>
      </w:tr>
      <w:tr w:rsidR="005E3355" w:rsidTr="00F75F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E96DE1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E96DE1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Normal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color w:val="000000"/>
                <w:sz w:val="24"/>
                <w:szCs w:val="24"/>
              </w:rPr>
              <w:t>&lt; 5.5 mmol/l</w:t>
            </w:r>
          </w:p>
        </w:tc>
      </w:tr>
      <w:tr w:rsidR="005E3355" w:rsidTr="00F75F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E96DE1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E96DE1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>Impaired fasting blood glucose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sz w:val="24"/>
                <w:szCs w:val="24"/>
              </w:rPr>
              <w:t>5.5 mmol/l – 7 mmol/l</w:t>
            </w:r>
          </w:p>
        </w:tc>
      </w:tr>
      <w:tr w:rsidR="005E3355" w:rsidTr="00F75F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E96DE1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E96DE1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Diabetic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sz w:val="24"/>
                <w:szCs w:val="24"/>
              </w:rPr>
              <w:t>˃ 7 mmol/l</w:t>
            </w:r>
          </w:p>
        </w:tc>
      </w:tr>
    </w:tbl>
    <w:p w:rsidR="005E3355" w:rsidRPr="00FC3C1A" w:rsidRDefault="005E3355" w:rsidP="005E3355">
      <w:pPr>
        <w:jc w:val="center"/>
        <w:rPr>
          <w:rFonts w:cs="Calibri"/>
          <w:b/>
          <w:bCs/>
          <w:sz w:val="24"/>
          <w:szCs w:val="24"/>
        </w:rPr>
      </w:pPr>
      <w:r w:rsidRPr="00FC3C1A">
        <w:rPr>
          <w:rFonts w:cs="Calibri"/>
          <w:b/>
          <w:bCs/>
          <w:sz w:val="24"/>
          <w:szCs w:val="24"/>
        </w:rPr>
        <w:t>Reference Ranges of Biochemical hormones endorsed by World Health Organization</w:t>
      </w:r>
    </w:p>
    <w:p w:rsidR="005E3355" w:rsidRPr="00FC3C1A" w:rsidRDefault="005E3355" w:rsidP="005E3355">
      <w:pPr>
        <w:jc w:val="both"/>
        <w:rPr>
          <w:rFonts w:cs="Calibri"/>
        </w:rPr>
      </w:pPr>
    </w:p>
    <w:p w:rsidR="005E3355" w:rsidRPr="00FC3C1A" w:rsidRDefault="005E3355" w:rsidP="005E3355">
      <w:pPr>
        <w:jc w:val="both"/>
        <w:rPr>
          <w:rFonts w:cs="Calibri"/>
        </w:rPr>
      </w:pPr>
    </w:p>
    <w:p w:rsidR="005E3355" w:rsidRPr="00FC3C1A" w:rsidRDefault="005E3355" w:rsidP="005E3355">
      <w:pPr>
        <w:jc w:val="both"/>
        <w:rPr>
          <w:rFonts w:cs="Calibri"/>
          <w:b/>
          <w:bCs/>
          <w:sz w:val="28"/>
          <w:szCs w:val="28"/>
        </w:rPr>
      </w:pPr>
      <w:r w:rsidRPr="00FC3C1A">
        <w:rPr>
          <w:rFonts w:cs="Calibri"/>
        </w:rPr>
        <w:t>Appendix (1</w:t>
      </w:r>
      <w:r>
        <w:rPr>
          <w:rFonts w:cs="Calibri"/>
        </w:rPr>
        <w:t>0</w:t>
      </w:r>
      <w:r w:rsidRPr="00FC3C1A">
        <w:rPr>
          <w:rFonts w:cs="Calibri"/>
        </w:rPr>
        <w:t>)</w:t>
      </w:r>
    </w:p>
    <w:p w:rsidR="005E3355" w:rsidRPr="00FC3C1A" w:rsidRDefault="005E3355" w:rsidP="005E3355">
      <w:pPr>
        <w:jc w:val="both"/>
        <w:rPr>
          <w:rFonts w:cs="Calibri"/>
        </w:rPr>
      </w:pPr>
    </w:p>
    <w:p w:rsidR="005E3355" w:rsidRPr="00FC3C1A" w:rsidRDefault="005E3355" w:rsidP="005E3355">
      <w:pPr>
        <w:jc w:val="both"/>
        <w:rPr>
          <w:rFonts w:cs="Calibri"/>
        </w:rPr>
      </w:pPr>
      <w:r w:rsidRPr="00FC3C1A">
        <w:rPr>
          <w:rFonts w:cs="Calibri"/>
        </w:rPr>
        <w:t xml:space="preserve"> </w:t>
      </w:r>
    </w:p>
    <w:p w:rsidR="005E3355" w:rsidRPr="00FC3C1A" w:rsidRDefault="005E3355" w:rsidP="005E3355">
      <w:pPr>
        <w:jc w:val="both"/>
        <w:rPr>
          <w:rFonts w:cs="Calibri"/>
          <w:b/>
          <w:bCs/>
          <w:sz w:val="28"/>
          <w:szCs w:val="28"/>
        </w:rPr>
      </w:pPr>
    </w:p>
    <w:tbl>
      <w:tblPr>
        <w:tblStyle w:val="GridTable5Dark-Accent31"/>
        <w:tblpPr w:leftFromText="180" w:rightFromText="180" w:vertAnchor="text" w:horzAnchor="margin" w:tblpY="379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E3355" w:rsidRPr="00FC3C1A" w:rsidTr="00F75F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FC3C1A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Interpretation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>Free thyroxine level (T4)</w:t>
            </w:r>
          </w:p>
        </w:tc>
      </w:tr>
      <w:tr w:rsidR="005E3355" w:rsidRPr="00FC3C1A" w:rsidTr="00F75F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FC3C1A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Normal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sz w:val="24"/>
                <w:szCs w:val="24"/>
              </w:rPr>
              <w:t>0.8 ng/dl -1.8 ng/dl</w:t>
            </w:r>
          </w:p>
        </w:tc>
      </w:tr>
      <w:tr w:rsidR="005E3355" w:rsidRPr="00FC3C1A" w:rsidTr="00F75F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FC3C1A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>Low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sz w:val="24"/>
                <w:szCs w:val="24"/>
              </w:rPr>
              <w:t>˂ 0.8 ng/dl</w:t>
            </w:r>
          </w:p>
        </w:tc>
      </w:tr>
      <w:tr w:rsidR="005E3355" w:rsidRPr="00FC3C1A" w:rsidTr="00F75F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FC3C1A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>High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sz w:val="24"/>
                <w:szCs w:val="24"/>
              </w:rPr>
              <w:t>˃ 1.8 ng/dl</w:t>
            </w:r>
          </w:p>
        </w:tc>
      </w:tr>
    </w:tbl>
    <w:p w:rsidR="005E3355" w:rsidRPr="00FC3C1A" w:rsidRDefault="005E3355" w:rsidP="005E3355">
      <w:pPr>
        <w:jc w:val="both"/>
        <w:rPr>
          <w:rFonts w:cs="Calibri"/>
        </w:rPr>
      </w:pPr>
    </w:p>
    <w:p w:rsidR="005E3355" w:rsidRPr="00FC3C1A" w:rsidRDefault="005E3355" w:rsidP="005E3355">
      <w:pPr>
        <w:jc w:val="both"/>
        <w:rPr>
          <w:rFonts w:cs="Calibri"/>
        </w:rPr>
      </w:pPr>
      <w:r w:rsidRPr="00FC3C1A">
        <w:rPr>
          <w:rFonts w:cs="Calibri"/>
        </w:rPr>
        <w:t>Appendix (1</w:t>
      </w:r>
      <w:r>
        <w:rPr>
          <w:rFonts w:cs="Calibri"/>
        </w:rPr>
        <w:t>1</w:t>
      </w:r>
      <w:r w:rsidRPr="00FC3C1A">
        <w:rPr>
          <w:rFonts w:cs="Calibri"/>
        </w:rPr>
        <w:t>)</w:t>
      </w:r>
    </w:p>
    <w:p w:rsidR="005E3355" w:rsidRPr="00FC3C1A" w:rsidRDefault="005E3355" w:rsidP="005E3355">
      <w:pPr>
        <w:jc w:val="both"/>
        <w:rPr>
          <w:rFonts w:cs="Calibri"/>
          <w:sz w:val="28"/>
          <w:szCs w:val="28"/>
        </w:rPr>
      </w:pPr>
    </w:p>
    <w:tbl>
      <w:tblPr>
        <w:tblStyle w:val="GridTable5Dark-Accent31"/>
        <w:tblpPr w:leftFromText="180" w:rightFromText="180" w:vertAnchor="text" w:horzAnchor="margin" w:tblpY="1567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E3355" w:rsidRPr="00FC3C1A" w:rsidTr="00F75F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FC3C1A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Interpretation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>Thyroid stimulating hormone level (TSH)</w:t>
            </w:r>
          </w:p>
        </w:tc>
      </w:tr>
      <w:tr w:rsidR="005E3355" w:rsidRPr="00FC3C1A" w:rsidTr="00F75F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FC3C1A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Normal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sz w:val="24"/>
                <w:szCs w:val="24"/>
              </w:rPr>
              <w:t xml:space="preserve">0.4 mIU/l – 4 mIU/l </w:t>
            </w:r>
          </w:p>
        </w:tc>
      </w:tr>
      <w:tr w:rsidR="005E3355" w:rsidRPr="00FC3C1A" w:rsidTr="00F75F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FC3C1A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Low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sz w:val="24"/>
                <w:szCs w:val="24"/>
              </w:rPr>
              <w:t>˂ 0.4 mIU/l</w:t>
            </w:r>
          </w:p>
        </w:tc>
      </w:tr>
      <w:tr w:rsidR="005E3355" w:rsidRPr="00FC3C1A" w:rsidTr="00F75F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5E3355" w:rsidRPr="00FC3C1A" w:rsidRDefault="005E3355" w:rsidP="00F75F1E">
            <w:pPr>
              <w:jc w:val="both"/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</w:pPr>
            <w:r w:rsidRPr="00FC3C1A">
              <w:rPr>
                <w:rFonts w:cs="Calibri"/>
                <w:b w:val="0"/>
                <w:bCs w:val="0"/>
                <w:color w:val="auto"/>
                <w:sz w:val="24"/>
                <w:szCs w:val="24"/>
              </w:rPr>
              <w:t xml:space="preserve">High </w:t>
            </w:r>
          </w:p>
        </w:tc>
        <w:tc>
          <w:tcPr>
            <w:tcW w:w="4675" w:type="dxa"/>
          </w:tcPr>
          <w:p w:rsidR="005E3355" w:rsidRPr="00FC3C1A" w:rsidRDefault="005E3355" w:rsidP="00F75F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FC3C1A">
              <w:rPr>
                <w:rFonts w:cs="Calibri"/>
                <w:sz w:val="24"/>
                <w:szCs w:val="24"/>
              </w:rPr>
              <w:t>˃ 4 mIU/l</w:t>
            </w:r>
          </w:p>
        </w:tc>
      </w:tr>
    </w:tbl>
    <w:p w:rsidR="005E3355" w:rsidRPr="00FC3C1A" w:rsidRDefault="005E3355" w:rsidP="005E3355">
      <w:pPr>
        <w:jc w:val="both"/>
        <w:rPr>
          <w:rFonts w:cs="Calibri"/>
        </w:rPr>
      </w:pPr>
    </w:p>
    <w:p w:rsidR="005E3355" w:rsidRPr="00FC3C1A" w:rsidRDefault="005E3355" w:rsidP="005E3355">
      <w:pPr>
        <w:jc w:val="both"/>
        <w:rPr>
          <w:rFonts w:cs="Calibri"/>
        </w:rPr>
      </w:pPr>
    </w:p>
    <w:p w:rsidR="005E3355" w:rsidRPr="00FC3C1A" w:rsidRDefault="005E3355" w:rsidP="005E3355">
      <w:pPr>
        <w:jc w:val="both"/>
        <w:rPr>
          <w:rFonts w:cs="Calibri"/>
        </w:rPr>
      </w:pPr>
    </w:p>
    <w:p w:rsidR="005E3355" w:rsidRPr="00FC3C1A" w:rsidRDefault="005E3355" w:rsidP="005E3355">
      <w:pPr>
        <w:jc w:val="both"/>
        <w:rPr>
          <w:rFonts w:cs="Calibri"/>
        </w:rPr>
      </w:pPr>
      <w:r w:rsidRPr="00FC3C1A">
        <w:rPr>
          <w:rFonts w:cs="Calibri"/>
        </w:rPr>
        <w:t xml:space="preserve"> Appendix (1</w:t>
      </w:r>
      <w:r>
        <w:rPr>
          <w:rFonts w:cs="Calibri"/>
        </w:rPr>
        <w:t>2</w:t>
      </w:r>
      <w:r w:rsidRPr="00FC3C1A">
        <w:rPr>
          <w:rFonts w:cs="Calibri"/>
        </w:rPr>
        <w:t>)</w:t>
      </w:r>
    </w:p>
    <w:p w:rsidR="005E3355" w:rsidRDefault="005E3355" w:rsidP="005E3355"/>
    <w:p w:rsidR="005E3355" w:rsidRDefault="005E3355" w:rsidP="005E3355"/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355"/>
    <w:rsid w:val="00342BD7"/>
    <w:rsid w:val="005E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363D56-925E-4DBF-BCC8-B5BD8EF8E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355"/>
    <w:rPr>
      <w:rFonts w:eastAsiaTheme="minorEastAsia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5Dark-Accent31">
    <w:name w:val="Grid Table 5 Dark - Accent 31"/>
    <w:basedOn w:val="TableNormal"/>
    <w:uiPriority w:val="50"/>
    <w:rsid w:val="005E3355"/>
    <w:pPr>
      <w:spacing w:after="0" w:line="240" w:lineRule="auto"/>
    </w:pPr>
    <w:rPr>
      <w:rFonts w:eastAsiaTheme="minorEastAsia" w:cs="Arial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rFonts w:cs="Arial"/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rFonts w:cs="Arial"/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rFonts w:cs="Arial"/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rFonts w:cs="Arial"/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rPr>
        <w:rFonts w:cs="Arial"/>
      </w:rPr>
      <w:tblPr/>
      <w:tcPr>
        <w:shd w:val="clear" w:color="auto" w:fill="DBDBDB"/>
      </w:tcPr>
    </w:tblStylePr>
    <w:tblStylePr w:type="band1Horz">
      <w:rPr>
        <w:rFonts w:cs="Arial"/>
      </w:rPr>
      <w:tblPr/>
      <w:tcPr>
        <w:shd w:val="clear" w:color="auto" w:fill="DBDBDB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111</Words>
  <Characters>634</Characters>
  <Application>Microsoft Office Word</Application>
  <DocSecurity>0</DocSecurity>
  <Lines>5</Lines>
  <Paragraphs>1</Paragraphs>
  <ScaleCrop>false</ScaleCrop>
  <Company>Springer Nature IT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2022-07-26T06:41:00Z</dcterms:created>
  <dcterms:modified xsi:type="dcterms:W3CDTF">2022-07-26T06:41:00Z</dcterms:modified>
</cp:coreProperties>
</file>